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6hjw372v2x" w:id="0"/>
      <w:bookmarkEnd w:id="0"/>
      <w:r w:rsidDel="00000000" w:rsidR="00000000" w:rsidRPr="00000000">
        <w:rPr>
          <w:rtl w:val="0"/>
        </w:rPr>
        <w:t xml:space="preserve">Manual de Padronização: Geração e Distribuição de Arquivos Excel via n8n</w:t>
      </w:r>
    </w:p>
    <w:p w:rsidR="00000000" w:rsidDel="00000000" w:rsidP="00000000" w:rsidRDefault="00000000" w:rsidRPr="00000000" w14:paraId="00000002">
      <w:pPr>
        <w:pStyle w:val="Heading5"/>
        <w:rPr>
          <w:b w:val="1"/>
          <w:bCs w:val="1"/>
        </w:rPr>
      </w:pPr>
      <w:bookmarkStart w:colFirst="0" w:colLast="0" w:name="_uondwm9tnegx" w:id="1"/>
      <w:bookmarkEnd w:id="1"/>
      <w:r w:rsidDel="00000000" w:rsidR="00000000" w:rsidRPr="00000000">
        <w:rPr>
          <w:b w:val="1"/>
          <w:bCs w:val="1"/>
          <w:rtl w:val="0"/>
        </w:rPr>
        <w:t xml:space="preserve">1. Introdução e Propósito Estratégico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padronização no manuseio de objetos binários dentro do n8n é um pilar fundamental para a construção de arquiteturas de automação resilientes. Sob a ótica da Governança de TI, o estabelecimento de diretrizes técnicas rigorosas não visa apenas o funcionamento imediato, mas a redução drástica do débito técnico e a garantia da auditabilidade dos fluxos. A ausência de padrões na manipulação de arquivos resulta em "fluxos frágeis" que frequentemente falham em processos de handover ou atualizações de ambiente. Este manual estabelece o protocolo para assegurar que a integridade do dado seja preservada e que a experiência do usuário final seja pautada pela confiabilidade. A excelência operacional começa na origem: a geração precisa do arquivo.</w:t>
      </w:r>
    </w:p>
    <w:p w:rsidR="00000000" w:rsidDel="00000000" w:rsidP="00000000" w:rsidRDefault="00000000" w:rsidRPr="00000000" w14:paraId="00000005">
      <w:pPr>
        <w:pStyle w:val="Heading5"/>
        <w:rPr>
          <w:b w:val="1"/>
          <w:bCs w:val="1"/>
        </w:rPr>
      </w:pPr>
      <w:bookmarkStart w:colFirst="0" w:colLast="0" w:name="_6ws6rlqat18b" w:id="2"/>
      <w:bookmarkEnd w:id="2"/>
      <w:r w:rsidDel="00000000" w:rsidR="00000000" w:rsidRPr="00000000">
        <w:rPr>
          <w:b w:val="1"/>
          <w:bCs w:val="1"/>
          <w:rtl w:val="0"/>
        </w:rPr>
        <w:t xml:space="preserve">2. Configuração do Nó Gerador: Spreadsheet File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 nó  </w:t>
      </w:r>
      <w:r w:rsidDel="00000000" w:rsidR="00000000" w:rsidRPr="00000000">
        <w:rPr>
          <w:b w:val="1"/>
          <w:bCs w:val="1"/>
          <w:rtl w:val="0"/>
        </w:rPr>
        <w:t xml:space="preserve">Spreadsheet File</w:t>
      </w:r>
      <w:r w:rsidDel="00000000" w:rsidR="00000000" w:rsidRPr="00000000">
        <w:rPr>
          <w:rtl w:val="0"/>
        </w:rPr>
        <w:t xml:space="preserve">  desempenha o papel crítico de motor de transformação, convertendo dados estruturados em JSON para o formato binário Excel (.xlsx). Para garantir a escalabilidade e a interoperabilidade entre diferentes serviços e nós do ecossistema n8n, as seguintes configurações são mandatórias: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Operation:</w:t>
      </w:r>
      <w:r w:rsidDel="00000000" w:rsidR="00000000" w:rsidRPr="00000000">
        <w:rPr>
          <w:rtl w:val="0"/>
        </w:rPr>
        <w:t xml:space="preserve">  Definir obrigatoriamente como Write to File. Esta operação é a responsável por consolidar o payload JSON em um buffer binário.</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File Format:</w:t>
      </w:r>
      <w:r w:rsidDel="00000000" w:rsidR="00000000" w:rsidRPr="00000000">
        <w:rPr>
          <w:rtl w:val="0"/>
        </w:rPr>
        <w:t xml:space="preserve">  Selecionar XLSX. Este é o padrão corporativo que garante suporte a metadados avançados e ampla compatibilidade.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Binary Property:</w:t>
      </w:r>
      <w:r w:rsidDel="00000000" w:rsidR="00000000" w:rsidRPr="00000000">
        <w:rPr>
          <w:rtl w:val="0"/>
        </w:rPr>
        <w:t xml:space="preserve">  Utilizar estritamente o termo data. Esta não é uma recomendação estética, mas um padrão de arquitetura para interoperabilidade, uma vez que a maioria dos nós subsequentes e integrações da comunidade n8n esperam data como o nome da propriedade binária padrão.Gerar o arquivo corretamente é apenas metade da jornada; sem um protocolo de entrega robusto, o dado permanece inacessível ou incompreensível para o sistema de destino.</w:t>
      </w:r>
    </w:p>
    <w:p w:rsidR="00000000" w:rsidDel="00000000" w:rsidP="00000000" w:rsidRDefault="00000000" w:rsidRPr="00000000" w14:paraId="0000000C">
      <w:pPr>
        <w:pStyle w:val="Heading5"/>
        <w:rPr>
          <w:b w:val="1"/>
          <w:bCs w:val="1"/>
        </w:rPr>
      </w:pPr>
      <w:bookmarkStart w:colFirst="0" w:colLast="0" w:name="_t2wtycsbwxm7" w:id="3"/>
      <w:bookmarkEnd w:id="3"/>
      <w:r w:rsidDel="00000000" w:rsidR="00000000" w:rsidRPr="00000000">
        <w:rPr>
          <w:b w:val="1"/>
          <w:bCs w:val="1"/>
          <w:rtl w:val="0"/>
        </w:rPr>
        <w:t xml:space="preserve">3. Configuração do Nó "Respond to Webhook"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 nó  </w:t>
      </w:r>
      <w:r w:rsidDel="00000000" w:rsidR="00000000" w:rsidRPr="00000000">
        <w:rPr>
          <w:b w:val="1"/>
          <w:bCs w:val="1"/>
          <w:rtl w:val="0"/>
        </w:rPr>
        <w:t xml:space="preserve">Respond to Webhook</w:t>
      </w:r>
      <w:r w:rsidDel="00000000" w:rsidR="00000000" w:rsidRPr="00000000">
        <w:rPr>
          <w:rtl w:val="0"/>
        </w:rPr>
        <w:t xml:space="preserve">  é o gateway final de entrega, mediando a comunicação entre o servidor n8n e o cliente (seja um navegador ou uma API externa). Sua configuração deve refletir uma decisão arquitetural consciente para evitar falhas de stream: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Respond With:</w:t>
      </w:r>
      <w:r w:rsidDel="00000000" w:rsidR="00000000" w:rsidRPr="00000000">
        <w:rPr>
          <w:rtl w:val="0"/>
        </w:rPr>
        <w:t xml:space="preserve">  Selecionar Binary File. Isso altera o corpo da resposta HTTP de um objeto JSON para o conteúdo bruto do arquivo.</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Response Data Selection:</w:t>
      </w:r>
      <w:r w:rsidDel="00000000" w:rsidR="00000000" w:rsidRPr="00000000">
        <w:rPr>
          <w:rtl w:val="0"/>
        </w:rPr>
        <w:t xml:space="preserve">  Definir como First Item.</w:t>
      </w:r>
    </w:p>
    <w:p w:rsidR="00000000" w:rsidDel="00000000" w:rsidP="00000000" w:rsidRDefault="00000000" w:rsidRPr="00000000" w14:paraId="00000012">
      <w:pPr>
        <w:numPr>
          <w:ilvl w:val="0"/>
          <w:numId w:val="3"/>
        </w:numPr>
        <w:ind w:left="720" w:hanging="360"/>
        <w:rPr>
          <w:u w:val="none"/>
        </w:rPr>
      </w:pPr>
      <w:r w:rsidDel="00000000" w:rsidR="00000000" w:rsidRPr="00000000">
        <w:rPr>
          <w:i w:val="1"/>
          <w:iCs w:val="1"/>
          <w:rtl w:val="0"/>
        </w:rPr>
        <w:t xml:space="preserve">Diretriz de Arquitetura:</w:t>
      </w:r>
      <w:r w:rsidDel="00000000" w:rsidR="00000000" w:rsidRPr="00000000">
        <w:rPr>
          <w:rtl w:val="0"/>
        </w:rPr>
        <w:t xml:space="preserve">  Para respostas de Webhook que entregam arquivos, o uso de First Item é o padrão de segurança. Selecionar All Items quando múltiplos itens estão presentes no nó causará erros de protocolo, pois uma requisição HTTP suporta apenas um corpo de resposta por vez.</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Response Binary Property:</w:t>
      </w:r>
      <w:r w:rsidDel="00000000" w:rsidR="00000000" w:rsidRPr="00000000">
        <w:rPr>
          <w:rtl w:val="0"/>
        </w:rPr>
        <w:t xml:space="preserve">  Confirmar a vinculação com a propriedade data definida no estágio anterior.</w:t>
      </w:r>
      <w:r w:rsidDel="00000000" w:rsidR="00000000" w:rsidRPr="00000000">
        <w:rPr>
          <w:b w:val="1"/>
          <w:bCs w:val="1"/>
          <w:rtl w:val="0"/>
        </w:rPr>
        <w:t xml:space="preserve">Nota Técnica de Versão:</w:t>
      </w:r>
      <w:r w:rsidDel="00000000" w:rsidR="00000000" w:rsidRPr="00000000">
        <w:rPr>
          <w:rtl w:val="0"/>
        </w:rPr>
        <w:t xml:space="preserve">  Em instâncias legadas do n8n, o parâmetro "Respond With" pode estar localizado no menu "Options". Em versões atuais, ele é posicionado como uma configuração primária no topo do painel do nó.</w:t>
      </w:r>
    </w:p>
    <w:p w:rsidR="00000000" w:rsidDel="00000000" w:rsidP="00000000" w:rsidRDefault="00000000" w:rsidRPr="00000000" w14:paraId="00000014">
      <w:pPr>
        <w:pStyle w:val="Heading5"/>
        <w:rPr>
          <w:b w:val="1"/>
          <w:bCs w:val="1"/>
        </w:rPr>
      </w:pPr>
      <w:bookmarkStart w:colFirst="0" w:colLast="0" w:name="_3cuoypk1242b" w:id="4"/>
      <w:bookmarkEnd w:id="4"/>
      <w:r w:rsidDel="00000000" w:rsidR="00000000" w:rsidRPr="00000000">
        <w:rPr>
          <w:b w:val="1"/>
          <w:bCs w:val="1"/>
          <w:rtl w:val="0"/>
        </w:rPr>
        <w:t xml:space="preserve">4. Protocolo de Metadados: Cabeçalhos de Resposta (Response Headers)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Os HTTP Headers são essenciais para a identificação estratégica do tipo de arquivo. Sem metadados explícitos, o receptor pode interpretar o Excel como texto simples ou binário genérico (octet-stream), corrompendo a experiência de download.Para configurar, acesse  </w:t>
      </w:r>
      <w:r w:rsidDel="00000000" w:rsidR="00000000" w:rsidRPr="00000000">
        <w:rPr>
          <w:b w:val="1"/>
          <w:bCs w:val="1"/>
          <w:rtl w:val="0"/>
        </w:rPr>
        <w:t xml:space="preserve">Add Option</w:t>
      </w:r>
      <w:r w:rsidDel="00000000" w:rsidR="00000000" w:rsidRPr="00000000">
        <w:rPr>
          <w:rtl w:val="0"/>
        </w:rPr>
        <w:t xml:space="preserve">  &gt;  </w:t>
      </w:r>
      <w:r w:rsidDel="00000000" w:rsidR="00000000" w:rsidRPr="00000000">
        <w:rPr>
          <w:b w:val="1"/>
          <w:bCs w:val="1"/>
          <w:rtl w:val="0"/>
        </w:rPr>
        <w:t xml:space="preserve">Response Headers</w:t>
      </w:r>
      <w:r w:rsidDel="00000000" w:rsidR="00000000" w:rsidRPr="00000000">
        <w:rPr>
          <w:rtl w:val="0"/>
        </w:rPr>
        <w:t xml:space="preserve">  e aplique rigorosamente os valores abaixo:| Header | Valor || ------ | ------ || Content-Type | application/vnd.openxmlformats-officedocument.spreadsheetml.sheet || Content-Disposition | attachment; filename="relatorio_final.xlsx" |</w:t>
      </w:r>
    </w:p>
    <w:p w:rsidR="00000000" w:rsidDel="00000000" w:rsidP="00000000" w:rsidRDefault="00000000" w:rsidRPr="00000000" w14:paraId="00000017">
      <w:pPr>
        <w:rPr/>
      </w:pPr>
      <w:r w:rsidDel="00000000" w:rsidR="00000000" w:rsidRPr="00000000">
        <w:rPr>
          <w:b w:val="1"/>
          <w:bCs w:val="1"/>
          <w:rtl w:val="0"/>
        </w:rPr>
        <w:t xml:space="preserve">IMPORTANTE:</w:t>
      </w:r>
      <w:r w:rsidDel="00000000" w:rsidR="00000000" w:rsidRPr="00000000">
        <w:rPr>
          <w:rtl w:val="0"/>
        </w:rPr>
        <w:t xml:space="preserve">  O valor do filename pode e deve ser dinâmico utilizando expressões (ex: attachment; filename="relatorio_{{ $now.format('yyyy-MM-dd') }}.xlsx").</w:t>
      </w:r>
      <w:r w:rsidDel="00000000" w:rsidR="00000000" w:rsidRPr="00000000">
        <w:rPr>
          <w:b w:val="1"/>
          <w:bCs w:val="1"/>
          <w:rtl w:val="0"/>
        </w:rPr>
        <w:t xml:space="preserve">AVISO CRUCIAL:</w:t>
      </w:r>
      <w:r w:rsidDel="00000000" w:rsidR="00000000" w:rsidRPr="00000000">
        <w:rPr>
          <w:rtl w:val="0"/>
        </w:rPr>
        <w:t xml:space="preserve">  É obrigatório que o nome do arquivo termine explicitamente com a extensão  </w:t>
      </w:r>
      <w:r w:rsidDel="00000000" w:rsidR="00000000" w:rsidRPr="00000000">
        <w:rPr>
          <w:b w:val="1"/>
          <w:bCs w:val="1"/>
          <w:rtl w:val="0"/>
        </w:rPr>
        <w:t xml:space="preserve">.xlsx</w:t>
      </w:r>
      <w:r w:rsidDel="00000000" w:rsidR="00000000" w:rsidRPr="00000000">
        <w:rPr>
          <w:rtl w:val="0"/>
        </w:rPr>
        <w:t xml:space="preserve"> . Sem este sufixo, o sistema operacional do usuário não conseguirá associar o arquivo ao Microsoft Excel, gerando chamados de suporte desnecessários e percepção de falha no sistema.</w:t>
      </w:r>
    </w:p>
    <w:p w:rsidR="00000000" w:rsidDel="00000000" w:rsidP="00000000" w:rsidRDefault="00000000" w:rsidRPr="00000000" w14:paraId="00000018">
      <w:pPr>
        <w:pStyle w:val="Heading5"/>
        <w:rPr>
          <w:b w:val="1"/>
          <w:bCs w:val="1"/>
        </w:rPr>
      </w:pPr>
      <w:bookmarkStart w:colFirst="0" w:colLast="0" w:name="_sov1v7qwjs78" w:id="5"/>
      <w:bookmarkEnd w:id="5"/>
      <w:r w:rsidDel="00000000" w:rsidR="00000000" w:rsidRPr="00000000">
        <w:rPr>
          <w:b w:val="1"/>
          <w:bCs w:val="1"/>
          <w:rtl w:val="0"/>
        </w:rPr>
        <w:t xml:space="preserve">5. Arquitetura de Referência e Boas Práticas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Uma arquitetura de dados bem configurada segue uma sequência lógica unidirecional que garante a integridade do binário desde a extração até o handshake final:</w:t>
      </w:r>
      <w:r w:rsidDel="00000000" w:rsidR="00000000" w:rsidRPr="00000000">
        <w:rPr>
          <w:b w:val="1"/>
          <w:bCs w:val="1"/>
          <w:rtl w:val="0"/>
        </w:rPr>
        <w:t xml:space="preserve">Sequência Lógica:</w:t>
      </w:r>
      <w:r w:rsidDel="00000000" w:rsidR="00000000" w:rsidRPr="00000000">
        <w:rPr>
          <w:rtl w:val="0"/>
        </w:rPr>
        <w:t xml:space="preserve">  Fonte de Dados (SQL/API/Sheets) -&gt; Spreadsheet File (Transformação) -&gt; Respond to Webhook (Entrega)Para manter a conformidade e evitar a corrupção de dados, todo desenvolvedor deve seguir estas  </w:t>
      </w:r>
      <w:r w:rsidDel="00000000" w:rsidR="00000000" w:rsidRPr="00000000">
        <w:rPr>
          <w:b w:val="1"/>
          <w:bCs w:val="1"/>
          <w:rtl w:val="0"/>
        </w:rPr>
        <w:t xml:space="preserve">Três Diretrizes de Ouro</w:t>
      </w:r>
      <w:r w:rsidDel="00000000" w:rsidR="00000000" w:rsidRPr="00000000">
        <w:rPr>
          <w:rtl w:val="0"/>
        </w:rPr>
        <w:t xml:space="preserve"> :</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Padronização de Propriedade:</w:t>
      </w:r>
      <w:r w:rsidDel="00000000" w:rsidR="00000000" w:rsidRPr="00000000">
        <w:rPr>
          <w:rtl w:val="0"/>
        </w:rPr>
        <w:t xml:space="preserve">  Nunca altere o nome da propriedade binária de data, garantindo que o fluxo seja legível para qualquer membro da equipe.</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Rigor nos Metadados:</w:t>
      </w:r>
      <w:r w:rsidDel="00000000" w:rsidR="00000000" w:rsidRPr="00000000">
        <w:rPr>
          <w:rtl w:val="0"/>
        </w:rPr>
        <w:t xml:space="preserve">  Nunca envie um arquivo binário via Webhook sem os cabeçalhos Content-Type e Content-Disposition devidamente preenchidos.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Singularidade na Resposta:</w:t>
      </w:r>
      <w:r w:rsidDel="00000000" w:rsidR="00000000" w:rsidRPr="00000000">
        <w:rPr>
          <w:rtl w:val="0"/>
        </w:rPr>
        <w:t xml:space="preserve">  Certifique-se de que o nó de resposta esteja processando apenas o primeiro item para evitar colisões no protocolo HTTP.A adoção estrita deste manual assegura que as automações de distribuição de dados não apenas funcionem, mas operem sob os mais altos padrões de governança e excelência técnica.</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