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i w:val="0"/>
          <w:color w:val="4472C4"/>
          <w:sz w:val="20"/>
        </w:rPr>
        <w:t>YUVA INTERN — VIRTUAL DATA SCIENCE WITH PYTHON TRAINEE</w:t>
      </w:r>
    </w:p>
    <w:p>
      <w:pPr>
        <w:spacing w:before="80" w:after="120"/>
      </w:pPr>
      <w:r>
        <w:rPr>
          <w:rFonts w:ascii="Calibri" w:hAnsi="Calibri"/>
          <w:b/>
          <w:i w:val="0"/>
          <w:color w:val="1F497D"/>
          <w:sz w:val="44"/>
        </w:rPr>
        <w:t>WEEK 4 TASK: SUPERVISED LEARNING MODEL IMPLEMENTATION</w:t>
      </w:r>
    </w:p>
    <w:p>
      <w:pPr>
        <w:spacing w:before="0" w:after="280"/>
      </w:pPr>
      <w:r>
        <w:rPr>
          <w:rFonts w:ascii="Calibri" w:hAnsi="Calibri"/>
          <w:b w:val="0"/>
          <w:i/>
          <w:color w:val="595959"/>
          <w:sz w:val="26"/>
        </w:rPr>
        <w:t>Predictive Customer Attrition Analytics in Telecommunications: End-to-End Pipeline, Feature Engineering, Multi-Model Benchmarking, and Financial Decision Threshold Optimization</w:t>
      </w:r>
    </w:p>
    <w:tbl>
      <w:tblPr>
        <w:tblW w:type="auto" w:w="0"/>
        <w:jc w:val="center"/>
        <w:tblLook w:firstColumn="1" w:firstRow="1" w:lastColumn="0" w:lastRow="0" w:noHBand="0" w:noVBand="1" w:val="04A0"/>
      </w:tblPr>
      <w:tblGrid>
        <w:gridCol w:w="4680"/>
        <w:gridCol w:w="4680"/>
      </w:tblGrid>
      <w:tr>
        <w:tc>
          <w:tcPr>
            <w:tcW w:type="dxa" w:w="2880"/>
          </w:tcPr>
          <w:p>
            <w:r>
              <w:rPr>
                <w:rFonts w:ascii="Calibri" w:hAnsi="Calibri"/>
                <w:b/>
                <w:i w:val="0"/>
                <w:color w:val="1F497D"/>
                <w:sz w:val="20"/>
              </w:rPr>
              <w:t>Author / Trainee:</w:t>
            </w:r>
          </w:p>
        </w:tc>
        <w:tc>
          <w:tcPr>
            <w:tcW w:type="dxa" w:w="6480"/>
          </w:tcPr>
          <w:p>
            <w:r>
              <w:rPr>
                <w:rFonts w:ascii="Calibri" w:hAnsi="Calibri"/>
                <w:b w:val="0"/>
                <w:i w:val="0"/>
                <w:color w:val="1E1E1E"/>
                <w:sz w:val="20"/>
              </w:rPr>
              <w:t>Ajnish Kumar (Roll No: 241809046713)</w:t>
            </w:r>
          </w:p>
        </w:tc>
      </w:tr>
      <w:tr>
        <w:tc>
          <w:tcPr>
            <w:tcW w:type="dxa" w:w="2880"/>
          </w:tcPr>
          <w:p>
            <w:r>
              <w:rPr>
                <w:rFonts w:ascii="Calibri" w:hAnsi="Calibri"/>
                <w:b/>
                <w:i w:val="0"/>
                <w:color w:val="1F497D"/>
                <w:sz w:val="20"/>
              </w:rPr>
              <w:t>Academic Program:</w:t>
            </w:r>
          </w:p>
        </w:tc>
        <w:tc>
          <w:tcPr>
            <w:tcW w:type="dxa" w:w="6480"/>
          </w:tcPr>
          <w:p>
            <w:r>
              <w:rPr>
                <w:rFonts w:ascii="Calibri" w:hAnsi="Calibri"/>
                <w:b w:val="0"/>
                <w:i w:val="0"/>
                <w:color w:val="1E1E1E"/>
                <w:sz w:val="20"/>
              </w:rPr>
              <w:t>Bachelor of Computer Applications (BCA), Vinoba Bhave University, Hazaribag</w:t>
            </w:r>
          </w:p>
        </w:tc>
      </w:tr>
      <w:tr>
        <w:tc>
          <w:tcPr>
            <w:tcW w:type="dxa" w:w="2880"/>
          </w:tcPr>
          <w:p>
            <w:r>
              <w:rPr>
                <w:rFonts w:ascii="Calibri" w:hAnsi="Calibri"/>
                <w:b/>
                <w:i w:val="0"/>
                <w:color w:val="1F497D"/>
                <w:sz w:val="20"/>
              </w:rPr>
              <w:t>Course / Internship:</w:t>
            </w:r>
          </w:p>
        </w:tc>
        <w:tc>
          <w:tcPr>
            <w:tcW w:type="dxa" w:w="6480"/>
          </w:tcPr>
          <w:p>
            <w:r>
              <w:rPr>
                <w:rFonts w:ascii="Calibri" w:hAnsi="Calibri"/>
                <w:b w:val="0"/>
                <w:i w:val="0"/>
                <w:color w:val="1E1E1E"/>
                <w:sz w:val="20"/>
              </w:rPr>
              <w:t>Virtual Data Science with Python Trainee | Yuva Intern</w:t>
            </w:r>
          </w:p>
        </w:tc>
      </w:tr>
      <w:tr>
        <w:tc>
          <w:tcPr>
            <w:tcW w:type="dxa" w:w="2880"/>
          </w:tcPr>
          <w:p>
            <w:r>
              <w:rPr>
                <w:rFonts w:ascii="Calibri" w:hAnsi="Calibri"/>
                <w:b/>
                <w:i w:val="0"/>
                <w:color w:val="1F497D"/>
                <w:sz w:val="20"/>
              </w:rPr>
              <w:t>Submission Date:</w:t>
            </w:r>
          </w:p>
        </w:tc>
        <w:tc>
          <w:tcPr>
            <w:tcW w:type="dxa" w:w="6480"/>
          </w:tcPr>
          <w:p>
            <w:r>
              <w:rPr>
                <w:rFonts w:ascii="Calibri" w:hAnsi="Calibri"/>
                <w:b w:val="0"/>
                <w:i w:val="0"/>
                <w:color w:val="1E1E1E"/>
                <w:sz w:val="20"/>
              </w:rPr>
              <w:t>September 2026</w:t>
            </w:r>
          </w:p>
        </w:tc>
      </w:tr>
    </w:tbl>
    <w:p>
      <w:pPr>
        <w:spacing w:after="240"/>
      </w:pPr>
    </w:p>
    <w:tbl>
      <w:tblPr>
        <w:tblW w:type="auto" w:w="0"/>
        <w:jc w:val="center"/>
        <w:tblLook w:firstColumn="1" w:firstRow="1" w:lastColumn="0" w:lastRow="0" w:noHBand="0" w:noVBand="1" w:val="04A0"/>
      </w:tblPr>
      <w:tblGrid>
        <w:gridCol w:w="9360"/>
      </w:tblGrid>
      <w:tr>
        <w:tc>
          <w:tcPr>
            <w:tcW w:type="dxa" w:w="9360"/>
            <w:shd w:fill="F0F4F8"/>
            <w:tcBorders>
              <w:left w:val="single" w:sz="24" w:space="0" w:color="1F497D"/>
              <w:top w:val="none"/>
              <w:right w:val="none"/>
              <w:bottom w:val="none"/>
            </w:tcBorders>
          </w:tcPr>
          <w:p>
            <w:pPr>
              <w:spacing w:before="120" w:after="120" w:line="276" w:lineRule="auto"/>
              <w:ind w:left="216" w:right="216"/>
            </w:pPr>
            <w:r>
              <w:rPr>
                <w:rFonts w:ascii="Calibri" w:hAnsi="Calibri"/>
                <w:b/>
                <w:i w:val="0"/>
                <w:color w:val="1F497D"/>
                <w:sz w:val="21"/>
              </w:rPr>
              <w:t>EXECUTIVE SUMMARY &amp; KEY DELIVERABLES:</w:t>
              <w:br/>
            </w:r>
            <w:r>
              <w:rPr>
                <w:rFonts w:ascii="Calibri" w:hAnsi="Calibri"/>
                <w:b w:val="0"/>
                <w:i/>
                <w:color w:val="1E1E1E"/>
                <w:sz w:val="21"/>
              </w:rPr>
              <w:t>Executive Abstract: This technical report presents a comprehensive, production-grade supervised learning framework addressing customer churn prediction on the benchmark IBM Telco Customer Churn dataset (N = 7,043). Using domain-driven feature engineering (tenure cohorts, expenditure velocity ratios, service density, high-risk contract-payment interactions) and a leak-free ColumnTransformer pipeline, 6 machine learning algorithms were benchmarked across Stratified 5-Fold Cross-Validation: Dummy Baseline, Logistic Regression, Decision Tree, Random Forest, Gradient Boosting, and Support Vector Machines. Random Forest and Gradient Boosting achieved superior discrimination (ROC-AUC 0.8428, PR-AUC 0.6543). Moving beyond arbitrary 0.50 probability cutoffs, financial cost-benefit optimization ($200 churn loss vs. $30 retention incentive) established an optimal decision threshold of p* = 0.19 to 0.35, generating a net savings of $116,270 on the holdout cohort relative to inaction.</w:t>
            </w:r>
          </w:p>
        </w:tc>
      </w:tr>
    </w:tbl>
    <w:p>
      <w:pPr>
        <w:spacing w:after="80"/>
      </w:pPr>
    </w:p>
    <w:p>
      <w:pPr>
        <w:pStyle w:val="Heading1"/>
        <w:keepNext/>
        <w:spacing w:before="280" w:after="120"/>
        <w:jc w:val="left"/>
      </w:pPr>
      <w:r>
        <w:rPr>
          <w:rFonts w:ascii="Calibri" w:hAnsi="Calibri"/>
          <w:color w:val="1F497D"/>
        </w:rPr>
        <w:t>1. Problem Definition and Domain Context</w:t>
      </w:r>
    </w:p>
    <w:p>
      <w:pPr>
        <w:spacing w:after="120" w:line="276" w:lineRule="auto"/>
      </w:pPr>
      <w:r>
        <w:rPr>
          <w:rFonts w:ascii="Calibri" w:hAnsi="Calibri"/>
          <w:b w:val="0"/>
          <w:i w:val="0"/>
          <w:color w:val="1E1E1E"/>
          <w:sz w:val="22"/>
        </w:rPr>
        <w:t>In subscription-based telecommunications, customer retention represents the single greatest lever for sustainable revenue growth. Empirical business research consistently indicates that acquiring a new telecom subscriber is 5 to 7 times more expensive than retaining an existing account. When customers defect to competing service providers (a phenomenon termed 'churn'), the enterprise incurs two catastrophic financial penalties: the loss of recurring lifetime cash flows and the unrecovered customer acquisition cost (CAC).</w:t>
      </w:r>
    </w:p>
    <w:p>
      <w:pPr>
        <w:spacing w:after="120" w:line="276" w:lineRule="auto"/>
      </w:pPr>
      <w:r>
        <w:rPr>
          <w:rFonts w:ascii="Calibri" w:hAnsi="Calibri"/>
          <w:b w:val="0"/>
          <w:i w:val="0"/>
          <w:color w:val="1E1E1E"/>
          <w:sz w:val="22"/>
        </w:rPr>
        <w:t>The core business challenge is that customer churn is rarely an abrupt, unheralded event. Rather, it represents the culmination of a protracted behavioral drift characterized by dissatisfaction with pricing structures, sub-optimal product utilization, lack of technical support, or the termination of temporary promotional discounts. By training supervised machine learning models on multidimensional historical telemetry, the enterprise can transition from reactive post-mortem analysis to proactive retention interventions.</w:t>
      </w:r>
    </w:p>
    <w:p>
      <w:pPr>
        <w:pStyle w:val="Heading2"/>
        <w:keepNext/>
        <w:spacing w:before="280" w:after="120"/>
        <w:jc w:val="left"/>
      </w:pPr>
      <w:r>
        <w:rPr>
          <w:rFonts w:ascii="Calibri" w:hAnsi="Calibri"/>
          <w:color w:val="4472C4"/>
        </w:rPr>
        <w:t>1.1 Mathematical Formulation of Supervised Binary Classification</w:t>
      </w:r>
    </w:p>
    <w:p>
      <w:pPr>
        <w:spacing w:after="120" w:line="276" w:lineRule="auto"/>
      </w:pPr>
      <w:r>
        <w:rPr>
          <w:rFonts w:ascii="Calibri" w:hAnsi="Calibri"/>
          <w:b w:val="0"/>
          <w:i w:val="0"/>
          <w:color w:val="1E1E1E"/>
          <w:sz w:val="22"/>
        </w:rPr>
        <w:t>Let the telecommunications customer registry be denoted by a supervised dataset D = {(x_i, y_i)} for i = 1, ..., N, where each instance x_i in R^d is a d-dimensional feature vector capturing demographic attributes, account tenancy, contractual arrangements, subscribed digital services, and historical billing metrics. The target ground truth y_i in {0, 1} is a discrete binary variable representing customer status at the conclusion of the observation window:</w:t>
      </w:r>
    </w:p>
    <w:p>
      <w:pPr>
        <w:pStyle w:val="ListBullet"/>
        <w:spacing w:after="60" w:line="276" w:lineRule="auto"/>
        <w:ind w:left="504"/>
      </w:pPr>
      <w:r>
        <w:rPr>
          <w:rFonts w:ascii="Calibri" w:hAnsi="Calibri"/>
          <w:b/>
          <w:i w:val="0"/>
          <w:color w:val="1F497D"/>
          <w:sz w:val="21"/>
        </w:rPr>
        <w:t xml:space="preserve">Class 0: </w:t>
      </w:r>
      <w:r>
        <w:rPr>
          <w:rFonts w:ascii="Calibri" w:hAnsi="Calibri"/>
          <w:b w:val="0"/>
          <w:i w:val="0"/>
          <w:color w:val="1E1E1E"/>
          <w:sz w:val="21"/>
        </w:rPr>
        <w:t>y_i = 0: Retained customer (remained active on the network; negative class, 73.46% prevalence).</w:t>
      </w:r>
    </w:p>
    <w:p>
      <w:pPr>
        <w:pStyle w:val="ListBullet"/>
        <w:spacing w:after="60" w:line="276" w:lineRule="auto"/>
        <w:ind w:left="504"/>
      </w:pPr>
      <w:r>
        <w:rPr>
          <w:rFonts w:ascii="Calibri" w:hAnsi="Calibri"/>
          <w:b/>
          <w:i w:val="0"/>
          <w:color w:val="1F497D"/>
          <w:sz w:val="21"/>
        </w:rPr>
        <w:t xml:space="preserve">Class 1: </w:t>
      </w:r>
      <w:r>
        <w:rPr>
          <w:rFonts w:ascii="Calibri" w:hAnsi="Calibri"/>
          <w:b w:val="0"/>
          <w:i w:val="0"/>
          <w:color w:val="1E1E1E"/>
          <w:sz w:val="21"/>
        </w:rPr>
        <w:t>y_i = 1: Churned customer (terminated contract or cancelled service; positive class, 26.54% prevalence).</w:t>
      </w:r>
    </w:p>
    <w:p>
      <w:pPr>
        <w:spacing w:after="120" w:line="276" w:lineRule="auto"/>
      </w:pPr>
      <w:r>
        <w:rPr>
          <w:rFonts w:ascii="Calibri" w:hAnsi="Calibri"/>
          <w:b w:val="0"/>
          <w:i w:val="0"/>
          <w:color w:val="1E1E1E"/>
          <w:sz w:val="22"/>
        </w:rPr>
        <w:t>The supervised learning objective is to induce a hypothesis function f_theta: R^d -&gt; [0, 1] parameterized by theta that estimates the posterior probability P(Y = 1 | X = x_i). The continuous probability is subsequently mapped to a discrete operational decision d_i in {0, 1} via a parameterized threshold tau:</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1F497D"/>
              <w:top w:val="none"/>
              <w:right w:val="none"/>
              <w:bottom w:val="none"/>
            </w:tcBorders>
          </w:tcPr>
          <w:p>
            <w:pPr>
              <w:spacing w:before="120" w:after="120" w:line="276" w:lineRule="auto"/>
              <w:ind w:left="216" w:right="216"/>
            </w:pPr>
            <w:r>
              <w:rPr>
                <w:rFonts w:ascii="Calibri" w:hAnsi="Calibri"/>
                <w:b/>
                <w:i w:val="0"/>
                <w:color w:val="1F497D"/>
                <w:sz w:val="21"/>
              </w:rPr>
              <w:t xml:space="preserve">Decision Rule: </w:t>
            </w:r>
            <w:r>
              <w:rPr>
                <w:rFonts w:ascii="Calibri" w:hAnsi="Calibri"/>
                <w:b w:val="0"/>
                <w:i/>
                <w:color w:val="1E1E1E"/>
                <w:sz w:val="21"/>
              </w:rPr>
              <w:t>d_i = 1 (Flag for Retention Outreach) if P(Y = 1 | X = x_i) &gt;= tau, else 0 (No Intervention).</w:t>
            </w:r>
          </w:p>
        </w:tc>
      </w:tr>
    </w:tbl>
    <w:p>
      <w:pPr>
        <w:spacing w:after="80"/>
      </w:pPr>
    </w:p>
    <w:p>
      <w:pPr>
        <w:spacing w:after="120" w:line="276" w:lineRule="auto"/>
      </w:pPr>
      <w:r>
        <w:rPr>
          <w:rFonts w:ascii="Calibri" w:hAnsi="Calibri"/>
          <w:b w:val="0"/>
          <w:i w:val="0"/>
          <w:color w:val="1E1E1E"/>
          <w:sz w:val="22"/>
        </w:rPr>
        <w:t>Standard off-the-shelf classifiers universally default to tau = 0.50 under the implicit assumption of symmetric misclassification costs. However, in telecom churn, false negatives (failing to identify an actual churner, resulting in lost Customer Lifetime Value of ~$200) are vastly more detrimental than false positives (dispatching an unneeded retention incentive of ~$30 to a loyal customer). Consequently, rigorous threshold tuning is mathematically and economically required.</w:t>
      </w:r>
    </w:p>
    <w:p>
      <w:pPr>
        <w:pStyle w:val="Heading1"/>
        <w:keepNext/>
        <w:spacing w:before="280" w:after="120"/>
        <w:jc w:val="left"/>
      </w:pPr>
      <w:r>
        <w:rPr>
          <w:rFonts w:ascii="Calibri" w:hAnsi="Calibri"/>
          <w:color w:val="1F497D"/>
        </w:rPr>
        <w:t>2. Dataset Taxonomy and Data Hygiene Audit</w:t>
      </w:r>
    </w:p>
    <w:p>
      <w:pPr>
        <w:spacing w:after="120" w:line="276" w:lineRule="auto"/>
      </w:pPr>
      <w:r>
        <w:rPr>
          <w:rFonts w:ascii="Calibri" w:hAnsi="Calibri"/>
          <w:b w:val="0"/>
          <w:i w:val="0"/>
          <w:color w:val="1E1E1E"/>
          <w:sz w:val="22"/>
        </w:rPr>
        <w:t>The empirical investigation utilizes the benchmark IBM Telco Customer Churn dataset, hosted by the UCI Machine Learning Repository and Kaggle. The dataset comprises 7,043 unique customer accounts across 21 raw columns. The attributes span four functional domains:</w:t>
      </w:r>
    </w:p>
    <w:p>
      <w:pPr>
        <w:pStyle w:val="ListBullet"/>
        <w:spacing w:after="60" w:line="276" w:lineRule="auto"/>
        <w:ind w:left="504"/>
      </w:pPr>
      <w:r>
        <w:rPr>
          <w:rFonts w:ascii="Calibri" w:hAnsi="Calibri"/>
          <w:b/>
          <w:i w:val="0"/>
          <w:color w:val="1F497D"/>
          <w:sz w:val="21"/>
        </w:rPr>
        <w:t xml:space="preserve">Demographics: </w:t>
      </w:r>
      <w:r>
        <w:rPr>
          <w:rFonts w:ascii="Calibri" w:hAnsi="Calibri"/>
          <w:b w:val="0"/>
          <w:i w:val="0"/>
          <w:color w:val="1E1E1E"/>
          <w:sz w:val="21"/>
        </w:rPr>
        <w:t>Demographic Attributes: Biological gender, senior citizen status, marital/partner cohabitation, and household dependents.</w:t>
      </w:r>
    </w:p>
    <w:p>
      <w:pPr>
        <w:pStyle w:val="ListBullet"/>
        <w:spacing w:after="60" w:line="276" w:lineRule="auto"/>
        <w:ind w:left="504"/>
      </w:pPr>
      <w:r>
        <w:rPr>
          <w:rFonts w:ascii="Calibri" w:hAnsi="Calibri"/>
          <w:b/>
          <w:i w:val="0"/>
          <w:color w:val="1F497D"/>
          <w:sz w:val="21"/>
        </w:rPr>
        <w:t xml:space="preserve">Contract &amp; Billing: </w:t>
      </w:r>
      <w:r>
        <w:rPr>
          <w:rFonts w:ascii="Calibri" w:hAnsi="Calibri"/>
          <w:b w:val="0"/>
          <w:i w:val="0"/>
          <w:color w:val="1E1E1E"/>
          <w:sz w:val="21"/>
        </w:rPr>
        <w:t>Account Architecture: Tenancy duration in months (tenure), contract agreement type (Month-to-month, One year, Two year), paperless billing enrollment, and payment method.</w:t>
      </w:r>
    </w:p>
    <w:p>
      <w:pPr>
        <w:pStyle w:val="ListBullet"/>
        <w:spacing w:after="60" w:line="276" w:lineRule="auto"/>
        <w:ind w:left="504"/>
      </w:pPr>
      <w:r>
        <w:rPr>
          <w:rFonts w:ascii="Calibri" w:hAnsi="Calibri"/>
          <w:b/>
          <w:i w:val="0"/>
          <w:color w:val="1F497D"/>
          <w:sz w:val="21"/>
        </w:rPr>
        <w:t xml:space="preserve">Product Portfolio: </w:t>
      </w:r>
      <w:r>
        <w:rPr>
          <w:rFonts w:ascii="Calibri" w:hAnsi="Calibri"/>
          <w:b w:val="0"/>
          <w:i w:val="0"/>
          <w:color w:val="1E1E1E"/>
          <w:sz w:val="21"/>
        </w:rPr>
        <w:t>Subscribed Telecommunication Services: Landline phone service, multiple telephone lines, internet service protocol (DSL, Fiber Optic, No), online security add-ons, online backup, device protection warranty, technical support access, streaming television, and streaming movies.</w:t>
      </w:r>
    </w:p>
    <w:p>
      <w:pPr>
        <w:pStyle w:val="ListBullet"/>
        <w:spacing w:after="60" w:line="276" w:lineRule="auto"/>
        <w:ind w:left="504"/>
      </w:pPr>
      <w:r>
        <w:rPr>
          <w:rFonts w:ascii="Calibri" w:hAnsi="Calibri"/>
          <w:b/>
          <w:i w:val="0"/>
          <w:color w:val="1F497D"/>
          <w:sz w:val="21"/>
        </w:rPr>
        <w:t xml:space="preserve">Financial Telemetry: </w:t>
      </w:r>
      <w:r>
        <w:rPr>
          <w:rFonts w:ascii="Calibri" w:hAnsi="Calibri"/>
          <w:b w:val="0"/>
          <w:i w:val="0"/>
          <w:color w:val="1E1E1E"/>
          <w:sz w:val="21"/>
        </w:rPr>
        <w:t>Financial Metrics: MonthlyCharges ($) billed during the current billing cycle and TotalCharges ($) accumulated over the entire relationship lifecycle.</w:t>
      </w:r>
    </w:p>
    <w:p>
      <w:pPr>
        <w:pStyle w:val="Heading2"/>
        <w:keepNext/>
        <w:spacing w:before="280" w:after="120"/>
        <w:jc w:val="left"/>
      </w:pPr>
      <w:r>
        <w:rPr>
          <w:rFonts w:ascii="Calibri" w:hAnsi="Calibri"/>
          <w:color w:val="4472C4"/>
        </w:rPr>
        <w:t>2.1 Data Hygiene Audit &amp; Zero-Tenure Imputation</w:t>
      </w:r>
    </w:p>
    <w:p>
      <w:pPr>
        <w:spacing w:after="120" w:line="276" w:lineRule="auto"/>
      </w:pPr>
      <w:r>
        <w:rPr>
          <w:rFonts w:ascii="Calibri" w:hAnsi="Calibri"/>
          <w:b w:val="0"/>
          <w:i w:val="0"/>
          <w:color w:val="1E1E1E"/>
          <w:sz w:val="22"/>
        </w:rPr>
        <w:t>A rigorous data hygiene audit revealed a subtle yet critical data quality anomaly in the raw records. The column TotalCharges was stored as an 'object' (string) datatype rather than a floating-point numeric. Detailed inspection isolated exactly 11 customer records where TotalCharges contained empty whitespace strings (' ').</w:t>
      </w:r>
    </w:p>
    <w:tbl>
      <w:tblPr>
        <w:tblW w:type="auto" w:w="0"/>
        <w:jc w:val="center"/>
        <w:tblLook w:firstColumn="1" w:firstRow="1" w:lastColumn="0" w:lastRow="0" w:noHBand="0" w:noVBand="1" w:val="04A0"/>
      </w:tblPr>
      <w:tblGrid>
        <w:gridCol w:w="3120"/>
        <w:gridCol w:w="3120"/>
        <w:gridCol w:w="3120"/>
      </w:tblGrid>
      <w:tr>
        <w:trPr>
          <w:cantSplit/>
          <w:tblHeader/>
        </w:trPr>
        <w:tc>
          <w:tcPr>
            <w:tcW w:type="dxa" w:w="2880"/>
            <w:vAlign w:val="center"/>
            <w:tcMar>
              <w:top w:w="120" w:type="dxa"/>
              <w:bottom w:w="120" w:type="dxa"/>
              <w:left w:w="160" w:type="dxa"/>
              <w:right w:w="160" w:type="dxa"/>
            </w:tcMar>
            <w:shd w:fill="1F497D"/>
          </w:tcPr>
          <w:p>
            <w:pPr>
              <w:jc w:val="center"/>
            </w:pPr>
            <w:r>
              <w:rPr>
                <w:rFonts w:ascii="Calibri" w:hAnsi="Calibri"/>
                <w:b/>
                <w:i w:val="0"/>
                <w:color w:val="FFFFFF"/>
                <w:sz w:val="20"/>
              </w:rPr>
              <w:t>Metric / Audit Check</w:t>
            </w:r>
          </w:p>
        </w:tc>
        <w:tc>
          <w:tcPr>
            <w:tcW w:type="dxa" w:w="3312"/>
            <w:vAlign w:val="center"/>
            <w:tcMar>
              <w:top w:w="120" w:type="dxa"/>
              <w:bottom w:w="120" w:type="dxa"/>
              <w:left w:w="160" w:type="dxa"/>
              <w:right w:w="160" w:type="dxa"/>
            </w:tcMar>
            <w:shd w:fill="1F497D"/>
          </w:tcPr>
          <w:p>
            <w:pPr>
              <w:jc w:val="center"/>
            </w:pPr>
            <w:r>
              <w:rPr>
                <w:rFonts w:ascii="Calibri" w:hAnsi="Calibri"/>
                <w:b/>
                <w:i w:val="0"/>
                <w:color w:val="FFFFFF"/>
                <w:sz w:val="20"/>
              </w:rPr>
              <w:t>Raw Value / Finding</w:t>
            </w:r>
          </w:p>
        </w:tc>
        <w:tc>
          <w:tcPr>
            <w:tcW w:type="dxa" w:w="3168"/>
            <w:vAlign w:val="center"/>
            <w:tcMar>
              <w:top w:w="120" w:type="dxa"/>
              <w:bottom w:w="120" w:type="dxa"/>
              <w:left w:w="160" w:type="dxa"/>
              <w:right w:w="160" w:type="dxa"/>
            </w:tcMar>
            <w:shd w:fill="1F497D"/>
          </w:tcPr>
          <w:p>
            <w:pPr>
              <w:jc w:val="center"/>
            </w:pPr>
            <w:r>
              <w:rPr>
                <w:rFonts w:ascii="Calibri" w:hAnsi="Calibri"/>
                <w:b/>
                <w:i w:val="0"/>
                <w:color w:val="FFFFFF"/>
                <w:sz w:val="20"/>
              </w:rPr>
              <w:t>Engineering Remediation / Resolution</w:t>
            </w:r>
          </w:p>
        </w:tc>
      </w:tr>
      <w:tr>
        <w:trPr>
          <w:cantSplit/>
        </w:trPr>
        <w:tc>
          <w:tcPr>
            <w:tcW w:type="dxa" w:w="2880"/>
            <w:vAlign w:val="center"/>
            <w:tcMar>
              <w:top w:w="120" w:type="dxa"/>
              <w:bottom w:w="120" w:type="dxa"/>
              <w:left w:w="160" w:type="dxa"/>
              <w:right w:w="160" w:type="dxa"/>
            </w:tcMar>
            <w:shd w:fill="F2F5F9"/>
          </w:tcPr>
          <w:p>
            <w:r>
              <w:rPr>
                <w:rFonts w:ascii="Calibri" w:hAnsi="Calibri"/>
                <w:b w:val="0"/>
                <w:i w:val="0"/>
                <w:color w:val="1E1E1E"/>
                <w:sz w:val="19"/>
              </w:rPr>
              <w:t>Total Records (N)</w:t>
            </w:r>
          </w:p>
        </w:tc>
        <w:tc>
          <w:tcPr>
            <w:tcW w:type="dxa" w:w="3312"/>
            <w:vAlign w:val="center"/>
            <w:tcMar>
              <w:top w:w="120" w:type="dxa"/>
              <w:bottom w:w="120" w:type="dxa"/>
              <w:left w:w="160" w:type="dxa"/>
              <w:right w:w="160" w:type="dxa"/>
            </w:tcMar>
            <w:shd w:fill="F2F5F9"/>
          </w:tcPr>
          <w:p>
            <w:r>
              <w:rPr>
                <w:rFonts w:ascii="Calibri" w:hAnsi="Calibri"/>
                <w:b w:val="0"/>
                <w:i w:val="0"/>
                <w:color w:val="1E1E1E"/>
                <w:sz w:val="19"/>
              </w:rPr>
              <w:t>7,043 customer accounts</w:t>
            </w:r>
          </w:p>
        </w:tc>
        <w:tc>
          <w:tcPr>
            <w:tcW w:type="dxa" w:w="3168"/>
            <w:vAlign w:val="center"/>
            <w:tcMar>
              <w:top w:w="120" w:type="dxa"/>
              <w:bottom w:w="120" w:type="dxa"/>
              <w:left w:w="160" w:type="dxa"/>
              <w:right w:w="160" w:type="dxa"/>
            </w:tcMar>
            <w:shd w:fill="F2F5F9"/>
          </w:tcPr>
          <w:p>
            <w:r>
              <w:rPr>
                <w:rFonts w:ascii="Calibri" w:hAnsi="Calibri"/>
                <w:b w:val="0"/>
                <w:i w:val="0"/>
                <w:color w:val="1E1E1E"/>
                <w:sz w:val="19"/>
              </w:rPr>
              <w:t>Preserved 100% of observations; zero row deletion.</w:t>
            </w:r>
          </w:p>
        </w:tc>
      </w:tr>
      <w:tr>
        <w:trPr>
          <w:cantSplit/>
        </w:trPr>
        <w:tc>
          <w:tcPr>
            <w:tcW w:type="dxa" w:w="2880"/>
            <w:vAlign w:val="center"/>
            <w:tcMar>
              <w:top w:w="120" w:type="dxa"/>
              <w:bottom w:w="120" w:type="dxa"/>
              <w:left w:w="160" w:type="dxa"/>
              <w:right w:w="160" w:type="dxa"/>
            </w:tcMar>
            <w:shd w:fill="FFFFFF"/>
          </w:tcPr>
          <w:p>
            <w:r>
              <w:rPr>
                <w:rFonts w:ascii="Calibri" w:hAnsi="Calibri"/>
                <w:b w:val="0"/>
                <w:i w:val="0"/>
                <w:color w:val="1E1E1E"/>
                <w:sz w:val="19"/>
              </w:rPr>
              <w:t>Missing Values (NaN/Null)</w:t>
            </w:r>
          </w:p>
        </w:tc>
        <w:tc>
          <w:tcPr>
            <w:tcW w:type="dxa" w:w="3312"/>
            <w:vAlign w:val="center"/>
            <w:tcMar>
              <w:top w:w="120" w:type="dxa"/>
              <w:bottom w:w="120" w:type="dxa"/>
              <w:left w:w="160" w:type="dxa"/>
              <w:right w:w="160" w:type="dxa"/>
            </w:tcMar>
            <w:shd w:fill="FFFFFF"/>
          </w:tcPr>
          <w:p>
            <w:r>
              <w:rPr>
                <w:rFonts w:ascii="Calibri" w:hAnsi="Calibri"/>
                <w:b w:val="0"/>
                <w:i w:val="0"/>
                <w:color w:val="1E1E1E"/>
                <w:sz w:val="19"/>
              </w:rPr>
              <w:t>0 explicit null entries across 21 columns</w:t>
            </w:r>
          </w:p>
        </w:tc>
        <w:tc>
          <w:tcPr>
            <w:tcW w:type="dxa" w:w="3168"/>
            <w:vAlign w:val="center"/>
            <w:tcMar>
              <w:top w:w="120" w:type="dxa"/>
              <w:bottom w:w="120" w:type="dxa"/>
              <w:left w:w="160" w:type="dxa"/>
              <w:right w:w="160" w:type="dxa"/>
            </w:tcMar>
            <w:shd w:fill="FFFFFF"/>
          </w:tcPr>
          <w:p>
            <w:r>
              <w:rPr>
                <w:rFonts w:ascii="Calibri" w:hAnsi="Calibri"/>
                <w:b w:val="0"/>
                <w:i w:val="0"/>
                <w:color w:val="1E1E1E"/>
                <w:sz w:val="19"/>
              </w:rPr>
              <w:t>Dataset exhibits zero standard null masks.</w:t>
            </w:r>
          </w:p>
        </w:tc>
      </w:tr>
      <w:tr>
        <w:trPr>
          <w:cantSplit/>
        </w:trPr>
        <w:tc>
          <w:tcPr>
            <w:tcW w:type="dxa" w:w="2880"/>
            <w:vAlign w:val="center"/>
            <w:tcMar>
              <w:top w:w="120" w:type="dxa"/>
              <w:bottom w:w="120" w:type="dxa"/>
              <w:left w:w="160" w:type="dxa"/>
              <w:right w:w="160" w:type="dxa"/>
            </w:tcMar>
            <w:shd w:fill="F2F5F9"/>
          </w:tcPr>
          <w:p>
            <w:r>
              <w:rPr>
                <w:rFonts w:ascii="Calibri" w:hAnsi="Calibri"/>
                <w:b w:val="0"/>
                <w:i w:val="0"/>
                <w:color w:val="1E1E1E"/>
                <w:sz w:val="19"/>
              </w:rPr>
              <w:t>Whitespace Formatting in TotalCharges</w:t>
            </w:r>
          </w:p>
        </w:tc>
        <w:tc>
          <w:tcPr>
            <w:tcW w:type="dxa" w:w="3312"/>
            <w:vAlign w:val="center"/>
            <w:tcMar>
              <w:top w:w="120" w:type="dxa"/>
              <w:bottom w:w="120" w:type="dxa"/>
              <w:left w:w="160" w:type="dxa"/>
              <w:right w:w="160" w:type="dxa"/>
            </w:tcMar>
            <w:shd w:fill="F2F5F9"/>
          </w:tcPr>
          <w:p>
            <w:r>
              <w:rPr>
                <w:rFonts w:ascii="Calibri" w:hAnsi="Calibri"/>
                <w:b w:val="0"/>
                <w:i w:val="0"/>
                <w:color w:val="1E1E1E"/>
                <w:sz w:val="19"/>
              </w:rPr>
              <w:t>11 records with empty whitespace strings (' ')</w:t>
            </w:r>
          </w:p>
        </w:tc>
        <w:tc>
          <w:tcPr>
            <w:tcW w:type="dxa" w:w="3168"/>
            <w:vAlign w:val="center"/>
            <w:tcMar>
              <w:top w:w="120" w:type="dxa"/>
              <w:bottom w:w="120" w:type="dxa"/>
              <w:left w:w="160" w:type="dxa"/>
              <w:right w:w="160" w:type="dxa"/>
            </w:tcMar>
            <w:shd w:fill="F2F5F9"/>
          </w:tcPr>
          <w:p>
            <w:r>
              <w:rPr>
                <w:rFonts w:ascii="Calibri" w:hAnsi="Calibri"/>
                <w:b w:val="0"/>
                <w:i w:val="0"/>
                <w:color w:val="1E1E1E"/>
                <w:sz w:val="19"/>
              </w:rPr>
              <w:t>Audited against tenure: all 11 records possess tenure == 0 months. Imputed to 0.00.</w:t>
            </w:r>
          </w:p>
        </w:tc>
      </w:tr>
      <w:tr>
        <w:trPr>
          <w:cantSplit/>
        </w:trPr>
        <w:tc>
          <w:tcPr>
            <w:tcW w:type="dxa" w:w="2880"/>
            <w:vAlign w:val="center"/>
            <w:tcMar>
              <w:top w:w="120" w:type="dxa"/>
              <w:bottom w:w="120" w:type="dxa"/>
              <w:left w:w="160" w:type="dxa"/>
              <w:right w:w="160" w:type="dxa"/>
            </w:tcMar>
            <w:shd w:fill="FFFFFF"/>
          </w:tcPr>
          <w:p>
            <w:r>
              <w:rPr>
                <w:rFonts w:ascii="Calibri" w:hAnsi="Calibri"/>
                <w:b w:val="0"/>
                <w:i w:val="0"/>
                <w:color w:val="1E1E1E"/>
                <w:sz w:val="19"/>
              </w:rPr>
              <w:t>Target Variable Imbalance</w:t>
            </w:r>
          </w:p>
        </w:tc>
        <w:tc>
          <w:tcPr>
            <w:tcW w:type="dxa" w:w="3312"/>
            <w:vAlign w:val="center"/>
            <w:tcMar>
              <w:top w:w="120" w:type="dxa"/>
              <w:bottom w:w="120" w:type="dxa"/>
              <w:left w:w="160" w:type="dxa"/>
              <w:right w:w="160" w:type="dxa"/>
            </w:tcMar>
            <w:shd w:fill="FFFFFF"/>
          </w:tcPr>
          <w:p>
            <w:r>
              <w:rPr>
                <w:rFonts w:ascii="Calibri" w:hAnsi="Calibri"/>
                <w:b w:val="0"/>
                <w:i w:val="0"/>
                <w:color w:val="1E1E1E"/>
                <w:sz w:val="19"/>
              </w:rPr>
              <w:t>5,174 Retained (73.46%) vs. 1,869 Churned (26.54%)</w:t>
            </w:r>
          </w:p>
        </w:tc>
        <w:tc>
          <w:tcPr>
            <w:tcW w:type="dxa" w:w="3168"/>
            <w:vAlign w:val="center"/>
            <w:tcMar>
              <w:top w:w="120" w:type="dxa"/>
              <w:bottom w:w="120" w:type="dxa"/>
              <w:left w:w="160" w:type="dxa"/>
              <w:right w:w="160" w:type="dxa"/>
            </w:tcMar>
            <w:shd w:fill="FFFFFF"/>
          </w:tcPr>
          <w:p>
            <w:r>
              <w:rPr>
                <w:rFonts w:ascii="Calibri" w:hAnsi="Calibri"/>
                <w:b w:val="0"/>
                <w:i w:val="0"/>
                <w:color w:val="1E1E1E"/>
                <w:sz w:val="19"/>
              </w:rPr>
              <w:t>Stratified K-Fold CV applied; balanced class weighting and PR-AUC tracking mandated.</w:t>
            </w:r>
          </w:p>
        </w:tc>
      </w:tr>
    </w:tbl>
    <w:p>
      <w:pPr>
        <w:spacing w:after="120"/>
      </w:pPr>
    </w:p>
    <w:p>
      <w:pPr>
        <w:keepNext/>
        <w:spacing w:before="120" w:after="40"/>
        <w:jc w:val="center"/>
      </w:pPr>
      <w:r>
        <w:drawing>
          <wp:inline xmlns:a="http://schemas.openxmlformats.org/drawingml/2006/main" xmlns:pic="http://schemas.openxmlformats.org/drawingml/2006/picture">
            <wp:extent cx="5669280" cy="2844948"/>
            <wp:docPr id="1" name="Picture 1"/>
            <wp:cNvGraphicFramePr>
              <a:graphicFrameLocks noChangeAspect="1"/>
            </wp:cNvGraphicFramePr>
            <a:graphic>
              <a:graphicData uri="http://schemas.openxmlformats.org/drawingml/2006/picture">
                <pic:pic>
                  <pic:nvPicPr>
                    <pic:cNvPr id="0" name="01_target_distribution.png"/>
                    <pic:cNvPicPr/>
                  </pic:nvPicPr>
                  <pic:blipFill>
                    <a:blip r:embed="rId9"/>
                    <a:stretch>
                      <a:fillRect/>
                    </a:stretch>
                  </pic:blipFill>
                  <pic:spPr>
                    <a:xfrm>
                      <a:off x="0" y="0"/>
                      <a:ext cx="5669280" cy="2844948"/>
                    </a:xfrm>
                    <a:prstGeom prst="rect"/>
                  </pic:spPr>
                </pic:pic>
              </a:graphicData>
            </a:graphic>
          </wp:inline>
        </w:drawing>
      </w:r>
    </w:p>
    <w:p>
      <w:pPr>
        <w:spacing w:before="40" w:after="160"/>
        <w:jc w:val="center"/>
      </w:pPr>
      <w:r>
        <w:rPr>
          <w:rFonts w:ascii="Calibri" w:hAnsi="Calibri"/>
          <w:b w:val="0"/>
          <w:i/>
          <w:color w:val="595959"/>
          <w:sz w:val="19"/>
        </w:rPr>
        <w:t>Figure 1: Target Variable (Churn) Distribution Analysis — Absolute Volume and Proportion.</w:t>
      </w:r>
    </w:p>
    <w:p>
      <w:pPr>
        <w:pStyle w:val="Heading1"/>
        <w:keepNext/>
        <w:spacing w:before="280" w:after="120"/>
        <w:jc w:val="left"/>
      </w:pPr>
      <w:r>
        <w:rPr>
          <w:rFonts w:ascii="Calibri" w:hAnsi="Calibri"/>
          <w:color w:val="1F497D"/>
        </w:rPr>
        <w:t>3. Exploratory Data Analysis &amp; Empirical Behavioral Patterns</w:t>
      </w:r>
    </w:p>
    <w:p>
      <w:pPr>
        <w:spacing w:after="120" w:line="276" w:lineRule="auto"/>
      </w:pPr>
      <w:r>
        <w:rPr>
          <w:rFonts w:ascii="Calibri" w:hAnsi="Calibri"/>
          <w:b w:val="0"/>
          <w:i w:val="0"/>
          <w:color w:val="1E1E1E"/>
          <w:sz w:val="22"/>
        </w:rPr>
        <w:t>Prior to feature construction, an extensive exploratory analysis was performed to isolate the statistical drivers of customer defection.</w:t>
      </w:r>
    </w:p>
    <w:p>
      <w:pPr>
        <w:pStyle w:val="Heading2"/>
        <w:keepNext/>
        <w:spacing w:before="280" w:after="120"/>
        <w:jc w:val="left"/>
      </w:pPr>
      <w:r>
        <w:rPr>
          <w:rFonts w:ascii="Calibri" w:hAnsi="Calibri"/>
          <w:color w:val="4472C4"/>
        </w:rPr>
        <w:t>3.1 The Tenure Lifecycle Curve</w:t>
      </w:r>
    </w:p>
    <w:p>
      <w:pPr>
        <w:spacing w:after="120" w:line="276" w:lineRule="auto"/>
      </w:pPr>
      <w:r>
        <w:rPr>
          <w:rFonts w:ascii="Calibri" w:hAnsi="Calibri"/>
          <w:b w:val="0"/>
          <w:i w:val="0"/>
          <w:color w:val="1E1E1E"/>
          <w:sz w:val="22"/>
        </w:rPr>
        <w:t>Tenure is the single most potent continuous determinant of customer stability. Segmenting customer lifespan into five distinct cohorts reveals an exponential decay in churn propensity as customer relationship duration deepens:</w:t>
      </w:r>
    </w:p>
    <w:p>
      <w:pPr>
        <w:pStyle w:val="ListBullet"/>
        <w:spacing w:after="60" w:line="276" w:lineRule="auto"/>
        <w:ind w:left="504"/>
      </w:pPr>
      <w:r>
        <w:rPr>
          <w:rFonts w:ascii="Calibri" w:hAnsi="Calibri"/>
          <w:b/>
          <w:i w:val="0"/>
          <w:color w:val="1F497D"/>
          <w:sz w:val="21"/>
        </w:rPr>
        <w:t xml:space="preserve">0-12 Months Cohort: </w:t>
      </w:r>
      <w:r>
        <w:rPr>
          <w:rFonts w:ascii="Calibri" w:hAnsi="Calibri"/>
          <w:b w:val="0"/>
          <w:i w:val="0"/>
          <w:color w:val="1E1E1E"/>
          <w:sz w:val="21"/>
        </w:rPr>
        <w:t>New Customers (0 - 12 months): Constitute 2,186 accounts. Churn rate peaks at 47.4%, representing nearly half of all new acquisitions.</w:t>
      </w:r>
    </w:p>
    <w:p>
      <w:pPr>
        <w:pStyle w:val="ListBullet"/>
        <w:spacing w:after="60" w:line="276" w:lineRule="auto"/>
        <w:ind w:left="504"/>
      </w:pPr>
      <w:r>
        <w:rPr>
          <w:rFonts w:ascii="Calibri" w:hAnsi="Calibri"/>
          <w:b/>
          <w:i w:val="0"/>
          <w:color w:val="1F497D"/>
          <w:sz w:val="21"/>
        </w:rPr>
        <w:t xml:space="preserve">13-24 Months Cohort: </w:t>
      </w:r>
      <w:r>
        <w:rPr>
          <w:rFonts w:ascii="Calibri" w:hAnsi="Calibri"/>
          <w:b w:val="0"/>
          <w:i w:val="0"/>
          <w:color w:val="1E1E1E"/>
          <w:sz w:val="21"/>
        </w:rPr>
        <w:t>Early-Stage (13 - 24 months): Churn decreases to 28.7%, indicating an initial stabilization.</w:t>
      </w:r>
    </w:p>
    <w:p>
      <w:pPr>
        <w:pStyle w:val="ListBullet"/>
        <w:spacing w:after="60" w:line="276" w:lineRule="auto"/>
        <w:ind w:left="504"/>
      </w:pPr>
      <w:r>
        <w:rPr>
          <w:rFonts w:ascii="Calibri" w:hAnsi="Calibri"/>
          <w:b/>
          <w:i w:val="0"/>
          <w:color w:val="1F497D"/>
          <w:sz w:val="21"/>
        </w:rPr>
        <w:t xml:space="preserve">25-48 Months Cohort: </w:t>
      </w:r>
      <w:r>
        <w:rPr>
          <w:rFonts w:ascii="Calibri" w:hAnsi="Calibri"/>
          <w:b w:val="0"/>
          <w:i w:val="0"/>
          <w:color w:val="1E1E1E"/>
          <w:sz w:val="21"/>
        </w:rPr>
        <w:t>Mid-Stage (25 - 48 months): Churn drops to 20.3% as customers integrate into service ecosystems.</w:t>
      </w:r>
    </w:p>
    <w:p>
      <w:pPr>
        <w:pStyle w:val="ListBullet"/>
        <w:spacing w:after="60" w:line="276" w:lineRule="auto"/>
        <w:ind w:left="504"/>
      </w:pPr>
      <w:r>
        <w:rPr>
          <w:rFonts w:ascii="Calibri" w:hAnsi="Calibri"/>
          <w:b/>
          <w:i w:val="0"/>
          <w:color w:val="1F497D"/>
          <w:sz w:val="21"/>
        </w:rPr>
        <w:t xml:space="preserve">49-60 Months Cohort: </w:t>
      </w:r>
      <w:r>
        <w:rPr>
          <w:rFonts w:ascii="Calibri" w:hAnsi="Calibri"/>
          <w:b w:val="0"/>
          <w:i w:val="0"/>
          <w:color w:val="1E1E1E"/>
          <w:sz w:val="21"/>
        </w:rPr>
        <w:t>Mature (49 - 60 months): Churn further attenuates to 14.1%.</w:t>
      </w:r>
    </w:p>
    <w:p>
      <w:pPr>
        <w:pStyle w:val="ListBullet"/>
        <w:spacing w:after="60" w:line="276" w:lineRule="auto"/>
        <w:ind w:left="504"/>
      </w:pPr>
      <w:r>
        <w:rPr>
          <w:rFonts w:ascii="Calibri" w:hAnsi="Calibri"/>
          <w:b/>
          <w:i w:val="0"/>
          <w:color w:val="1F497D"/>
          <w:sz w:val="21"/>
        </w:rPr>
        <w:t xml:space="preserve">60+ Months Cohort: </w:t>
      </w:r>
      <w:r>
        <w:rPr>
          <w:rFonts w:ascii="Calibri" w:hAnsi="Calibri"/>
          <w:b w:val="0"/>
          <w:i w:val="0"/>
          <w:color w:val="1E1E1E"/>
          <w:sz w:val="21"/>
        </w:rPr>
        <w:t>Loyal Veterans (60+ months): Churn plummets to 6.6%. Customers who survive past 5 years demonstrate immense brand stickiness.</w:t>
      </w:r>
    </w:p>
    <w:p>
      <w:pPr>
        <w:keepNext/>
        <w:spacing w:before="120" w:after="40"/>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02_tenure_cohort_analysis.png"/>
                    <pic:cNvPicPr/>
                  </pic:nvPicPr>
                  <pic:blipFill>
                    <a:blip r:embed="rId10"/>
                    <a:stretch>
                      <a:fillRect/>
                    </a:stretch>
                  </pic:blipFill>
                  <pic:spPr>
                    <a:xfrm>
                      <a:off x="0" y="0"/>
                      <a:ext cx="5669280" cy="2834640"/>
                    </a:xfrm>
                    <a:prstGeom prst="rect"/>
                  </pic:spPr>
                </pic:pic>
              </a:graphicData>
            </a:graphic>
          </wp:inline>
        </w:drawing>
      </w:r>
    </w:p>
    <w:p>
      <w:pPr>
        <w:spacing w:before="40" w:after="160"/>
        <w:jc w:val="center"/>
      </w:pPr>
      <w:r>
        <w:rPr>
          <w:rFonts w:ascii="Calibri" w:hAnsi="Calibri"/>
          <w:b w:val="0"/>
          <w:i/>
          <w:color w:val="595959"/>
          <w:sz w:val="19"/>
        </w:rPr>
        <w:t>Figure 2: Empirical Churn Rate Across Tenure Lifecycle Cohorts.</w:t>
      </w:r>
    </w:p>
    <w:p>
      <w:pPr>
        <w:pStyle w:val="Heading2"/>
        <w:keepNext/>
        <w:spacing w:before="280" w:after="120"/>
        <w:jc w:val="left"/>
      </w:pPr>
      <w:r>
        <w:rPr>
          <w:rFonts w:ascii="Calibri" w:hAnsi="Calibri"/>
          <w:color w:val="4472C4"/>
        </w:rPr>
        <w:t>3.2 Contractual Architecture &amp; Payment Vulnerabilities</w:t>
      </w:r>
    </w:p>
    <w:p>
      <w:pPr>
        <w:spacing w:after="120" w:line="276" w:lineRule="auto"/>
      </w:pPr>
      <w:r>
        <w:rPr>
          <w:rFonts w:ascii="Calibri" w:hAnsi="Calibri"/>
          <w:b w:val="0"/>
          <w:i w:val="0"/>
          <w:color w:val="1E1E1E"/>
          <w:sz w:val="22"/>
        </w:rPr>
        <w:t>Contract agreement terms act as structural friction against customer defection. Analysis of churn prevalence across contract types reveals stark contrasts:</w:t>
      </w:r>
    </w:p>
    <w:p>
      <w:pPr>
        <w:pStyle w:val="ListBullet"/>
        <w:spacing w:after="60" w:line="276" w:lineRule="auto"/>
        <w:ind w:left="504"/>
      </w:pPr>
      <w:r>
        <w:rPr>
          <w:rFonts w:ascii="Calibri" w:hAnsi="Calibri"/>
          <w:b/>
          <w:i w:val="0"/>
          <w:color w:val="1F497D"/>
          <w:sz w:val="21"/>
        </w:rPr>
        <w:t xml:space="preserve">Month-to-Month: </w:t>
      </w:r>
      <w:r>
        <w:rPr>
          <w:rFonts w:ascii="Calibri" w:hAnsi="Calibri"/>
          <w:b w:val="0"/>
          <w:i w:val="0"/>
          <w:color w:val="1E1E1E"/>
          <w:sz w:val="21"/>
        </w:rPr>
        <w:t>Month-to-Month Contracts: Churn rate reaches an alarming 42.7%. These customers have zero switching friction.</w:t>
      </w:r>
    </w:p>
    <w:p>
      <w:pPr>
        <w:pStyle w:val="ListBullet"/>
        <w:spacing w:after="60" w:line="276" w:lineRule="auto"/>
        <w:ind w:left="504"/>
      </w:pPr>
      <w:r>
        <w:rPr>
          <w:rFonts w:ascii="Calibri" w:hAnsi="Calibri"/>
          <w:b/>
          <w:i w:val="0"/>
          <w:color w:val="1F497D"/>
          <w:sz w:val="21"/>
        </w:rPr>
        <w:t xml:space="preserve">One-Year Commitment: </w:t>
      </w:r>
      <w:r>
        <w:rPr>
          <w:rFonts w:ascii="Calibri" w:hAnsi="Calibri"/>
          <w:b w:val="0"/>
          <w:i w:val="0"/>
          <w:color w:val="1E1E1E"/>
          <w:sz w:val="21"/>
        </w:rPr>
        <w:t>One-Year Contracts: Churn decreases sharply to 11.3% (a nearly 4-fold reduction).</w:t>
      </w:r>
    </w:p>
    <w:p>
      <w:pPr>
        <w:pStyle w:val="ListBullet"/>
        <w:spacing w:after="60" w:line="276" w:lineRule="auto"/>
        <w:ind w:left="504"/>
      </w:pPr>
      <w:r>
        <w:rPr>
          <w:rFonts w:ascii="Calibri" w:hAnsi="Calibri"/>
          <w:b/>
          <w:i w:val="0"/>
          <w:color w:val="1F497D"/>
          <w:sz w:val="21"/>
        </w:rPr>
        <w:t xml:space="preserve">Two-Year Commitment: </w:t>
      </w:r>
      <w:r>
        <w:rPr>
          <w:rFonts w:ascii="Calibri" w:hAnsi="Calibri"/>
          <w:b w:val="0"/>
          <w:i w:val="0"/>
          <w:color w:val="1E1E1E"/>
          <w:sz w:val="21"/>
        </w:rPr>
        <w:t>Two-Year Contracts: Churn drops to a negligible 2.8% (a 15-fold reduction relative to month-to-month).</w:t>
      </w:r>
    </w:p>
    <w:p>
      <w:pPr>
        <w:spacing w:after="120" w:line="276" w:lineRule="auto"/>
      </w:pPr>
      <w:r>
        <w:rPr>
          <w:rFonts w:ascii="Calibri" w:hAnsi="Calibri"/>
          <w:b w:val="0"/>
          <w:i w:val="0"/>
          <w:color w:val="1E1E1E"/>
          <w:sz w:val="22"/>
        </w:rPr>
        <w:t>Simultaneously, customer payment instruments correlate heavily with churn propensity. Subscribers paying via Electronic Check display a 45.3% churn rate, compared to 16.7% for automatic bank transfers and 15.2% for automated credit cards. Customers enrolled in manual electronic payments are actively confronted with bill invoices every month, providing frequent psychological triggers to evaluate competitor pricing.</w:t>
      </w:r>
    </w:p>
    <w:p>
      <w:pPr>
        <w:keepNext/>
        <w:spacing w:before="120" w:after="40"/>
        <w:jc w:val="center"/>
      </w:pPr>
      <w:r>
        <w:drawing>
          <wp:inline xmlns:a="http://schemas.openxmlformats.org/drawingml/2006/main" xmlns:pic="http://schemas.openxmlformats.org/drawingml/2006/picture">
            <wp:extent cx="5669280" cy="2769698"/>
            <wp:docPr id="3" name="Picture 3"/>
            <wp:cNvGraphicFramePr>
              <a:graphicFrameLocks noChangeAspect="1"/>
            </wp:cNvGraphicFramePr>
            <a:graphic>
              <a:graphicData uri="http://schemas.openxmlformats.org/drawingml/2006/picture">
                <pic:pic>
                  <pic:nvPicPr>
                    <pic:cNvPr id="0" name="03_contract_billing_impact.png"/>
                    <pic:cNvPicPr/>
                  </pic:nvPicPr>
                  <pic:blipFill>
                    <a:blip r:embed="rId11"/>
                    <a:stretch>
                      <a:fillRect/>
                    </a:stretch>
                  </pic:blipFill>
                  <pic:spPr>
                    <a:xfrm>
                      <a:off x="0" y="0"/>
                      <a:ext cx="5669280" cy="2769698"/>
                    </a:xfrm>
                    <a:prstGeom prst="rect"/>
                  </pic:spPr>
                </pic:pic>
              </a:graphicData>
            </a:graphic>
          </wp:inline>
        </w:drawing>
      </w:r>
    </w:p>
    <w:p>
      <w:pPr>
        <w:spacing w:before="40" w:after="160"/>
        <w:jc w:val="center"/>
      </w:pPr>
      <w:r>
        <w:rPr>
          <w:rFonts w:ascii="Calibri" w:hAnsi="Calibri"/>
          <w:b w:val="0"/>
          <w:i/>
          <w:color w:val="595959"/>
          <w:sz w:val="19"/>
        </w:rPr>
        <w:t>Figure 3: Churn Correlation with Contract Commitment Type and Payment Instruments.</w:t>
      </w:r>
    </w:p>
    <w:p>
      <w:pPr>
        <w:pStyle w:val="Heading2"/>
        <w:keepNext/>
        <w:spacing w:before="280" w:after="120"/>
        <w:jc w:val="left"/>
      </w:pPr>
      <w:r>
        <w:rPr>
          <w:rFonts w:ascii="Calibri" w:hAnsi="Calibri"/>
          <w:color w:val="4472C4"/>
        </w:rPr>
        <w:t>3.3 Financial Expenditure Distributions</w:t>
      </w:r>
    </w:p>
    <w:p>
      <w:pPr>
        <w:spacing w:after="120" w:line="276" w:lineRule="auto"/>
      </w:pPr>
      <w:r>
        <w:rPr>
          <w:rFonts w:ascii="Calibri" w:hAnsi="Calibri"/>
          <w:b w:val="0"/>
          <w:i w:val="0"/>
          <w:color w:val="1E1E1E"/>
          <w:sz w:val="22"/>
        </w:rPr>
        <w:t>Kernel Density Estimation (KDE) of MonthlyCharges and TotalCharges partitioned by churn status uncovers clear bimodality in pricing sensitivity. Retained customers cluster heavily at low monthly fee levels ($20 - $30, typical of barebones voice-only plans), whereas churned customers concentrate heavily in the premium $70 - $105 range (predominantly high-tier Fiber Optic subscribers who encounter billing friction).</w:t>
      </w:r>
    </w:p>
    <w:p>
      <w:pPr>
        <w:keepNext/>
        <w:spacing w:before="120" w:after="40"/>
        <w:jc w:val="center"/>
      </w:pPr>
      <w:r>
        <w:drawing>
          <wp:inline xmlns:a="http://schemas.openxmlformats.org/drawingml/2006/main" xmlns:pic="http://schemas.openxmlformats.org/drawingml/2006/picture">
            <wp:extent cx="5669280" cy="2799780"/>
            <wp:docPr id="4" name="Picture 4"/>
            <wp:cNvGraphicFramePr>
              <a:graphicFrameLocks noChangeAspect="1"/>
            </wp:cNvGraphicFramePr>
            <a:graphic>
              <a:graphicData uri="http://schemas.openxmlformats.org/drawingml/2006/picture">
                <pic:pic>
                  <pic:nvPicPr>
                    <pic:cNvPr id="0" name="04_charges_distribution_kde.png"/>
                    <pic:cNvPicPr/>
                  </pic:nvPicPr>
                  <pic:blipFill>
                    <a:blip r:embed="rId12"/>
                    <a:stretch>
                      <a:fillRect/>
                    </a:stretch>
                  </pic:blipFill>
                  <pic:spPr>
                    <a:xfrm>
                      <a:off x="0" y="0"/>
                      <a:ext cx="5669280" cy="2799780"/>
                    </a:xfrm>
                    <a:prstGeom prst="rect"/>
                  </pic:spPr>
                </pic:pic>
              </a:graphicData>
            </a:graphic>
          </wp:inline>
        </w:drawing>
      </w:r>
    </w:p>
    <w:p>
      <w:pPr>
        <w:spacing w:before="40" w:after="160"/>
        <w:jc w:val="center"/>
      </w:pPr>
      <w:r>
        <w:rPr>
          <w:rFonts w:ascii="Calibri" w:hAnsi="Calibri"/>
          <w:b w:val="0"/>
          <w:i/>
          <w:color w:val="595959"/>
          <w:sz w:val="19"/>
        </w:rPr>
        <w:t>Figure 4: Kernel Density Estimation (KDE) of Monthly and Cumulative Total Charges by Churn.</w:t>
      </w:r>
    </w:p>
    <w:p>
      <w:pPr>
        <w:keepNext/>
        <w:spacing w:before="120" w:after="40"/>
        <w:jc w:val="center"/>
      </w:pPr>
      <w:r>
        <w:drawing>
          <wp:inline xmlns:a="http://schemas.openxmlformats.org/drawingml/2006/main" xmlns:pic="http://schemas.openxmlformats.org/drawingml/2006/picture">
            <wp:extent cx="5029200" cy="4490932"/>
            <wp:docPr id="5" name="Picture 5"/>
            <wp:cNvGraphicFramePr>
              <a:graphicFrameLocks noChangeAspect="1"/>
            </wp:cNvGraphicFramePr>
            <a:graphic>
              <a:graphicData uri="http://schemas.openxmlformats.org/drawingml/2006/picture">
                <pic:pic>
                  <pic:nvPicPr>
                    <pic:cNvPr id="0" name="05_correlation_matrix.png"/>
                    <pic:cNvPicPr/>
                  </pic:nvPicPr>
                  <pic:blipFill>
                    <a:blip r:embed="rId13"/>
                    <a:stretch>
                      <a:fillRect/>
                    </a:stretch>
                  </pic:blipFill>
                  <pic:spPr>
                    <a:xfrm>
                      <a:off x="0" y="0"/>
                      <a:ext cx="5029200" cy="4490932"/>
                    </a:xfrm>
                    <a:prstGeom prst="rect"/>
                  </pic:spPr>
                </pic:pic>
              </a:graphicData>
            </a:graphic>
          </wp:inline>
        </w:drawing>
      </w:r>
    </w:p>
    <w:p>
      <w:pPr>
        <w:spacing w:before="40" w:after="160"/>
        <w:jc w:val="center"/>
      </w:pPr>
      <w:r>
        <w:rPr>
          <w:rFonts w:ascii="Calibri" w:hAnsi="Calibri"/>
          <w:b w:val="0"/>
          <w:i/>
          <w:color w:val="595959"/>
          <w:sz w:val="19"/>
        </w:rPr>
        <w:t>Figure 5: Correlation Matrix Heatmap of Numeric and Engineered Features with Churn.</w:t>
      </w:r>
    </w:p>
    <w:p>
      <w:pPr>
        <w:pStyle w:val="Heading1"/>
        <w:keepNext/>
        <w:spacing w:before="280" w:after="120"/>
        <w:jc w:val="left"/>
      </w:pPr>
      <w:r>
        <w:rPr>
          <w:rFonts w:ascii="Calibri" w:hAnsi="Calibri"/>
          <w:color w:val="1F497D"/>
        </w:rPr>
        <w:t>4. Domain Feature Engineering and Preprocessing Pipeline</w:t>
      </w:r>
    </w:p>
    <w:p>
      <w:pPr>
        <w:spacing w:after="120" w:line="276" w:lineRule="auto"/>
      </w:pPr>
      <w:r>
        <w:rPr>
          <w:rFonts w:ascii="Calibri" w:hAnsi="Calibri"/>
          <w:b w:val="0"/>
          <w:i w:val="0"/>
          <w:color w:val="1E1E1E"/>
          <w:sz w:val="22"/>
        </w:rPr>
        <w:t>Feature engineering is the primary determinant of model generalization in tabular classification. Rather than feeding raw columns directly into algorithms, seven domain-specific features were synthesized to encode non-linear behavioral relationships:</w:t>
      </w:r>
    </w:p>
    <w:p>
      <w:pPr>
        <w:pStyle w:val="ListBullet"/>
        <w:spacing w:after="60" w:line="276" w:lineRule="auto"/>
        <w:ind w:left="504"/>
      </w:pPr>
      <w:r>
        <w:rPr>
          <w:rFonts w:ascii="Calibri" w:hAnsi="Calibri"/>
          <w:b/>
          <w:i w:val="0"/>
          <w:color w:val="1F497D"/>
          <w:sz w:val="21"/>
        </w:rPr>
        <w:t xml:space="preserve">1. Lifecycle Cohorts: </w:t>
      </w:r>
      <w:r>
        <w:rPr>
          <w:rFonts w:ascii="Calibri" w:hAnsi="Calibri"/>
          <w:b w:val="0"/>
          <w:i w:val="0"/>
          <w:color w:val="1E1E1E"/>
          <w:sz w:val="21"/>
        </w:rPr>
        <w:t>tenure_cohort: Discretization of continuous tenure into 5 lifecycle intervals (0-12, 13-24, 25-48, 49-60, 60+ months) to capture non-linear lifecycle transitions.</w:t>
      </w:r>
    </w:p>
    <w:p>
      <w:pPr>
        <w:pStyle w:val="ListBullet"/>
        <w:spacing w:after="60" w:line="276" w:lineRule="auto"/>
        <w:ind w:left="504"/>
      </w:pPr>
      <w:r>
        <w:rPr>
          <w:rFonts w:ascii="Calibri" w:hAnsi="Calibri"/>
          <w:b/>
          <w:i w:val="0"/>
          <w:color w:val="1F497D"/>
          <w:sz w:val="21"/>
        </w:rPr>
        <w:t xml:space="preserve">2. Service Bundle Density: </w:t>
      </w:r>
      <w:r>
        <w:rPr>
          <w:rFonts w:ascii="Calibri" w:hAnsi="Calibri"/>
          <w:b w:val="0"/>
          <w:i w:val="0"/>
          <w:color w:val="1E1E1E"/>
          <w:sz w:val="21"/>
        </w:rPr>
        <w:t>service_count: Integer summation of all active subscribed services (sum of Phone, MultipleLines, OnlineSecurity, OnlineBackup, DeviceProtection, TechSupport, StreamingTV, StreamingMovies). Represents customer engagement depth; multi-product users exhibit much higher switching friction.</w:t>
      </w:r>
    </w:p>
    <w:p>
      <w:pPr>
        <w:pStyle w:val="ListBullet"/>
        <w:spacing w:after="60" w:line="276" w:lineRule="auto"/>
        <w:ind w:left="504"/>
      </w:pPr>
      <w:r>
        <w:rPr>
          <w:rFonts w:ascii="Calibri" w:hAnsi="Calibri"/>
          <w:b/>
          <w:i w:val="0"/>
          <w:color w:val="1F497D"/>
          <w:sz w:val="21"/>
        </w:rPr>
        <w:t xml:space="preserve">3. Expenditure Velocity: </w:t>
      </w:r>
      <w:r>
        <w:rPr>
          <w:rFonts w:ascii="Calibri" w:hAnsi="Calibri"/>
          <w:b w:val="0"/>
          <w:i w:val="0"/>
          <w:color w:val="1E1E1E"/>
          <w:sz w:val="21"/>
        </w:rPr>
        <w:t>monthly_to_total_ratio: Computed as MonthlyCharges / (TotalCharges + 1.0). Captures expenditure velocity and recency of billing surges. New customers possess high ratios (~1.0), whereas tenured loyalists exhibit low ratios (&lt;0.05).</w:t>
      </w:r>
    </w:p>
    <w:p>
      <w:pPr>
        <w:pStyle w:val="ListBullet"/>
        <w:spacing w:after="60" w:line="276" w:lineRule="auto"/>
        <w:ind w:left="504"/>
      </w:pPr>
      <w:r>
        <w:rPr>
          <w:rFonts w:ascii="Calibri" w:hAnsi="Calibri"/>
          <w:b/>
          <w:i w:val="0"/>
          <w:color w:val="1F497D"/>
          <w:sz w:val="21"/>
        </w:rPr>
        <w:t xml:space="preserve">4. Unit Cost Burden: </w:t>
      </w:r>
      <w:r>
        <w:rPr>
          <w:rFonts w:ascii="Calibri" w:hAnsi="Calibri"/>
          <w:b w:val="0"/>
          <w:i w:val="0"/>
          <w:color w:val="1E1E1E"/>
          <w:sz w:val="21"/>
        </w:rPr>
        <w:t>charge_per_service: Computed as MonthlyCharges / (service_count + 1.0). Quantifies unit cost burden per active utility, isolating customers who perceive poor value per dollar spent.</w:t>
      </w:r>
    </w:p>
    <w:p>
      <w:pPr>
        <w:pStyle w:val="ListBullet"/>
        <w:spacing w:after="60" w:line="276" w:lineRule="auto"/>
        <w:ind w:left="504"/>
      </w:pPr>
      <w:r>
        <w:rPr>
          <w:rFonts w:ascii="Calibri" w:hAnsi="Calibri"/>
          <w:b/>
          <w:i w:val="0"/>
          <w:color w:val="1F497D"/>
          <w:sz w:val="21"/>
        </w:rPr>
        <w:t xml:space="preserve">5. High-Risk Intersection: </w:t>
      </w:r>
      <w:r>
        <w:rPr>
          <w:rFonts w:ascii="Calibri" w:hAnsi="Calibri"/>
          <w:b w:val="0"/>
          <w:i w:val="0"/>
          <w:color w:val="1E1E1E"/>
          <w:sz w:val="21"/>
        </w:rPr>
        <w:t>high_risk_contract_payment: Binary indicator flag isolating the intersection of Month-to-Month contracts AND Electronic Check payments ((Contract == 'Month-to-month') &amp; (PaymentMethod == 'Electronic check')). This subset exhibits an extreme empirical churn rate exceeding 52%.</w:t>
      </w:r>
    </w:p>
    <w:p>
      <w:pPr>
        <w:pStyle w:val="ListBullet"/>
        <w:spacing w:after="60" w:line="276" w:lineRule="auto"/>
        <w:ind w:left="504"/>
      </w:pPr>
      <w:r>
        <w:rPr>
          <w:rFonts w:ascii="Calibri" w:hAnsi="Calibri"/>
          <w:b/>
          <w:i w:val="0"/>
          <w:color w:val="1F497D"/>
          <w:sz w:val="21"/>
        </w:rPr>
        <w:t xml:space="preserve">6. Protective Security Utility: </w:t>
      </w:r>
      <w:r>
        <w:rPr>
          <w:rFonts w:ascii="Calibri" w:hAnsi="Calibri"/>
          <w:b w:val="0"/>
          <w:i w:val="0"/>
          <w:color w:val="1E1E1E"/>
          <w:sz w:val="21"/>
        </w:rPr>
        <w:t>has_security_backup: Indicator flag for active OnlineSecurity or OnlineBackup subscriptions. Security utilities create strong data lock-in.</w:t>
      </w:r>
    </w:p>
    <w:p>
      <w:pPr>
        <w:pStyle w:val="ListBullet"/>
        <w:spacing w:after="60" w:line="276" w:lineRule="auto"/>
        <w:ind w:left="504"/>
      </w:pPr>
      <w:r>
        <w:rPr>
          <w:rFonts w:ascii="Calibri" w:hAnsi="Calibri"/>
          <w:b/>
          <w:i w:val="0"/>
          <w:color w:val="1F497D"/>
          <w:sz w:val="21"/>
        </w:rPr>
        <w:t xml:space="preserve">7. Entertainment Media Utility: </w:t>
      </w:r>
      <w:r>
        <w:rPr>
          <w:rFonts w:ascii="Calibri" w:hAnsi="Calibri"/>
          <w:b w:val="0"/>
          <w:i w:val="0"/>
          <w:color w:val="1E1E1E"/>
          <w:sz w:val="21"/>
        </w:rPr>
        <w:t>has_streaming: Indicator flag for StreamingTV or StreamingMovies subscriptions, identifying high-bandwidth media consumers.</w:t>
      </w:r>
    </w:p>
    <w:p>
      <w:pPr>
        <w:pStyle w:val="Heading2"/>
        <w:keepNext/>
        <w:spacing w:before="280" w:after="120"/>
        <w:jc w:val="left"/>
      </w:pPr>
      <w:r>
        <w:rPr>
          <w:rFonts w:ascii="Calibri" w:hAnsi="Calibri"/>
          <w:color w:val="4472C4"/>
        </w:rPr>
        <w:t>4.1 Leak-Free Pipeline Architecture</w:t>
      </w:r>
    </w:p>
    <w:p>
      <w:pPr>
        <w:spacing w:after="120" w:line="276" w:lineRule="auto"/>
      </w:pPr>
      <w:r>
        <w:rPr>
          <w:rFonts w:ascii="Calibri" w:hAnsi="Calibri"/>
          <w:b w:val="0"/>
          <w:i w:val="0"/>
          <w:color w:val="1E1E1E"/>
          <w:sz w:val="22"/>
        </w:rPr>
        <w:t>To strictly prevent data leakage between training and validation partitions, all transformations were encapsulated within a Scikit-Learn ColumnTransformer embedded directly inside an end-to-end Pipeline:</w:t>
      </w:r>
    </w:p>
    <w:p>
      <w:pPr>
        <w:pStyle w:val="ListBullet"/>
        <w:spacing w:after="60" w:line="276" w:lineRule="auto"/>
        <w:ind w:left="504"/>
      </w:pPr>
      <w:r>
        <w:rPr>
          <w:rFonts w:ascii="Calibri" w:hAnsi="Calibri"/>
          <w:b/>
          <w:i w:val="0"/>
          <w:color w:val="1F497D"/>
          <w:sz w:val="21"/>
        </w:rPr>
        <w:t xml:space="preserve">Continuous Scaler: </w:t>
      </w:r>
      <w:r>
        <w:rPr>
          <w:rFonts w:ascii="Calibri" w:hAnsi="Calibri"/>
          <w:b w:val="0"/>
          <w:i w:val="0"/>
          <w:color w:val="1E1E1E"/>
          <w:sz w:val="21"/>
        </w:rPr>
        <w:t>StandardScaler: Applied to continuous features (tenure, MonthlyCharges, TotalCharges, service_count, monthly_to_total_ratio, charge_per_service) to compute z = (x - mu) / sigma.</w:t>
      </w:r>
    </w:p>
    <w:p>
      <w:pPr>
        <w:pStyle w:val="ListBullet"/>
        <w:spacing w:after="60" w:line="276" w:lineRule="auto"/>
        <w:ind w:left="504"/>
      </w:pPr>
      <w:r>
        <w:rPr>
          <w:rFonts w:ascii="Calibri" w:hAnsi="Calibri"/>
          <w:b/>
          <w:i w:val="0"/>
          <w:color w:val="1F497D"/>
          <w:sz w:val="21"/>
        </w:rPr>
        <w:t xml:space="preserve">Categorical Encoder: </w:t>
      </w:r>
      <w:r>
        <w:rPr>
          <w:rFonts w:ascii="Calibri" w:hAnsi="Calibri"/>
          <w:b w:val="0"/>
          <w:i w:val="0"/>
          <w:color w:val="1E1E1E"/>
          <w:sz w:val="21"/>
        </w:rPr>
        <w:t>OneHotEncoder: Applied to 16 nominal categorical features with drop='first' and handle_unknown='ignore' to prevent multicollinearity (dummy variable trap).</w:t>
      </w:r>
    </w:p>
    <w:p>
      <w:pPr>
        <w:pStyle w:val="ListBullet"/>
        <w:spacing w:after="60" w:line="276" w:lineRule="auto"/>
        <w:ind w:left="504"/>
      </w:pPr>
      <w:r>
        <w:rPr>
          <w:rFonts w:ascii="Calibri" w:hAnsi="Calibri"/>
          <w:b/>
          <w:i w:val="0"/>
          <w:color w:val="1F497D"/>
          <w:sz w:val="21"/>
        </w:rPr>
        <w:t xml:space="preserve">Binary Indicators: </w:t>
      </w:r>
      <w:r>
        <w:rPr>
          <w:rFonts w:ascii="Calibri" w:hAnsi="Calibri"/>
          <w:b w:val="0"/>
          <w:i w:val="0"/>
          <w:color w:val="1E1E1E"/>
          <w:sz w:val="21"/>
        </w:rPr>
        <w:t>Passthrough: Binary integer features (SeniorCitizen, high_risk_contract_payment, has_security_backup, has_streaming) passed through unmodified.</w:t>
      </w:r>
    </w:p>
    <w:p>
      <w:pPr>
        <w:pStyle w:val="Heading1"/>
        <w:keepNext/>
        <w:spacing w:before="280" w:after="120"/>
        <w:jc w:val="left"/>
      </w:pPr>
      <w:r>
        <w:rPr>
          <w:rFonts w:ascii="Calibri" w:hAnsi="Calibri"/>
          <w:color w:val="1F497D"/>
        </w:rPr>
        <w:t>5. Theoretical Foundations of Candidate Supervised Models</w:t>
      </w:r>
    </w:p>
    <w:p>
      <w:pPr>
        <w:spacing w:after="120" w:line="276" w:lineRule="auto"/>
      </w:pPr>
      <w:r>
        <w:rPr>
          <w:rFonts w:ascii="Calibri" w:hAnsi="Calibri"/>
          <w:b w:val="0"/>
          <w:i w:val="0"/>
          <w:color w:val="1E1E1E"/>
          <w:sz w:val="22"/>
        </w:rPr>
        <w:t>To ensure an authoritative comparative benchmark, 6 diverse learning paradigms spanning parametric linear baselines, recursive decision trees, bagged ensembles, boosted sequential ensembles, and maximum-margin kernel machines were implemented and evaluated:</w:t>
      </w:r>
    </w:p>
    <w:p>
      <w:pPr>
        <w:pStyle w:val="Heading2"/>
        <w:keepNext/>
        <w:spacing w:before="280" w:after="120"/>
        <w:jc w:val="left"/>
      </w:pPr>
      <w:r>
        <w:rPr>
          <w:rFonts w:ascii="Calibri" w:hAnsi="Calibri"/>
          <w:color w:val="4472C4"/>
        </w:rPr>
        <w:t>5.1 Baseline: Stratified Dummy Classifier</w:t>
      </w:r>
    </w:p>
    <w:p>
      <w:pPr>
        <w:spacing w:after="120" w:line="276" w:lineRule="auto"/>
      </w:pPr>
      <w:r>
        <w:rPr>
          <w:rFonts w:ascii="Calibri" w:hAnsi="Calibri"/>
          <w:b w:val="0"/>
          <w:i w:val="0"/>
          <w:color w:val="1E1E1E"/>
          <w:sz w:val="22"/>
        </w:rPr>
        <w:t>Acts as the scientific null benchmark. Generates class predictions randomly according to the empirical training set label distribution (P(Y = 1) = 0.265). Any operational predictive model must decisively surpass this baseline across all evaluation metrics.</w:t>
      </w:r>
    </w:p>
    <w:p>
      <w:pPr>
        <w:pStyle w:val="Heading2"/>
        <w:keepNext/>
        <w:spacing w:before="280" w:after="120"/>
        <w:jc w:val="left"/>
      </w:pPr>
      <w:r>
        <w:rPr>
          <w:rFonts w:ascii="Calibri" w:hAnsi="Calibri"/>
          <w:color w:val="4472C4"/>
        </w:rPr>
        <w:t>5.2 Logistic Regression with Elastic Regularization</w:t>
      </w:r>
    </w:p>
    <w:p>
      <w:pPr>
        <w:spacing w:after="120" w:line="276" w:lineRule="auto"/>
      </w:pPr>
      <w:r>
        <w:rPr>
          <w:rFonts w:ascii="Calibri" w:hAnsi="Calibri"/>
          <w:b w:val="0"/>
          <w:i w:val="0"/>
          <w:color w:val="1E1E1E"/>
          <w:sz w:val="22"/>
        </w:rPr>
        <w:t>Models the log-odds of churn as a linear combination of input predictors: log(P(Y=1|X) / (1 - P(Y=1|X))) = beta_0 + beta^T X. The posterior probability is derived via the standard sigmoid activation function: P(Y=1|X) = 1 / (1 + exp(-(beta_0 + beta^T X))). The model parameters beta are optimized by minimizing the L2-regularized binary cross-entropy loss function:</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1F497D"/>
              <w:top w:val="none"/>
              <w:right w:val="none"/>
              <w:bottom w:val="none"/>
            </w:tcBorders>
          </w:tcPr>
          <w:p>
            <w:pPr>
              <w:spacing w:before="120" w:after="120" w:line="276" w:lineRule="auto"/>
              <w:ind w:left="216" w:right="216"/>
            </w:pPr>
            <w:r>
              <w:rPr>
                <w:rFonts w:ascii="Calibri" w:hAnsi="Calibri"/>
                <w:b/>
                <w:i w:val="0"/>
                <w:color w:val="1F497D"/>
                <w:sz w:val="21"/>
              </w:rPr>
              <w:t xml:space="preserve">Objective Function: </w:t>
            </w:r>
            <w:r>
              <w:rPr>
                <w:rFonts w:ascii="Calibri" w:hAnsi="Calibri"/>
                <w:b w:val="0"/>
                <w:i/>
                <w:color w:val="1E1E1E"/>
                <w:sz w:val="21"/>
              </w:rPr>
              <w:t>J(beta) = - (1/N) * sum_{i=1}^N [ y_i * log(p_i) + (1 - y_i) * log(1 - p_i) ] + (lambda / 2) * ||beta||_2^2</w:t>
            </w:r>
          </w:p>
        </w:tc>
      </w:tr>
    </w:tbl>
    <w:p>
      <w:pPr>
        <w:spacing w:after="80"/>
      </w:pPr>
    </w:p>
    <w:p>
      <w:pPr>
        <w:pStyle w:val="Heading2"/>
        <w:keepNext/>
        <w:spacing w:before="280" w:after="120"/>
        <w:jc w:val="left"/>
      </w:pPr>
      <w:r>
        <w:rPr>
          <w:rFonts w:ascii="Calibri" w:hAnsi="Calibri"/>
          <w:color w:val="4472C4"/>
        </w:rPr>
        <w:t>5.3 Decision Tree Classifier (Recursive Partitioning)</w:t>
      </w:r>
    </w:p>
    <w:p>
      <w:pPr>
        <w:spacing w:after="120" w:line="276" w:lineRule="auto"/>
      </w:pPr>
      <w:r>
        <w:rPr>
          <w:rFonts w:ascii="Calibri" w:hAnsi="Calibri"/>
          <w:b w:val="0"/>
          <w:i w:val="0"/>
          <w:color w:val="1E1E1E"/>
          <w:sz w:val="22"/>
        </w:rPr>
        <w:t>Non-parametric white-box model that hierarchically splits the feature space to minimize node impurity. Split quality is evaluated via Gini Impurity: I_G(t) = 1 - sum_{k=0}^1 p(k|t)^2. To prevent excessive variance and rampant overfitting, pre-pruning constraints (max_depth = 5, min_samples_leaf = 10) were enforced.</w:t>
      </w:r>
    </w:p>
    <w:p>
      <w:pPr>
        <w:pStyle w:val="Heading2"/>
        <w:keepNext/>
        <w:spacing w:before="280" w:after="120"/>
        <w:jc w:val="left"/>
      </w:pPr>
      <w:r>
        <w:rPr>
          <w:rFonts w:ascii="Calibri" w:hAnsi="Calibri"/>
          <w:color w:val="4472C4"/>
        </w:rPr>
        <w:t>5.4 Random Forest Classifier (Bootstrap Aggregation)</w:t>
      </w:r>
    </w:p>
    <w:p>
      <w:pPr>
        <w:spacing w:after="120" w:line="276" w:lineRule="auto"/>
      </w:pPr>
      <w:r>
        <w:rPr>
          <w:rFonts w:ascii="Calibri" w:hAnsi="Calibri"/>
          <w:b w:val="0"/>
          <w:i w:val="0"/>
          <w:color w:val="1E1E1E"/>
          <w:sz w:val="22"/>
        </w:rPr>
        <w:t>Ensemble bagging architecture combining B = 200 de-correlated decision trees. Each individual tree T_b is trained on a distinct bootstrap replicate D_b sampled uniformly with replacement from D. At each split node, a random subset of m = sqrt(d) candidate features is evaluated. The final ensemble prediction aggregates probability estimates across all trees: P(Y=1|x) = (1/B) * sum_{b=1}^B P_b(Y=1|x). Bagging reduces variance exponentially without increasing estimation bias.</w:t>
      </w:r>
    </w:p>
    <w:p>
      <w:pPr>
        <w:pStyle w:val="Heading2"/>
        <w:keepNext/>
        <w:spacing w:before="280" w:after="120"/>
        <w:jc w:val="left"/>
      </w:pPr>
      <w:r>
        <w:rPr>
          <w:rFonts w:ascii="Calibri" w:hAnsi="Calibri"/>
          <w:color w:val="4472C4"/>
        </w:rPr>
        <w:t>5.5 Gradient Boosting Classifier (Sequential Residual Minimization)</w:t>
      </w:r>
    </w:p>
    <w:p>
      <w:pPr>
        <w:spacing w:after="120" w:line="276" w:lineRule="auto"/>
      </w:pPr>
      <w:r>
        <w:rPr>
          <w:rFonts w:ascii="Calibri" w:hAnsi="Calibri"/>
          <w:b w:val="0"/>
          <w:i w:val="0"/>
          <w:color w:val="1E1E1E"/>
          <w:sz w:val="22"/>
        </w:rPr>
        <w:t>Sequential boosting architecture that constructs an additive model in function space: F_M(x) = sum_{m=1}^M gamma_m h_m(x). Unlike Random Forest which fits independent trees in parallel, Gradient Boosting iteratively trains weak learners h_m(x) to predict the negative gradient (pseudo-residuals) of the log-loss loss function evaluated on the current ensemble: r_{im} = - [ d L(y_i, F(x_i)) / d F(x_i) ]. A shrinkage parameter (learning_rate eta = 0.08) regulates the contribution of each consecutive tree, effectively preventing overfitting.</w:t>
      </w:r>
    </w:p>
    <w:p>
      <w:pPr>
        <w:pStyle w:val="Heading2"/>
        <w:keepNext/>
        <w:spacing w:before="280" w:after="120"/>
        <w:jc w:val="left"/>
      </w:pPr>
      <w:r>
        <w:rPr>
          <w:rFonts w:ascii="Calibri" w:hAnsi="Calibri"/>
          <w:color w:val="4472C4"/>
        </w:rPr>
        <w:t>5.6 Support Vector Machine (Kernelized Maximum Margin)</w:t>
      </w:r>
    </w:p>
    <w:p>
      <w:pPr>
        <w:spacing w:after="120" w:line="276" w:lineRule="auto"/>
      </w:pPr>
      <w:r>
        <w:rPr>
          <w:rFonts w:ascii="Calibri" w:hAnsi="Calibri"/>
          <w:b w:val="0"/>
          <w:i w:val="0"/>
          <w:color w:val="1E1E1E"/>
          <w:sz w:val="22"/>
        </w:rPr>
        <w:t>Finds an optimal separating hyperplane w^T phi(x) + b = 0 that maximizes the geometric margin 2 / ||w|| between classes. Because churn relationships are non-linear, the Radial Basis Function (RBF) kernel is deployed: K(x, x') = exp(-gamma ||x - x'||^2). Posterior class probabilities are derived through Platt scaling via an internal five-fold logistic calibration.</w:t>
      </w:r>
    </w:p>
    <w:p>
      <w:pPr>
        <w:pStyle w:val="Heading1"/>
        <w:keepNext/>
        <w:spacing w:before="280" w:after="120"/>
        <w:jc w:val="left"/>
      </w:pPr>
      <w:r>
        <w:rPr>
          <w:rFonts w:ascii="Calibri" w:hAnsi="Calibri"/>
          <w:color w:val="1F497D"/>
        </w:rPr>
        <w:t>6. Model Validation Architecture &amp; Metric Definitions</w:t>
      </w:r>
    </w:p>
    <w:p>
      <w:pPr>
        <w:spacing w:after="120" w:line="276" w:lineRule="auto"/>
      </w:pPr>
      <w:r>
        <w:rPr>
          <w:rFonts w:ascii="Calibri" w:hAnsi="Calibri"/>
          <w:b w:val="0"/>
          <w:i w:val="0"/>
          <w:color w:val="1E1E1E"/>
          <w:sz w:val="22"/>
        </w:rPr>
        <w:t>The evaluation strategy strictly adheres to best practices in machine learning validation:</w:t>
      </w:r>
    </w:p>
    <w:p>
      <w:pPr>
        <w:pStyle w:val="ListBullet"/>
        <w:spacing w:after="60" w:line="276" w:lineRule="auto"/>
        <w:ind w:left="504"/>
      </w:pPr>
      <w:r>
        <w:rPr>
          <w:rFonts w:ascii="Calibri" w:hAnsi="Calibri"/>
          <w:b/>
          <w:i w:val="0"/>
          <w:color w:val="1F497D"/>
          <w:sz w:val="21"/>
        </w:rPr>
        <w:t xml:space="preserve">Holdout Split: </w:t>
      </w:r>
      <w:r>
        <w:rPr>
          <w:rFonts w:ascii="Calibri" w:hAnsi="Calibri"/>
          <w:b w:val="0"/>
          <w:i w:val="0"/>
          <w:color w:val="1E1E1E"/>
          <w:sz w:val="21"/>
        </w:rPr>
        <w:t>Holdout Partitioning: The complete dataset of 7,043 instances was partitioned into an 80% Training partition (N = 5,634) and a 20% Holdout Test partition (N = 1,409) using stratified sampling on target label Churn.</w:t>
      </w:r>
    </w:p>
    <w:p>
      <w:pPr>
        <w:pStyle w:val="ListBullet"/>
        <w:spacing w:after="60" w:line="276" w:lineRule="auto"/>
        <w:ind w:left="504"/>
      </w:pPr>
      <w:r>
        <w:rPr>
          <w:rFonts w:ascii="Calibri" w:hAnsi="Calibri"/>
          <w:b/>
          <w:i w:val="0"/>
          <w:color w:val="1F497D"/>
          <w:sz w:val="21"/>
        </w:rPr>
        <w:t xml:space="preserve">5-Fold Cross-Validation: </w:t>
      </w:r>
      <w:r>
        <w:rPr>
          <w:rFonts w:ascii="Calibri" w:hAnsi="Calibri"/>
          <w:b w:val="0"/>
          <w:i w:val="0"/>
          <w:color w:val="1E1E1E"/>
          <w:sz w:val="21"/>
        </w:rPr>
        <w:t>Stratified 5-Fold Cross-Validation: Within the 80% training set, 5 disjoint folds were constructed, preserving the exact 26.54% churn prevalence in each fold.</w:t>
      </w:r>
    </w:p>
    <w:p>
      <w:pPr>
        <w:pStyle w:val="Heading2"/>
        <w:keepNext/>
        <w:spacing w:before="280" w:after="120"/>
        <w:jc w:val="left"/>
      </w:pPr>
      <w:r>
        <w:rPr>
          <w:rFonts w:ascii="Calibri" w:hAnsi="Calibri"/>
          <w:color w:val="4472C4"/>
        </w:rPr>
        <w:t>6.1 Formal Metric Definitions</w:t>
      </w:r>
    </w:p>
    <w:p>
      <w:pPr>
        <w:spacing w:after="120" w:line="276" w:lineRule="auto"/>
      </w:pPr>
      <w:r>
        <w:rPr>
          <w:rFonts w:ascii="Calibri" w:hAnsi="Calibri"/>
          <w:b w:val="0"/>
          <w:i w:val="0"/>
          <w:color w:val="1E1E1E"/>
          <w:sz w:val="22"/>
        </w:rPr>
        <w:t>Given True Positives (TP), False Positives (FP), True Negatives (TN), and False Negatives (FN):</w:t>
      </w:r>
    </w:p>
    <w:p>
      <w:pPr>
        <w:pStyle w:val="ListBullet"/>
        <w:spacing w:after="60" w:line="276" w:lineRule="auto"/>
        <w:ind w:left="504"/>
      </w:pPr>
      <w:r>
        <w:rPr>
          <w:rFonts w:ascii="Calibri" w:hAnsi="Calibri"/>
          <w:b/>
          <w:i w:val="0"/>
          <w:color w:val="1F497D"/>
          <w:sz w:val="21"/>
        </w:rPr>
        <w:t xml:space="preserve">Accuracy: </w:t>
      </w:r>
      <w:r>
        <w:rPr>
          <w:rFonts w:ascii="Calibri" w:hAnsi="Calibri"/>
          <w:b w:val="0"/>
          <w:i w:val="0"/>
          <w:color w:val="1E1E1E"/>
          <w:sz w:val="21"/>
        </w:rPr>
        <w:t>Accuracy = (TP + TN) / (TP + TN + FP + FN). Measures overall correctness across both classes.</w:t>
      </w:r>
    </w:p>
    <w:p>
      <w:pPr>
        <w:pStyle w:val="ListBullet"/>
        <w:spacing w:after="60" w:line="276" w:lineRule="auto"/>
        <w:ind w:left="504"/>
      </w:pPr>
      <w:r>
        <w:rPr>
          <w:rFonts w:ascii="Calibri" w:hAnsi="Calibri"/>
          <w:b/>
          <w:i w:val="0"/>
          <w:color w:val="1F497D"/>
          <w:sz w:val="21"/>
        </w:rPr>
        <w:t xml:space="preserve">Precision: </w:t>
      </w:r>
      <w:r>
        <w:rPr>
          <w:rFonts w:ascii="Calibri" w:hAnsi="Calibri"/>
          <w:b w:val="0"/>
          <w:i w:val="0"/>
          <w:color w:val="1E1E1E"/>
          <w:sz w:val="21"/>
        </w:rPr>
        <w:t>Precision = TP / (TP + FP). Proportion of predicted churners who genuinely churned (relevance of outreach).</w:t>
      </w:r>
    </w:p>
    <w:p>
      <w:pPr>
        <w:pStyle w:val="ListBullet"/>
        <w:spacing w:after="60" w:line="276" w:lineRule="auto"/>
        <w:ind w:left="504"/>
      </w:pPr>
      <w:r>
        <w:rPr>
          <w:rFonts w:ascii="Calibri" w:hAnsi="Calibri"/>
          <w:b/>
          <w:i w:val="0"/>
          <w:color w:val="1F497D"/>
          <w:sz w:val="21"/>
        </w:rPr>
        <w:t xml:space="preserve">Recall: </w:t>
      </w:r>
      <w:r>
        <w:rPr>
          <w:rFonts w:ascii="Calibri" w:hAnsi="Calibri"/>
          <w:b w:val="0"/>
          <w:i w:val="0"/>
          <w:color w:val="1E1E1E"/>
          <w:sz w:val="21"/>
        </w:rPr>
        <w:t>Recall (Sensitivity) = TP / (TP + FN). Proportion of actual churners correctly detected (coverage of retention program).</w:t>
      </w:r>
    </w:p>
    <w:p>
      <w:pPr>
        <w:pStyle w:val="ListBullet"/>
        <w:spacing w:after="60" w:line="276" w:lineRule="auto"/>
        <w:ind w:left="504"/>
      </w:pPr>
      <w:r>
        <w:rPr>
          <w:rFonts w:ascii="Calibri" w:hAnsi="Calibri"/>
          <w:b/>
          <w:i w:val="0"/>
          <w:color w:val="1F497D"/>
          <w:sz w:val="21"/>
        </w:rPr>
        <w:t xml:space="preserve">F1-Score: </w:t>
      </w:r>
      <w:r>
        <w:rPr>
          <w:rFonts w:ascii="Calibri" w:hAnsi="Calibri"/>
          <w:b w:val="0"/>
          <w:i w:val="0"/>
          <w:color w:val="1E1E1E"/>
          <w:sz w:val="21"/>
        </w:rPr>
        <w:t>F1-Score = 2 * (Precision * Recall) / (Precision + Recall). Harmonic mean balancing precision and recall.</w:t>
      </w:r>
    </w:p>
    <w:p>
      <w:pPr>
        <w:pStyle w:val="ListBullet"/>
        <w:spacing w:after="60" w:line="276" w:lineRule="auto"/>
        <w:ind w:left="504"/>
      </w:pPr>
      <w:r>
        <w:rPr>
          <w:rFonts w:ascii="Calibri" w:hAnsi="Calibri"/>
          <w:b/>
          <w:i w:val="0"/>
          <w:color w:val="1F497D"/>
          <w:sz w:val="21"/>
        </w:rPr>
        <w:t xml:space="preserve">ROC-AUC: </w:t>
      </w:r>
      <w:r>
        <w:rPr>
          <w:rFonts w:ascii="Calibri" w:hAnsi="Calibri"/>
          <w:b w:val="0"/>
          <w:i w:val="0"/>
          <w:color w:val="1E1E1E"/>
          <w:sz w:val="21"/>
        </w:rPr>
        <w:t>ROC-AUC: Area Under the Receiver Operating Characteristic curve. Measures separation ability across all possible classification thresholds, invariant to class imbalance.</w:t>
      </w:r>
    </w:p>
    <w:p>
      <w:pPr>
        <w:pStyle w:val="ListBullet"/>
        <w:spacing w:after="60" w:line="276" w:lineRule="auto"/>
        <w:ind w:left="504"/>
      </w:pPr>
      <w:r>
        <w:rPr>
          <w:rFonts w:ascii="Calibri" w:hAnsi="Calibri"/>
          <w:b/>
          <w:i w:val="0"/>
          <w:color w:val="1F497D"/>
          <w:sz w:val="21"/>
        </w:rPr>
        <w:t xml:space="preserve">PR-AUC: </w:t>
      </w:r>
      <w:r>
        <w:rPr>
          <w:rFonts w:ascii="Calibri" w:hAnsi="Calibri"/>
          <w:b w:val="0"/>
          <w:i w:val="0"/>
          <w:color w:val="1E1E1E"/>
          <w:sz w:val="21"/>
        </w:rPr>
        <w:t>PR-AUC (Average Precision): Area Under the Precision-Recall curve. Focuses specifically on performance in the minority class; highly sensitive to false positives.</w:t>
      </w:r>
    </w:p>
    <w:p>
      <w:pPr>
        <w:pStyle w:val="ListBullet"/>
        <w:spacing w:after="60" w:line="276" w:lineRule="auto"/>
        <w:ind w:left="504"/>
      </w:pPr>
      <w:r>
        <w:rPr>
          <w:rFonts w:ascii="Calibri" w:hAnsi="Calibri"/>
          <w:b/>
          <w:i w:val="0"/>
          <w:color w:val="1F497D"/>
          <w:sz w:val="21"/>
        </w:rPr>
        <w:t xml:space="preserve">Brier Score: </w:t>
      </w:r>
      <w:r>
        <w:rPr>
          <w:rFonts w:ascii="Calibri" w:hAnsi="Calibri"/>
          <w:b w:val="0"/>
          <w:i w:val="0"/>
          <w:color w:val="1E1E1E"/>
          <w:sz w:val="21"/>
        </w:rPr>
        <w:t>Brier Score = (1/N) * sum_{i=1}^N (p_i - y_i)^2. Mean squared probability calibration error (lower is better; 0.0 is perfect calibration).</w:t>
      </w:r>
    </w:p>
    <w:p>
      <w:pPr>
        <w:pStyle w:val="Heading2"/>
        <w:keepNext/>
        <w:spacing w:before="280" w:after="120"/>
        <w:jc w:val="left"/>
      </w:pPr>
      <w:r>
        <w:rPr>
          <w:rFonts w:ascii="Calibri" w:hAnsi="Calibri"/>
          <w:color w:val="4472C4"/>
        </w:rPr>
        <w:t>6.2 Cross-Validation Benchmark Results</w:t>
      </w:r>
    </w:p>
    <w:p>
      <w:pPr>
        <w:spacing w:after="120" w:line="276" w:lineRule="auto"/>
      </w:pPr>
      <w:r>
        <w:rPr>
          <w:rFonts w:ascii="Calibri" w:hAnsi="Calibri"/>
          <w:b w:val="0"/>
          <w:i w:val="0"/>
          <w:color w:val="1E1E1E"/>
          <w:sz w:val="22"/>
        </w:rPr>
        <w:t>The empirical results across the 5 stratified folds are presented below (Mean +/- Standard Deviation):</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304"/>
            <w:vAlign w:val="center"/>
            <w:tcMar>
              <w:top w:w="120" w:type="dxa"/>
              <w:bottom w:w="120" w:type="dxa"/>
              <w:left w:w="160" w:type="dxa"/>
              <w:right w:w="160" w:type="dxa"/>
            </w:tcMar>
            <w:shd w:fill="1F497D"/>
          </w:tcPr>
          <w:p>
            <w:pPr>
              <w:jc w:val="center"/>
            </w:pPr>
            <w:r>
              <w:rPr>
                <w:rFonts w:ascii="Calibri" w:hAnsi="Calibri"/>
                <w:b/>
                <w:i w:val="0"/>
                <w:color w:val="FFFFFF"/>
                <w:sz w:val="20"/>
              </w:rPr>
              <w:t>Model Candidate</w:t>
            </w:r>
          </w:p>
        </w:tc>
        <w:tc>
          <w:tcPr>
            <w:tcW w:type="dxa" w:w="1440"/>
            <w:vAlign w:val="center"/>
            <w:tcMar>
              <w:top w:w="120" w:type="dxa"/>
              <w:bottom w:w="120" w:type="dxa"/>
              <w:left w:w="160" w:type="dxa"/>
              <w:right w:w="160" w:type="dxa"/>
            </w:tcMar>
            <w:shd w:fill="1F497D"/>
          </w:tcPr>
          <w:p>
            <w:pPr>
              <w:jc w:val="center"/>
            </w:pPr>
            <w:r>
              <w:rPr>
                <w:rFonts w:ascii="Calibri" w:hAnsi="Calibri"/>
                <w:b/>
                <w:i w:val="0"/>
                <w:color w:val="FFFFFF"/>
                <w:sz w:val="20"/>
              </w:rPr>
              <w:t>Accuracy (Mean)</w:t>
            </w:r>
          </w:p>
        </w:tc>
        <w:tc>
          <w:tcPr>
            <w:tcW w:type="dxa" w:w="1440"/>
            <w:vAlign w:val="center"/>
            <w:tcMar>
              <w:top w:w="120" w:type="dxa"/>
              <w:bottom w:w="120" w:type="dxa"/>
              <w:left w:w="160" w:type="dxa"/>
              <w:right w:w="160" w:type="dxa"/>
            </w:tcMar>
            <w:shd w:fill="1F497D"/>
          </w:tcPr>
          <w:p>
            <w:pPr>
              <w:jc w:val="center"/>
            </w:pPr>
            <w:r>
              <w:rPr>
                <w:rFonts w:ascii="Calibri" w:hAnsi="Calibri"/>
                <w:b/>
                <w:i w:val="0"/>
                <w:color w:val="FFFFFF"/>
                <w:sz w:val="20"/>
              </w:rPr>
              <w:t>Recall (Mean)</w:t>
            </w:r>
          </w:p>
        </w:tc>
        <w:tc>
          <w:tcPr>
            <w:tcW w:type="dxa" w:w="1440"/>
            <w:vAlign w:val="center"/>
            <w:tcMar>
              <w:top w:w="120" w:type="dxa"/>
              <w:bottom w:w="120" w:type="dxa"/>
              <w:left w:w="160" w:type="dxa"/>
              <w:right w:w="160" w:type="dxa"/>
            </w:tcMar>
            <w:shd w:fill="1F497D"/>
          </w:tcPr>
          <w:p>
            <w:pPr>
              <w:jc w:val="center"/>
            </w:pPr>
            <w:r>
              <w:rPr>
                <w:rFonts w:ascii="Calibri" w:hAnsi="Calibri"/>
                <w:b/>
                <w:i w:val="0"/>
                <w:color w:val="FFFFFF"/>
                <w:sz w:val="20"/>
              </w:rPr>
              <w:t>F1-Score (Mean)</w:t>
            </w:r>
          </w:p>
        </w:tc>
        <w:tc>
          <w:tcPr>
            <w:tcW w:type="dxa" w:w="1584"/>
            <w:vAlign w:val="center"/>
            <w:tcMar>
              <w:top w:w="120" w:type="dxa"/>
              <w:bottom w:w="120" w:type="dxa"/>
              <w:left w:w="160" w:type="dxa"/>
              <w:right w:w="160" w:type="dxa"/>
            </w:tcMar>
            <w:shd w:fill="1F497D"/>
          </w:tcPr>
          <w:p>
            <w:pPr>
              <w:jc w:val="center"/>
            </w:pPr>
            <w:r>
              <w:rPr>
                <w:rFonts w:ascii="Calibri" w:hAnsi="Calibri"/>
                <w:b/>
                <w:i w:val="0"/>
                <w:color w:val="FFFFFF"/>
                <w:sz w:val="20"/>
              </w:rPr>
              <w:t>ROC-AUC (Mean)</w:t>
            </w:r>
          </w:p>
        </w:tc>
        <w:tc>
          <w:tcPr>
            <w:tcW w:type="dxa" w:w="1584"/>
            <w:vAlign w:val="center"/>
            <w:tcMar>
              <w:top w:w="120" w:type="dxa"/>
              <w:bottom w:w="120" w:type="dxa"/>
              <w:left w:w="160" w:type="dxa"/>
              <w:right w:w="160" w:type="dxa"/>
            </w:tcMar>
            <w:shd w:fill="1F497D"/>
          </w:tcPr>
          <w:p>
            <w:pPr>
              <w:jc w:val="center"/>
            </w:pPr>
            <w:r>
              <w:rPr>
                <w:rFonts w:ascii="Calibri" w:hAnsi="Calibri"/>
                <w:b/>
                <w:i w:val="0"/>
                <w:color w:val="FFFFFF"/>
                <w:sz w:val="20"/>
              </w:rPr>
              <w:t>PR-AUC (Mean)</w:t>
            </w:r>
          </w:p>
        </w:tc>
      </w:tr>
      <w:tr>
        <w:trPr>
          <w:cantSplit/>
        </w:trPr>
        <w:tc>
          <w:tcPr>
            <w:tcW w:type="dxa" w:w="2304"/>
            <w:vAlign w:val="center"/>
            <w:tcMar>
              <w:top w:w="120" w:type="dxa"/>
              <w:bottom w:w="120" w:type="dxa"/>
              <w:left w:w="160" w:type="dxa"/>
              <w:right w:w="160" w:type="dxa"/>
            </w:tcMar>
            <w:shd w:fill="F2F5F9"/>
          </w:tcPr>
          <w:p>
            <w:r>
              <w:rPr>
                <w:rFonts w:ascii="Calibri" w:hAnsi="Calibri"/>
                <w:b w:val="0"/>
                <w:i w:val="0"/>
                <w:color w:val="1E1E1E"/>
                <w:sz w:val="19"/>
              </w:rPr>
              <w:t>Dummy Baseline</w:t>
            </w:r>
          </w:p>
        </w:tc>
        <w:tc>
          <w:tcPr>
            <w:tcW w:type="dxa" w:w="1440"/>
            <w:vAlign w:val="center"/>
            <w:tcMar>
              <w:top w:w="120" w:type="dxa"/>
              <w:bottom w:w="120" w:type="dxa"/>
              <w:left w:w="160" w:type="dxa"/>
              <w:right w:w="160" w:type="dxa"/>
            </w:tcMar>
            <w:shd w:fill="F2F5F9"/>
          </w:tcPr>
          <w:p>
            <w:r>
              <w:rPr>
                <w:rFonts w:ascii="Calibri" w:hAnsi="Calibri"/>
                <w:b w:val="0"/>
                <w:i w:val="0"/>
                <w:color w:val="1E1E1E"/>
                <w:sz w:val="19"/>
              </w:rPr>
              <w:t>0.614 ± 0.013</w:t>
            </w:r>
          </w:p>
        </w:tc>
        <w:tc>
          <w:tcPr>
            <w:tcW w:type="dxa" w:w="1440"/>
            <w:vAlign w:val="center"/>
            <w:tcMar>
              <w:top w:w="120" w:type="dxa"/>
              <w:bottom w:w="120" w:type="dxa"/>
              <w:left w:w="160" w:type="dxa"/>
              <w:right w:w="160" w:type="dxa"/>
            </w:tcMar>
            <w:shd w:fill="F2F5F9"/>
          </w:tcPr>
          <w:p>
            <w:r>
              <w:rPr>
                <w:rFonts w:ascii="Calibri" w:hAnsi="Calibri"/>
                <w:b w:val="0"/>
                <w:i w:val="0"/>
                <w:color w:val="1E1E1E"/>
                <w:sz w:val="19"/>
              </w:rPr>
              <w:t>0.278 ± 0.025</w:t>
            </w:r>
          </w:p>
        </w:tc>
        <w:tc>
          <w:tcPr>
            <w:tcW w:type="dxa" w:w="1440"/>
            <w:vAlign w:val="center"/>
            <w:tcMar>
              <w:top w:w="120" w:type="dxa"/>
              <w:bottom w:w="120" w:type="dxa"/>
              <w:left w:w="160" w:type="dxa"/>
              <w:right w:w="160" w:type="dxa"/>
            </w:tcMar>
            <w:shd w:fill="F2F5F9"/>
          </w:tcPr>
          <w:p>
            <w:r>
              <w:rPr>
                <w:rFonts w:ascii="Calibri" w:hAnsi="Calibri"/>
                <w:b w:val="0"/>
                <w:i w:val="0"/>
                <w:color w:val="1E1E1E"/>
                <w:sz w:val="19"/>
              </w:rPr>
              <w:t>0.276 ± 0.025</w:t>
            </w:r>
          </w:p>
        </w:tc>
        <w:tc>
          <w:tcPr>
            <w:tcW w:type="dxa" w:w="1584"/>
            <w:vAlign w:val="center"/>
            <w:tcMar>
              <w:top w:w="120" w:type="dxa"/>
              <w:bottom w:w="120" w:type="dxa"/>
              <w:left w:w="160" w:type="dxa"/>
              <w:right w:w="160" w:type="dxa"/>
            </w:tcMar>
            <w:shd w:fill="F2F5F9"/>
          </w:tcPr>
          <w:p>
            <w:r>
              <w:rPr>
                <w:rFonts w:ascii="Calibri" w:hAnsi="Calibri"/>
                <w:b w:val="0"/>
                <w:i w:val="0"/>
                <w:color w:val="1E1E1E"/>
                <w:sz w:val="19"/>
              </w:rPr>
              <w:t>0.5065 ± 0.017</w:t>
            </w:r>
          </w:p>
        </w:tc>
        <w:tc>
          <w:tcPr>
            <w:tcW w:type="dxa" w:w="1584"/>
            <w:vAlign w:val="center"/>
            <w:tcMar>
              <w:top w:w="120" w:type="dxa"/>
              <w:bottom w:w="120" w:type="dxa"/>
              <w:left w:w="160" w:type="dxa"/>
              <w:right w:w="160" w:type="dxa"/>
            </w:tcMar>
            <w:shd w:fill="F2F5F9"/>
          </w:tcPr>
          <w:p>
            <w:r>
              <w:rPr>
                <w:rFonts w:ascii="Calibri" w:hAnsi="Calibri"/>
                <w:b w:val="0"/>
                <w:i w:val="0"/>
                <w:color w:val="1E1E1E"/>
                <w:sz w:val="19"/>
              </w:rPr>
              <w:t>0.2686 ± 0.007</w:t>
            </w:r>
          </w:p>
        </w:tc>
      </w:tr>
      <w:tr>
        <w:trPr>
          <w:cantSplit/>
        </w:trPr>
        <w:tc>
          <w:tcPr>
            <w:tcW w:type="dxa" w:w="2304"/>
            <w:vAlign w:val="center"/>
            <w:tcMar>
              <w:top w:w="120" w:type="dxa"/>
              <w:bottom w:w="120" w:type="dxa"/>
              <w:left w:w="160" w:type="dxa"/>
              <w:right w:w="160" w:type="dxa"/>
            </w:tcMar>
            <w:shd w:fill="FFFFFF"/>
          </w:tcPr>
          <w:p>
            <w:r>
              <w:rPr>
                <w:rFonts w:ascii="Calibri" w:hAnsi="Calibri"/>
                <w:b w:val="0"/>
                <w:i w:val="0"/>
                <w:color w:val="1E1E1E"/>
                <w:sz w:val="19"/>
              </w:rPr>
              <w:t>Logistic Regression</w:t>
            </w:r>
          </w:p>
        </w:tc>
        <w:tc>
          <w:tcPr>
            <w:tcW w:type="dxa" w:w="1440"/>
            <w:vAlign w:val="center"/>
            <w:tcMar>
              <w:top w:w="120" w:type="dxa"/>
              <w:bottom w:w="120" w:type="dxa"/>
              <w:left w:w="160" w:type="dxa"/>
              <w:right w:w="160" w:type="dxa"/>
            </w:tcMar>
            <w:shd w:fill="FFFFFF"/>
          </w:tcPr>
          <w:p>
            <w:r>
              <w:rPr>
                <w:rFonts w:ascii="Calibri" w:hAnsi="Calibri"/>
                <w:b w:val="0"/>
                <w:i w:val="0"/>
                <w:color w:val="1E1E1E"/>
                <w:sz w:val="19"/>
              </w:rPr>
              <w:t>0.748 ± 0.014</w:t>
            </w:r>
          </w:p>
        </w:tc>
        <w:tc>
          <w:tcPr>
            <w:tcW w:type="dxa" w:w="1440"/>
            <w:vAlign w:val="center"/>
            <w:tcMar>
              <w:top w:w="120" w:type="dxa"/>
              <w:bottom w:w="120" w:type="dxa"/>
              <w:left w:w="160" w:type="dxa"/>
              <w:right w:w="160" w:type="dxa"/>
            </w:tcMar>
            <w:shd w:fill="FFFFFF"/>
          </w:tcPr>
          <w:p>
            <w:r>
              <w:rPr>
                <w:rFonts w:ascii="Calibri" w:hAnsi="Calibri"/>
                <w:b w:val="0"/>
                <w:i w:val="0"/>
                <w:color w:val="1E1E1E"/>
                <w:sz w:val="19"/>
              </w:rPr>
              <w:t>0.793 ± 0.038</w:t>
            </w:r>
          </w:p>
        </w:tc>
        <w:tc>
          <w:tcPr>
            <w:tcW w:type="dxa" w:w="1440"/>
            <w:vAlign w:val="center"/>
            <w:tcMar>
              <w:top w:w="120" w:type="dxa"/>
              <w:bottom w:w="120" w:type="dxa"/>
              <w:left w:w="160" w:type="dxa"/>
              <w:right w:w="160" w:type="dxa"/>
            </w:tcMar>
            <w:shd w:fill="FFFFFF"/>
          </w:tcPr>
          <w:p>
            <w:r>
              <w:rPr>
                <w:rFonts w:ascii="Calibri" w:hAnsi="Calibri"/>
                <w:b w:val="0"/>
                <w:i w:val="0"/>
                <w:color w:val="1E1E1E"/>
                <w:sz w:val="19"/>
              </w:rPr>
              <w:t>0.625 ± 0.022</w:t>
            </w:r>
          </w:p>
        </w:tc>
        <w:tc>
          <w:tcPr>
            <w:tcW w:type="dxa" w:w="1584"/>
            <w:vAlign w:val="center"/>
            <w:tcMar>
              <w:top w:w="120" w:type="dxa"/>
              <w:bottom w:w="120" w:type="dxa"/>
              <w:left w:w="160" w:type="dxa"/>
              <w:right w:w="160" w:type="dxa"/>
            </w:tcMar>
            <w:shd w:fill="FFFFFF"/>
          </w:tcPr>
          <w:p>
            <w:r>
              <w:rPr>
                <w:rFonts w:ascii="Calibri" w:hAnsi="Calibri"/>
                <w:b w:val="0"/>
                <w:i w:val="0"/>
                <w:color w:val="1E1E1E"/>
                <w:sz w:val="19"/>
              </w:rPr>
              <w:t>0.8456 ± 0.011</w:t>
            </w:r>
          </w:p>
        </w:tc>
        <w:tc>
          <w:tcPr>
            <w:tcW w:type="dxa" w:w="1584"/>
            <w:vAlign w:val="center"/>
            <w:tcMar>
              <w:top w:w="120" w:type="dxa"/>
              <w:bottom w:w="120" w:type="dxa"/>
              <w:left w:w="160" w:type="dxa"/>
              <w:right w:w="160" w:type="dxa"/>
            </w:tcMar>
            <w:shd w:fill="FFFFFF"/>
          </w:tcPr>
          <w:p>
            <w:r>
              <w:rPr>
                <w:rFonts w:ascii="Calibri" w:hAnsi="Calibri"/>
                <w:b w:val="0"/>
                <w:i w:val="0"/>
                <w:color w:val="1E1E1E"/>
                <w:sz w:val="19"/>
              </w:rPr>
              <w:t>0.6619 ± 0.013</w:t>
            </w:r>
          </w:p>
        </w:tc>
      </w:tr>
      <w:tr>
        <w:trPr>
          <w:cantSplit/>
        </w:trPr>
        <w:tc>
          <w:tcPr>
            <w:tcW w:type="dxa" w:w="2304"/>
            <w:vAlign w:val="center"/>
            <w:tcMar>
              <w:top w:w="120" w:type="dxa"/>
              <w:bottom w:w="120" w:type="dxa"/>
              <w:left w:w="160" w:type="dxa"/>
              <w:right w:w="160" w:type="dxa"/>
            </w:tcMar>
            <w:shd w:fill="F2F5F9"/>
          </w:tcPr>
          <w:p>
            <w:r>
              <w:rPr>
                <w:rFonts w:ascii="Calibri" w:hAnsi="Calibri"/>
                <w:b w:val="0"/>
                <w:i w:val="0"/>
                <w:color w:val="1E1E1E"/>
                <w:sz w:val="19"/>
              </w:rPr>
              <w:t>Decision Tree</w:t>
            </w:r>
          </w:p>
        </w:tc>
        <w:tc>
          <w:tcPr>
            <w:tcW w:type="dxa" w:w="1440"/>
            <w:vAlign w:val="center"/>
            <w:tcMar>
              <w:top w:w="120" w:type="dxa"/>
              <w:bottom w:w="120" w:type="dxa"/>
              <w:left w:w="160" w:type="dxa"/>
              <w:right w:w="160" w:type="dxa"/>
            </w:tcMar>
            <w:shd w:fill="F2F5F9"/>
          </w:tcPr>
          <w:p>
            <w:r>
              <w:rPr>
                <w:rFonts w:ascii="Calibri" w:hAnsi="Calibri"/>
                <w:b w:val="0"/>
                <w:i w:val="0"/>
                <w:color w:val="1E1E1E"/>
                <w:sz w:val="19"/>
              </w:rPr>
              <w:t>0.720 ± 0.019</w:t>
            </w:r>
          </w:p>
        </w:tc>
        <w:tc>
          <w:tcPr>
            <w:tcW w:type="dxa" w:w="1440"/>
            <w:vAlign w:val="center"/>
            <w:tcMar>
              <w:top w:w="120" w:type="dxa"/>
              <w:bottom w:w="120" w:type="dxa"/>
              <w:left w:w="160" w:type="dxa"/>
              <w:right w:w="160" w:type="dxa"/>
            </w:tcMar>
            <w:shd w:fill="F2F5F9"/>
          </w:tcPr>
          <w:p>
            <w:r>
              <w:rPr>
                <w:rFonts w:ascii="Calibri" w:hAnsi="Calibri"/>
                <w:b w:val="0"/>
                <w:i w:val="0"/>
                <w:color w:val="1E1E1E"/>
                <w:sz w:val="19"/>
              </w:rPr>
              <w:t>0.784 ± 0.041</w:t>
            </w:r>
          </w:p>
        </w:tc>
        <w:tc>
          <w:tcPr>
            <w:tcW w:type="dxa" w:w="1440"/>
            <w:vAlign w:val="center"/>
            <w:tcMar>
              <w:top w:w="120" w:type="dxa"/>
              <w:bottom w:w="120" w:type="dxa"/>
              <w:left w:w="160" w:type="dxa"/>
              <w:right w:w="160" w:type="dxa"/>
            </w:tcMar>
            <w:shd w:fill="F2F5F9"/>
          </w:tcPr>
          <w:p>
            <w:r>
              <w:rPr>
                <w:rFonts w:ascii="Calibri" w:hAnsi="Calibri"/>
                <w:b w:val="0"/>
                <w:i w:val="0"/>
                <w:color w:val="1E1E1E"/>
                <w:sz w:val="19"/>
              </w:rPr>
              <w:t>0.598 ± 0.018</w:t>
            </w:r>
          </w:p>
        </w:tc>
        <w:tc>
          <w:tcPr>
            <w:tcW w:type="dxa" w:w="1584"/>
            <w:vAlign w:val="center"/>
            <w:tcMar>
              <w:top w:w="120" w:type="dxa"/>
              <w:bottom w:w="120" w:type="dxa"/>
              <w:left w:w="160" w:type="dxa"/>
              <w:right w:w="160" w:type="dxa"/>
            </w:tcMar>
            <w:shd w:fill="F2F5F9"/>
          </w:tcPr>
          <w:p>
            <w:r>
              <w:rPr>
                <w:rFonts w:ascii="Calibri" w:hAnsi="Calibri"/>
                <w:b w:val="0"/>
                <w:i w:val="0"/>
                <w:color w:val="1E1E1E"/>
                <w:sz w:val="19"/>
              </w:rPr>
              <w:t>0.8222 ± 0.011</w:t>
            </w:r>
          </w:p>
        </w:tc>
        <w:tc>
          <w:tcPr>
            <w:tcW w:type="dxa" w:w="1584"/>
            <w:vAlign w:val="center"/>
            <w:tcMar>
              <w:top w:w="120" w:type="dxa"/>
              <w:bottom w:w="120" w:type="dxa"/>
              <w:left w:w="160" w:type="dxa"/>
              <w:right w:w="160" w:type="dxa"/>
            </w:tcMar>
            <w:shd w:fill="F2F5F9"/>
          </w:tcPr>
          <w:p>
            <w:r>
              <w:rPr>
                <w:rFonts w:ascii="Calibri" w:hAnsi="Calibri"/>
                <w:b w:val="0"/>
                <w:i w:val="0"/>
                <w:color w:val="1E1E1E"/>
                <w:sz w:val="19"/>
              </w:rPr>
              <w:t>0.5998 ± 0.019</w:t>
            </w:r>
          </w:p>
        </w:tc>
      </w:tr>
      <w:tr>
        <w:trPr>
          <w:cantSplit/>
        </w:trPr>
        <w:tc>
          <w:tcPr>
            <w:tcW w:type="dxa" w:w="2304"/>
            <w:vAlign w:val="center"/>
            <w:tcMar>
              <w:top w:w="120" w:type="dxa"/>
              <w:bottom w:w="120" w:type="dxa"/>
              <w:left w:w="160" w:type="dxa"/>
              <w:right w:w="160" w:type="dxa"/>
            </w:tcMar>
            <w:shd w:fill="FFFFFF"/>
          </w:tcPr>
          <w:p>
            <w:r>
              <w:rPr>
                <w:rFonts w:ascii="Calibri" w:hAnsi="Calibri"/>
                <w:b w:val="0"/>
                <w:i w:val="0"/>
                <w:color w:val="1E1E1E"/>
                <w:sz w:val="19"/>
              </w:rPr>
              <w:t>Random Forest</w:t>
            </w:r>
          </w:p>
        </w:tc>
        <w:tc>
          <w:tcPr>
            <w:tcW w:type="dxa" w:w="1440"/>
            <w:vAlign w:val="center"/>
            <w:tcMar>
              <w:top w:w="120" w:type="dxa"/>
              <w:bottom w:w="120" w:type="dxa"/>
              <w:left w:w="160" w:type="dxa"/>
              <w:right w:w="160" w:type="dxa"/>
            </w:tcMar>
            <w:shd w:fill="FFFFFF"/>
          </w:tcPr>
          <w:p>
            <w:r>
              <w:rPr>
                <w:rFonts w:ascii="Calibri" w:hAnsi="Calibri"/>
                <w:b w:val="0"/>
                <w:i w:val="0"/>
                <w:color w:val="1E1E1E"/>
                <w:sz w:val="19"/>
              </w:rPr>
              <w:t>0.765 ± 0.010</w:t>
            </w:r>
          </w:p>
        </w:tc>
        <w:tc>
          <w:tcPr>
            <w:tcW w:type="dxa" w:w="1440"/>
            <w:vAlign w:val="center"/>
            <w:tcMar>
              <w:top w:w="120" w:type="dxa"/>
              <w:bottom w:w="120" w:type="dxa"/>
              <w:left w:w="160" w:type="dxa"/>
              <w:right w:w="160" w:type="dxa"/>
            </w:tcMar>
            <w:shd w:fill="FFFFFF"/>
          </w:tcPr>
          <w:p>
            <w:r>
              <w:rPr>
                <w:rFonts w:ascii="Calibri" w:hAnsi="Calibri"/>
                <w:b w:val="0"/>
                <w:i w:val="0"/>
                <w:color w:val="1E1E1E"/>
                <w:sz w:val="19"/>
              </w:rPr>
              <w:t>0.759 ± 0.024</w:t>
            </w:r>
          </w:p>
        </w:tc>
        <w:tc>
          <w:tcPr>
            <w:tcW w:type="dxa" w:w="1440"/>
            <w:vAlign w:val="center"/>
            <w:tcMar>
              <w:top w:w="120" w:type="dxa"/>
              <w:bottom w:w="120" w:type="dxa"/>
              <w:left w:w="160" w:type="dxa"/>
              <w:right w:w="160" w:type="dxa"/>
            </w:tcMar>
            <w:shd w:fill="FFFFFF"/>
          </w:tcPr>
          <w:p>
            <w:r>
              <w:rPr>
                <w:rFonts w:ascii="Calibri" w:hAnsi="Calibri"/>
                <w:b w:val="0"/>
                <w:i w:val="0"/>
                <w:color w:val="1E1E1E"/>
                <w:sz w:val="19"/>
              </w:rPr>
              <w:t>0.632 ± 0.017</w:t>
            </w:r>
          </w:p>
        </w:tc>
        <w:tc>
          <w:tcPr>
            <w:tcW w:type="dxa" w:w="1584"/>
            <w:vAlign w:val="center"/>
            <w:tcMar>
              <w:top w:w="120" w:type="dxa"/>
              <w:bottom w:w="120" w:type="dxa"/>
              <w:left w:w="160" w:type="dxa"/>
              <w:right w:w="160" w:type="dxa"/>
            </w:tcMar>
            <w:shd w:fill="FFFFFF"/>
          </w:tcPr>
          <w:p>
            <w:r>
              <w:rPr>
                <w:rFonts w:ascii="Calibri" w:hAnsi="Calibri"/>
                <w:b w:val="0"/>
                <w:i w:val="0"/>
                <w:color w:val="1E1E1E"/>
                <w:sz w:val="19"/>
              </w:rPr>
              <w:t>0.8420 ± 0.013</w:t>
            </w:r>
          </w:p>
        </w:tc>
        <w:tc>
          <w:tcPr>
            <w:tcW w:type="dxa" w:w="1584"/>
            <w:vAlign w:val="center"/>
            <w:tcMar>
              <w:top w:w="120" w:type="dxa"/>
              <w:bottom w:w="120" w:type="dxa"/>
              <w:left w:w="160" w:type="dxa"/>
              <w:right w:w="160" w:type="dxa"/>
            </w:tcMar>
            <w:shd w:fill="FFFFFF"/>
          </w:tcPr>
          <w:p>
            <w:r>
              <w:rPr>
                <w:rFonts w:ascii="Calibri" w:hAnsi="Calibri"/>
                <w:b w:val="0"/>
                <w:i w:val="0"/>
                <w:color w:val="1E1E1E"/>
                <w:sz w:val="19"/>
              </w:rPr>
              <w:t>0.6543 ± 0.022</w:t>
            </w:r>
          </w:p>
        </w:tc>
      </w:tr>
      <w:tr>
        <w:trPr>
          <w:cantSplit/>
        </w:trPr>
        <w:tc>
          <w:tcPr>
            <w:tcW w:type="dxa" w:w="2304"/>
            <w:vAlign w:val="center"/>
            <w:tcMar>
              <w:top w:w="120" w:type="dxa"/>
              <w:bottom w:w="120" w:type="dxa"/>
              <w:left w:w="160" w:type="dxa"/>
              <w:right w:w="160" w:type="dxa"/>
            </w:tcMar>
            <w:shd w:fill="F2F5F9"/>
          </w:tcPr>
          <w:p>
            <w:r>
              <w:rPr>
                <w:rFonts w:ascii="Calibri" w:hAnsi="Calibri"/>
                <w:b w:val="0"/>
                <w:i w:val="0"/>
                <w:color w:val="1E1E1E"/>
                <w:sz w:val="19"/>
              </w:rPr>
              <w:t>Gradient Boosting</w:t>
            </w:r>
          </w:p>
        </w:tc>
        <w:tc>
          <w:tcPr>
            <w:tcW w:type="dxa" w:w="1440"/>
            <w:vAlign w:val="center"/>
            <w:tcMar>
              <w:top w:w="120" w:type="dxa"/>
              <w:bottom w:w="120" w:type="dxa"/>
              <w:left w:w="160" w:type="dxa"/>
              <w:right w:w="160" w:type="dxa"/>
            </w:tcMar>
            <w:shd w:fill="F2F5F9"/>
          </w:tcPr>
          <w:p>
            <w:r>
              <w:rPr>
                <w:rFonts w:ascii="Calibri" w:hAnsi="Calibri"/>
                <w:b w:val="0"/>
                <w:i w:val="0"/>
                <w:color w:val="1E1E1E"/>
                <w:sz w:val="19"/>
              </w:rPr>
              <w:t>0.792 ± 0.012</w:t>
            </w:r>
          </w:p>
        </w:tc>
        <w:tc>
          <w:tcPr>
            <w:tcW w:type="dxa" w:w="1440"/>
            <w:vAlign w:val="center"/>
            <w:tcMar>
              <w:top w:w="120" w:type="dxa"/>
              <w:bottom w:w="120" w:type="dxa"/>
              <w:left w:w="160" w:type="dxa"/>
              <w:right w:w="160" w:type="dxa"/>
            </w:tcMar>
            <w:shd w:fill="F2F5F9"/>
          </w:tcPr>
          <w:p>
            <w:r>
              <w:rPr>
                <w:rFonts w:ascii="Calibri" w:hAnsi="Calibri"/>
                <w:b w:val="0"/>
                <w:i w:val="0"/>
                <w:color w:val="1E1E1E"/>
                <w:sz w:val="19"/>
              </w:rPr>
              <w:t>0.499 ± 0.036</w:t>
            </w:r>
          </w:p>
        </w:tc>
        <w:tc>
          <w:tcPr>
            <w:tcW w:type="dxa" w:w="1440"/>
            <w:vAlign w:val="center"/>
            <w:tcMar>
              <w:top w:w="120" w:type="dxa"/>
              <w:bottom w:w="120" w:type="dxa"/>
              <w:left w:w="160" w:type="dxa"/>
              <w:right w:w="160" w:type="dxa"/>
            </w:tcMar>
            <w:shd w:fill="F2F5F9"/>
          </w:tcPr>
          <w:p>
            <w:r>
              <w:rPr>
                <w:rFonts w:ascii="Calibri" w:hAnsi="Calibri"/>
                <w:b w:val="0"/>
                <w:i w:val="0"/>
                <w:color w:val="1E1E1E"/>
                <w:sz w:val="19"/>
              </w:rPr>
              <w:t>0.559 ± 0.028</w:t>
            </w:r>
          </w:p>
        </w:tc>
        <w:tc>
          <w:tcPr>
            <w:tcW w:type="dxa" w:w="1584"/>
            <w:vAlign w:val="center"/>
            <w:tcMar>
              <w:top w:w="120" w:type="dxa"/>
              <w:bottom w:w="120" w:type="dxa"/>
              <w:left w:w="160" w:type="dxa"/>
              <w:right w:w="160" w:type="dxa"/>
            </w:tcMar>
            <w:shd w:fill="F2F5F9"/>
          </w:tcPr>
          <w:p>
            <w:r>
              <w:rPr>
                <w:rFonts w:ascii="Calibri" w:hAnsi="Calibri"/>
                <w:b w:val="0"/>
                <w:i w:val="0"/>
                <w:color w:val="1E1E1E"/>
                <w:sz w:val="19"/>
              </w:rPr>
              <w:t>0.8410 ± 0.013</w:t>
            </w:r>
          </w:p>
        </w:tc>
        <w:tc>
          <w:tcPr>
            <w:tcW w:type="dxa" w:w="1584"/>
            <w:vAlign w:val="center"/>
            <w:tcMar>
              <w:top w:w="120" w:type="dxa"/>
              <w:bottom w:w="120" w:type="dxa"/>
              <w:left w:w="160" w:type="dxa"/>
              <w:right w:w="160" w:type="dxa"/>
            </w:tcMar>
            <w:shd w:fill="F2F5F9"/>
          </w:tcPr>
          <w:p>
            <w:r>
              <w:rPr>
                <w:rFonts w:ascii="Calibri" w:hAnsi="Calibri"/>
                <w:b w:val="0"/>
                <w:i w:val="0"/>
                <w:color w:val="1E1E1E"/>
                <w:sz w:val="19"/>
              </w:rPr>
              <w:t>0.6510 ± 0.023</w:t>
            </w:r>
          </w:p>
        </w:tc>
      </w:tr>
      <w:tr>
        <w:trPr>
          <w:cantSplit/>
        </w:trPr>
        <w:tc>
          <w:tcPr>
            <w:tcW w:type="dxa" w:w="2304"/>
            <w:vAlign w:val="center"/>
            <w:tcMar>
              <w:top w:w="120" w:type="dxa"/>
              <w:bottom w:w="120" w:type="dxa"/>
              <w:left w:w="160" w:type="dxa"/>
              <w:right w:w="160" w:type="dxa"/>
            </w:tcMar>
            <w:shd w:fill="FFFFFF"/>
          </w:tcPr>
          <w:p>
            <w:r>
              <w:rPr>
                <w:rFonts w:ascii="Calibri" w:hAnsi="Calibri"/>
                <w:b w:val="0"/>
                <w:i w:val="0"/>
                <w:color w:val="1E1E1E"/>
                <w:sz w:val="19"/>
              </w:rPr>
              <w:t>Support Vector Machine</w:t>
            </w:r>
          </w:p>
        </w:tc>
        <w:tc>
          <w:tcPr>
            <w:tcW w:type="dxa" w:w="1440"/>
            <w:vAlign w:val="center"/>
            <w:tcMar>
              <w:top w:w="120" w:type="dxa"/>
              <w:bottom w:w="120" w:type="dxa"/>
              <w:left w:w="160" w:type="dxa"/>
              <w:right w:w="160" w:type="dxa"/>
            </w:tcMar>
            <w:shd w:fill="FFFFFF"/>
          </w:tcPr>
          <w:p>
            <w:r>
              <w:rPr>
                <w:rFonts w:ascii="Calibri" w:hAnsi="Calibri"/>
                <w:b w:val="0"/>
                <w:i w:val="0"/>
                <w:color w:val="1E1E1E"/>
                <w:sz w:val="19"/>
              </w:rPr>
              <w:t>0.749 ± 0.015</w:t>
            </w:r>
          </w:p>
        </w:tc>
        <w:tc>
          <w:tcPr>
            <w:tcW w:type="dxa" w:w="1440"/>
            <w:vAlign w:val="center"/>
            <w:tcMar>
              <w:top w:w="120" w:type="dxa"/>
              <w:bottom w:w="120" w:type="dxa"/>
              <w:left w:w="160" w:type="dxa"/>
              <w:right w:w="160" w:type="dxa"/>
            </w:tcMar>
            <w:shd w:fill="FFFFFF"/>
          </w:tcPr>
          <w:p>
            <w:r>
              <w:rPr>
                <w:rFonts w:ascii="Calibri" w:hAnsi="Calibri"/>
                <w:b w:val="0"/>
                <w:i w:val="0"/>
                <w:color w:val="1E1E1E"/>
                <w:sz w:val="19"/>
              </w:rPr>
              <w:t>0.777 ± 0.041</w:t>
            </w:r>
          </w:p>
        </w:tc>
        <w:tc>
          <w:tcPr>
            <w:tcW w:type="dxa" w:w="1440"/>
            <w:vAlign w:val="center"/>
            <w:tcMar>
              <w:top w:w="120" w:type="dxa"/>
              <w:bottom w:w="120" w:type="dxa"/>
              <w:left w:w="160" w:type="dxa"/>
              <w:right w:w="160" w:type="dxa"/>
            </w:tcMar>
            <w:shd w:fill="FFFFFF"/>
          </w:tcPr>
          <w:p>
            <w:r>
              <w:rPr>
                <w:rFonts w:ascii="Calibri" w:hAnsi="Calibri"/>
                <w:b w:val="0"/>
                <w:i w:val="0"/>
                <w:color w:val="1E1E1E"/>
                <w:sz w:val="19"/>
              </w:rPr>
              <w:t>0.621 ± 0.023</w:t>
            </w:r>
          </w:p>
        </w:tc>
        <w:tc>
          <w:tcPr>
            <w:tcW w:type="dxa" w:w="1584"/>
            <w:vAlign w:val="center"/>
            <w:tcMar>
              <w:top w:w="120" w:type="dxa"/>
              <w:bottom w:w="120" w:type="dxa"/>
              <w:left w:w="160" w:type="dxa"/>
              <w:right w:w="160" w:type="dxa"/>
            </w:tcMar>
            <w:shd w:fill="FFFFFF"/>
          </w:tcPr>
          <w:p>
            <w:r>
              <w:rPr>
                <w:rFonts w:ascii="Calibri" w:hAnsi="Calibri"/>
                <w:b w:val="0"/>
                <w:i w:val="0"/>
                <w:color w:val="1E1E1E"/>
                <w:sz w:val="19"/>
              </w:rPr>
              <w:t>0.8299 ± 0.014</w:t>
            </w:r>
          </w:p>
        </w:tc>
        <w:tc>
          <w:tcPr>
            <w:tcW w:type="dxa" w:w="1584"/>
            <w:vAlign w:val="center"/>
            <w:tcMar>
              <w:top w:w="120" w:type="dxa"/>
              <w:bottom w:w="120" w:type="dxa"/>
              <w:left w:w="160" w:type="dxa"/>
              <w:right w:w="160" w:type="dxa"/>
            </w:tcMar>
            <w:shd w:fill="FFFFFF"/>
          </w:tcPr>
          <w:p>
            <w:r>
              <w:rPr>
                <w:rFonts w:ascii="Calibri" w:hAnsi="Calibri"/>
                <w:b w:val="0"/>
                <w:i w:val="0"/>
                <w:color w:val="1E1E1E"/>
                <w:sz w:val="19"/>
              </w:rPr>
              <w:t>0.6133 ± 0.026</w:t>
            </w:r>
          </w:p>
        </w:tc>
      </w:tr>
    </w:tbl>
    <w:p>
      <w:pPr>
        <w:spacing w:after="120"/>
      </w:pPr>
    </w:p>
    <w:p>
      <w:pPr>
        <w:keepNext/>
        <w:spacing w:before="120" w:after="40"/>
        <w:jc w:val="center"/>
      </w:pPr>
      <w:r>
        <w:drawing>
          <wp:inline xmlns:a="http://schemas.openxmlformats.org/drawingml/2006/main" xmlns:pic="http://schemas.openxmlformats.org/drawingml/2006/picture">
            <wp:extent cx="5669280" cy="3149181"/>
            <wp:docPr id="6" name="Picture 6"/>
            <wp:cNvGraphicFramePr>
              <a:graphicFrameLocks noChangeAspect="1"/>
            </wp:cNvGraphicFramePr>
            <a:graphic>
              <a:graphicData uri="http://schemas.openxmlformats.org/drawingml/2006/picture">
                <pic:pic>
                  <pic:nvPicPr>
                    <pic:cNvPr id="0" name="06_cv_model_benchmark.png"/>
                    <pic:cNvPicPr/>
                  </pic:nvPicPr>
                  <pic:blipFill>
                    <a:blip r:embed="rId14"/>
                    <a:stretch>
                      <a:fillRect/>
                    </a:stretch>
                  </pic:blipFill>
                  <pic:spPr>
                    <a:xfrm>
                      <a:off x="0" y="0"/>
                      <a:ext cx="5669280" cy="3149181"/>
                    </a:xfrm>
                    <a:prstGeom prst="rect"/>
                  </pic:spPr>
                </pic:pic>
              </a:graphicData>
            </a:graphic>
          </wp:inline>
        </w:drawing>
      </w:r>
    </w:p>
    <w:p>
      <w:pPr>
        <w:spacing w:before="40" w:after="160"/>
        <w:jc w:val="center"/>
      </w:pPr>
      <w:r>
        <w:rPr>
          <w:rFonts w:ascii="Calibri" w:hAnsi="Calibri"/>
          <w:b w:val="0"/>
          <w:i/>
          <w:color w:val="595959"/>
          <w:sz w:val="19"/>
        </w:rPr>
        <w:t>Figure 6: Stratified 5-Fold Cross-Validation Performance Benchmark Across Supervised Models.</w:t>
      </w:r>
    </w:p>
    <w:p>
      <w:pPr>
        <w:pStyle w:val="Heading1"/>
        <w:keepNext/>
        <w:spacing w:before="280" w:after="120"/>
        <w:jc w:val="left"/>
      </w:pPr>
      <w:r>
        <w:rPr>
          <w:rFonts w:ascii="Calibri" w:hAnsi="Calibri"/>
          <w:color w:val="1F497D"/>
        </w:rPr>
        <w:t>7. Holdout Test Set Evaluation &amp; Model Diagnostics</w:t>
      </w:r>
    </w:p>
    <w:p>
      <w:pPr>
        <w:spacing w:after="120" w:line="276" w:lineRule="auto"/>
      </w:pPr>
      <w:r>
        <w:rPr>
          <w:rFonts w:ascii="Calibri" w:hAnsi="Calibri"/>
          <w:b w:val="0"/>
          <w:i w:val="0"/>
          <w:color w:val="1E1E1E"/>
          <w:sz w:val="22"/>
        </w:rPr>
        <w:t>Following cross-validation, all candidate models were fitted on the complete 5,634-instance training partition and rigorously evaluated on the unseen 1,409-instance holdout test partition. This guarantees an unbiased estimate of real-world deployment performance.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2448"/>
            <w:vAlign w:val="center"/>
            <w:tcMar>
              <w:top w:w="120" w:type="dxa"/>
              <w:bottom w:w="120" w:type="dxa"/>
              <w:left w:w="160" w:type="dxa"/>
              <w:right w:w="160" w:type="dxa"/>
            </w:tcMar>
            <w:shd w:fill="1F497D"/>
          </w:tcPr>
          <w:p>
            <w:pPr>
              <w:jc w:val="center"/>
            </w:pPr>
            <w:r>
              <w:rPr>
                <w:rFonts w:ascii="Calibri" w:hAnsi="Calibri"/>
                <w:b/>
                <w:i w:val="0"/>
                <w:color w:val="FFFFFF"/>
                <w:sz w:val="20"/>
              </w:rPr>
              <w:t>Model Name</w:t>
            </w:r>
          </w:p>
        </w:tc>
        <w:tc>
          <w:tcPr>
            <w:tcW w:type="dxa" w:w="1152"/>
            <w:vAlign w:val="center"/>
            <w:tcMar>
              <w:top w:w="120" w:type="dxa"/>
              <w:bottom w:w="120" w:type="dxa"/>
              <w:left w:w="160" w:type="dxa"/>
              <w:right w:w="160" w:type="dxa"/>
            </w:tcMar>
            <w:shd w:fill="1F497D"/>
          </w:tcPr>
          <w:p>
            <w:pPr>
              <w:jc w:val="center"/>
            </w:pPr>
            <w:r>
              <w:rPr>
                <w:rFonts w:ascii="Calibri" w:hAnsi="Calibri"/>
                <w:b/>
                <w:i w:val="0"/>
                <w:color w:val="FFFFFF"/>
                <w:sz w:val="20"/>
              </w:rPr>
              <w:t>Accuracy</w:t>
            </w:r>
          </w:p>
        </w:tc>
        <w:tc>
          <w:tcPr>
            <w:tcW w:type="dxa" w:w="1152"/>
            <w:vAlign w:val="center"/>
            <w:tcMar>
              <w:top w:w="120" w:type="dxa"/>
              <w:bottom w:w="120" w:type="dxa"/>
              <w:left w:w="160" w:type="dxa"/>
              <w:right w:w="160" w:type="dxa"/>
            </w:tcMar>
            <w:shd w:fill="1F497D"/>
          </w:tcPr>
          <w:p>
            <w:pPr>
              <w:jc w:val="center"/>
            </w:pPr>
            <w:r>
              <w:rPr>
                <w:rFonts w:ascii="Calibri" w:hAnsi="Calibri"/>
                <w:b/>
                <w:i w:val="0"/>
                <w:color w:val="FFFFFF"/>
                <w:sz w:val="20"/>
              </w:rPr>
              <w:t>Precision</w:t>
            </w:r>
          </w:p>
        </w:tc>
        <w:tc>
          <w:tcPr>
            <w:tcW w:type="dxa" w:w="1152"/>
            <w:vAlign w:val="center"/>
            <w:tcMar>
              <w:top w:w="120" w:type="dxa"/>
              <w:bottom w:w="120" w:type="dxa"/>
              <w:left w:w="160" w:type="dxa"/>
              <w:right w:w="160" w:type="dxa"/>
            </w:tcMar>
            <w:shd w:fill="1F497D"/>
          </w:tcPr>
          <w:p>
            <w:pPr>
              <w:jc w:val="center"/>
            </w:pPr>
            <w:r>
              <w:rPr>
                <w:rFonts w:ascii="Calibri" w:hAnsi="Calibri"/>
                <w:b/>
                <w:i w:val="0"/>
                <w:color w:val="FFFFFF"/>
                <w:sz w:val="20"/>
              </w:rPr>
              <w:t>Recall</w:t>
            </w:r>
          </w:p>
        </w:tc>
        <w:tc>
          <w:tcPr>
            <w:tcW w:type="dxa" w:w="1152"/>
            <w:vAlign w:val="center"/>
            <w:tcMar>
              <w:top w:w="120" w:type="dxa"/>
              <w:bottom w:w="120" w:type="dxa"/>
              <w:left w:w="160" w:type="dxa"/>
              <w:right w:w="160" w:type="dxa"/>
            </w:tcMar>
            <w:shd w:fill="1F497D"/>
          </w:tcPr>
          <w:p>
            <w:pPr>
              <w:jc w:val="center"/>
            </w:pPr>
            <w:r>
              <w:rPr>
                <w:rFonts w:ascii="Calibri" w:hAnsi="Calibri"/>
                <w:b/>
                <w:i w:val="0"/>
                <w:color w:val="FFFFFF"/>
                <w:sz w:val="20"/>
              </w:rPr>
              <w:t>F1-Score</w:t>
            </w:r>
          </w:p>
        </w:tc>
        <w:tc>
          <w:tcPr>
            <w:tcW w:type="dxa" w:w="1296"/>
            <w:vAlign w:val="center"/>
            <w:tcMar>
              <w:top w:w="120" w:type="dxa"/>
              <w:bottom w:w="120" w:type="dxa"/>
              <w:left w:w="160" w:type="dxa"/>
              <w:right w:w="160" w:type="dxa"/>
            </w:tcMar>
            <w:shd w:fill="1F497D"/>
          </w:tcPr>
          <w:p>
            <w:pPr>
              <w:jc w:val="center"/>
            </w:pPr>
            <w:r>
              <w:rPr>
                <w:rFonts w:ascii="Calibri" w:hAnsi="Calibri"/>
                <w:b/>
                <w:i w:val="0"/>
                <w:color w:val="FFFFFF"/>
                <w:sz w:val="20"/>
              </w:rPr>
              <w:t>ROC-AUC</w:t>
            </w:r>
          </w:p>
        </w:tc>
        <w:tc>
          <w:tcPr>
            <w:tcW w:type="dxa" w:w="1296"/>
            <w:vAlign w:val="center"/>
            <w:tcMar>
              <w:top w:w="120" w:type="dxa"/>
              <w:bottom w:w="120" w:type="dxa"/>
              <w:left w:w="160" w:type="dxa"/>
              <w:right w:w="160" w:type="dxa"/>
            </w:tcMar>
            <w:shd w:fill="1F497D"/>
          </w:tcPr>
          <w:p>
            <w:pPr>
              <w:jc w:val="center"/>
            </w:pPr>
            <w:r>
              <w:rPr>
                <w:rFonts w:ascii="Calibri" w:hAnsi="Calibri"/>
                <w:b/>
                <w:i w:val="0"/>
                <w:color w:val="FFFFFF"/>
                <w:sz w:val="20"/>
              </w:rPr>
              <w:t>PR-AUC</w:t>
            </w:r>
          </w:p>
        </w:tc>
      </w:tr>
      <w:tr>
        <w:trPr>
          <w:cantSplit/>
        </w:trPr>
        <w:tc>
          <w:tcPr>
            <w:tcW w:type="dxa" w:w="2448"/>
            <w:vAlign w:val="center"/>
            <w:tcMar>
              <w:top w:w="120" w:type="dxa"/>
              <w:bottom w:w="120" w:type="dxa"/>
              <w:left w:w="160" w:type="dxa"/>
              <w:right w:w="160" w:type="dxa"/>
            </w:tcMar>
            <w:shd w:fill="F2F5F9"/>
          </w:tcPr>
          <w:p>
            <w:r>
              <w:rPr>
                <w:rFonts w:ascii="Calibri" w:hAnsi="Calibri"/>
                <w:b w:val="0"/>
                <w:i w:val="0"/>
                <w:color w:val="1E1E1E"/>
                <w:sz w:val="19"/>
              </w:rPr>
              <w:t>Dummy Baseline</w:t>
            </w:r>
          </w:p>
        </w:tc>
        <w:tc>
          <w:tcPr>
            <w:tcW w:type="dxa" w:w="1152"/>
            <w:vAlign w:val="center"/>
            <w:tcMar>
              <w:top w:w="120" w:type="dxa"/>
              <w:bottom w:w="120" w:type="dxa"/>
              <w:left w:w="160" w:type="dxa"/>
              <w:right w:w="160" w:type="dxa"/>
            </w:tcMar>
            <w:shd w:fill="F2F5F9"/>
          </w:tcPr>
          <w:p>
            <w:r>
              <w:rPr>
                <w:rFonts w:ascii="Calibri" w:hAnsi="Calibri"/>
                <w:b w:val="0"/>
                <w:i w:val="0"/>
                <w:color w:val="1E1E1E"/>
                <w:sz w:val="19"/>
              </w:rPr>
              <w:t>0.622</w:t>
            </w:r>
          </w:p>
        </w:tc>
        <w:tc>
          <w:tcPr>
            <w:tcW w:type="dxa" w:w="1152"/>
            <w:vAlign w:val="center"/>
            <w:tcMar>
              <w:top w:w="120" w:type="dxa"/>
              <w:bottom w:w="120" w:type="dxa"/>
              <w:left w:w="160" w:type="dxa"/>
              <w:right w:w="160" w:type="dxa"/>
            </w:tcMar>
            <w:shd w:fill="F2F5F9"/>
          </w:tcPr>
          <w:p>
            <w:r>
              <w:rPr>
                <w:rFonts w:ascii="Calibri" w:hAnsi="Calibri"/>
                <w:b w:val="0"/>
                <w:i w:val="0"/>
                <w:color w:val="1E1E1E"/>
                <w:sz w:val="19"/>
              </w:rPr>
              <w:t>0.289</w:t>
            </w:r>
          </w:p>
        </w:tc>
        <w:tc>
          <w:tcPr>
            <w:tcW w:type="dxa" w:w="1152"/>
            <w:vAlign w:val="center"/>
            <w:tcMar>
              <w:top w:w="120" w:type="dxa"/>
              <w:bottom w:w="120" w:type="dxa"/>
              <w:left w:w="160" w:type="dxa"/>
              <w:right w:w="160" w:type="dxa"/>
            </w:tcMar>
            <w:shd w:fill="F2F5F9"/>
          </w:tcPr>
          <w:p>
            <w:r>
              <w:rPr>
                <w:rFonts w:ascii="Calibri" w:hAnsi="Calibri"/>
                <w:b w:val="0"/>
                <w:i w:val="0"/>
                <w:color w:val="1E1E1E"/>
                <w:sz w:val="19"/>
              </w:rPr>
              <w:t>0.291</w:t>
            </w:r>
          </w:p>
        </w:tc>
        <w:tc>
          <w:tcPr>
            <w:tcW w:type="dxa" w:w="1152"/>
            <w:vAlign w:val="center"/>
            <w:tcMar>
              <w:top w:w="120" w:type="dxa"/>
              <w:bottom w:w="120" w:type="dxa"/>
              <w:left w:w="160" w:type="dxa"/>
              <w:right w:w="160" w:type="dxa"/>
            </w:tcMar>
            <w:shd w:fill="F2F5F9"/>
          </w:tcPr>
          <w:p>
            <w:r>
              <w:rPr>
                <w:rFonts w:ascii="Calibri" w:hAnsi="Calibri"/>
                <w:b w:val="0"/>
                <w:i w:val="0"/>
                <w:color w:val="1E1E1E"/>
                <w:sz w:val="19"/>
              </w:rPr>
              <w:t>0.290</w:t>
            </w:r>
          </w:p>
        </w:tc>
        <w:tc>
          <w:tcPr>
            <w:tcW w:type="dxa" w:w="1296"/>
            <w:vAlign w:val="center"/>
            <w:tcMar>
              <w:top w:w="120" w:type="dxa"/>
              <w:bottom w:w="120" w:type="dxa"/>
              <w:left w:w="160" w:type="dxa"/>
              <w:right w:w="160" w:type="dxa"/>
            </w:tcMar>
            <w:shd w:fill="F2F5F9"/>
          </w:tcPr>
          <w:p>
            <w:r>
              <w:rPr>
                <w:rFonts w:ascii="Calibri" w:hAnsi="Calibri"/>
                <w:b w:val="0"/>
                <w:i w:val="0"/>
                <w:color w:val="1E1E1E"/>
                <w:sz w:val="19"/>
              </w:rPr>
              <w:t>0.5163</w:t>
            </w:r>
          </w:p>
        </w:tc>
        <w:tc>
          <w:tcPr>
            <w:tcW w:type="dxa" w:w="1296"/>
            <w:vAlign w:val="center"/>
            <w:tcMar>
              <w:top w:w="120" w:type="dxa"/>
              <w:bottom w:w="120" w:type="dxa"/>
              <w:left w:w="160" w:type="dxa"/>
              <w:right w:w="160" w:type="dxa"/>
            </w:tcMar>
            <w:shd w:fill="F2F5F9"/>
          </w:tcPr>
          <w:p>
            <w:r>
              <w:rPr>
                <w:rFonts w:ascii="Calibri" w:hAnsi="Calibri"/>
                <w:b w:val="0"/>
                <w:i w:val="0"/>
                <w:color w:val="1E1E1E"/>
                <w:sz w:val="19"/>
              </w:rPr>
              <w:t>0.2723</w:t>
            </w:r>
          </w:p>
        </w:tc>
      </w:tr>
      <w:tr>
        <w:trPr>
          <w:cantSplit/>
        </w:trPr>
        <w:tc>
          <w:tcPr>
            <w:tcW w:type="dxa" w:w="2448"/>
            <w:vAlign w:val="center"/>
            <w:tcMar>
              <w:top w:w="120" w:type="dxa"/>
              <w:bottom w:w="120" w:type="dxa"/>
              <w:left w:w="160" w:type="dxa"/>
              <w:right w:w="160" w:type="dxa"/>
            </w:tcMar>
            <w:shd w:fill="FFFFFF"/>
          </w:tcPr>
          <w:p>
            <w:r>
              <w:rPr>
                <w:rFonts w:ascii="Calibri" w:hAnsi="Calibri"/>
                <w:b w:val="0"/>
                <w:i w:val="0"/>
                <w:color w:val="1E1E1E"/>
                <w:sz w:val="19"/>
              </w:rPr>
              <w:t>Logistic Regression</w:t>
            </w:r>
          </w:p>
        </w:tc>
        <w:tc>
          <w:tcPr>
            <w:tcW w:type="dxa" w:w="1152"/>
            <w:vAlign w:val="center"/>
            <w:tcMar>
              <w:top w:w="120" w:type="dxa"/>
              <w:bottom w:w="120" w:type="dxa"/>
              <w:left w:w="160" w:type="dxa"/>
              <w:right w:w="160" w:type="dxa"/>
            </w:tcMar>
            <w:shd w:fill="FFFFFF"/>
          </w:tcPr>
          <w:p>
            <w:r>
              <w:rPr>
                <w:rFonts w:ascii="Calibri" w:hAnsi="Calibri"/>
                <w:b w:val="0"/>
                <w:i w:val="0"/>
                <w:color w:val="1E1E1E"/>
                <w:sz w:val="19"/>
              </w:rPr>
              <w:t>0.740</w:t>
            </w:r>
          </w:p>
        </w:tc>
        <w:tc>
          <w:tcPr>
            <w:tcW w:type="dxa" w:w="1152"/>
            <w:vAlign w:val="center"/>
            <w:tcMar>
              <w:top w:w="120" w:type="dxa"/>
              <w:bottom w:w="120" w:type="dxa"/>
              <w:left w:w="160" w:type="dxa"/>
              <w:right w:w="160" w:type="dxa"/>
            </w:tcMar>
            <w:shd w:fill="FFFFFF"/>
          </w:tcPr>
          <w:p>
            <w:r>
              <w:rPr>
                <w:rFonts w:ascii="Calibri" w:hAnsi="Calibri"/>
                <w:b w:val="0"/>
                <w:i w:val="0"/>
                <w:color w:val="1E1E1E"/>
                <w:sz w:val="19"/>
              </w:rPr>
              <w:t>0.507</w:t>
            </w:r>
          </w:p>
        </w:tc>
        <w:tc>
          <w:tcPr>
            <w:tcW w:type="dxa" w:w="1152"/>
            <w:vAlign w:val="center"/>
            <w:tcMar>
              <w:top w:w="120" w:type="dxa"/>
              <w:bottom w:w="120" w:type="dxa"/>
              <w:left w:w="160" w:type="dxa"/>
              <w:right w:w="160" w:type="dxa"/>
            </w:tcMar>
            <w:shd w:fill="FFFFFF"/>
          </w:tcPr>
          <w:p>
            <w:r>
              <w:rPr>
                <w:rFonts w:ascii="Calibri" w:hAnsi="Calibri"/>
                <w:b w:val="0"/>
                <w:i w:val="0"/>
                <w:color w:val="1E1E1E"/>
                <w:sz w:val="19"/>
              </w:rPr>
              <w:t>0.789</w:t>
            </w:r>
          </w:p>
        </w:tc>
        <w:tc>
          <w:tcPr>
            <w:tcW w:type="dxa" w:w="1152"/>
            <w:vAlign w:val="center"/>
            <w:tcMar>
              <w:top w:w="120" w:type="dxa"/>
              <w:bottom w:w="120" w:type="dxa"/>
              <w:left w:w="160" w:type="dxa"/>
              <w:right w:w="160" w:type="dxa"/>
            </w:tcMar>
            <w:shd w:fill="FFFFFF"/>
          </w:tcPr>
          <w:p>
            <w:r>
              <w:rPr>
                <w:rFonts w:ascii="Calibri" w:hAnsi="Calibri"/>
                <w:b w:val="0"/>
                <w:i w:val="0"/>
                <w:color w:val="1E1E1E"/>
                <w:sz w:val="19"/>
              </w:rPr>
              <w:t>0.617</w:t>
            </w:r>
          </w:p>
        </w:tc>
        <w:tc>
          <w:tcPr>
            <w:tcW w:type="dxa" w:w="1296"/>
            <w:vAlign w:val="center"/>
            <w:tcMar>
              <w:top w:w="120" w:type="dxa"/>
              <w:bottom w:w="120" w:type="dxa"/>
              <w:left w:w="160" w:type="dxa"/>
              <w:right w:w="160" w:type="dxa"/>
            </w:tcMar>
            <w:shd w:fill="FFFFFF"/>
          </w:tcPr>
          <w:p>
            <w:r>
              <w:rPr>
                <w:rFonts w:ascii="Calibri" w:hAnsi="Calibri"/>
                <w:b w:val="0"/>
                <w:i w:val="0"/>
                <w:color w:val="1E1E1E"/>
                <w:sz w:val="19"/>
              </w:rPr>
              <w:t>0.8424</w:t>
            </w:r>
          </w:p>
        </w:tc>
        <w:tc>
          <w:tcPr>
            <w:tcW w:type="dxa" w:w="1296"/>
            <w:vAlign w:val="center"/>
            <w:tcMar>
              <w:top w:w="120" w:type="dxa"/>
              <w:bottom w:w="120" w:type="dxa"/>
              <w:left w:w="160" w:type="dxa"/>
              <w:right w:w="160" w:type="dxa"/>
            </w:tcMar>
            <w:shd w:fill="FFFFFF"/>
          </w:tcPr>
          <w:p>
            <w:r>
              <w:rPr>
                <w:rFonts w:ascii="Calibri" w:hAnsi="Calibri"/>
                <w:b w:val="0"/>
                <w:i w:val="0"/>
                <w:color w:val="1E1E1E"/>
                <w:sz w:val="19"/>
              </w:rPr>
              <w:t>0.6367</w:t>
            </w:r>
          </w:p>
        </w:tc>
      </w:tr>
      <w:tr>
        <w:trPr>
          <w:cantSplit/>
        </w:trPr>
        <w:tc>
          <w:tcPr>
            <w:tcW w:type="dxa" w:w="2448"/>
            <w:vAlign w:val="center"/>
            <w:tcMar>
              <w:top w:w="120" w:type="dxa"/>
              <w:bottom w:w="120" w:type="dxa"/>
              <w:left w:w="160" w:type="dxa"/>
              <w:right w:w="160" w:type="dxa"/>
            </w:tcMar>
            <w:shd w:fill="F2F5F9"/>
          </w:tcPr>
          <w:p>
            <w:r>
              <w:rPr>
                <w:rFonts w:ascii="Calibri" w:hAnsi="Calibri"/>
                <w:b w:val="0"/>
                <w:i w:val="0"/>
                <w:color w:val="1E1E1E"/>
                <w:sz w:val="19"/>
              </w:rPr>
              <w:t>Decision Tree</w:t>
            </w:r>
          </w:p>
        </w:tc>
        <w:tc>
          <w:tcPr>
            <w:tcW w:type="dxa" w:w="1152"/>
            <w:vAlign w:val="center"/>
            <w:tcMar>
              <w:top w:w="120" w:type="dxa"/>
              <w:bottom w:w="120" w:type="dxa"/>
              <w:left w:w="160" w:type="dxa"/>
              <w:right w:w="160" w:type="dxa"/>
            </w:tcMar>
            <w:shd w:fill="F2F5F9"/>
          </w:tcPr>
          <w:p>
            <w:r>
              <w:rPr>
                <w:rFonts w:ascii="Calibri" w:hAnsi="Calibri"/>
                <w:b w:val="0"/>
                <w:i w:val="0"/>
                <w:color w:val="1E1E1E"/>
                <w:sz w:val="19"/>
              </w:rPr>
              <w:t>0.733</w:t>
            </w:r>
          </w:p>
        </w:tc>
        <w:tc>
          <w:tcPr>
            <w:tcW w:type="dxa" w:w="1152"/>
            <w:vAlign w:val="center"/>
            <w:tcMar>
              <w:top w:w="120" w:type="dxa"/>
              <w:bottom w:w="120" w:type="dxa"/>
              <w:left w:w="160" w:type="dxa"/>
              <w:right w:w="160" w:type="dxa"/>
            </w:tcMar>
            <w:shd w:fill="F2F5F9"/>
          </w:tcPr>
          <w:p>
            <w:r>
              <w:rPr>
                <w:rFonts w:ascii="Calibri" w:hAnsi="Calibri"/>
                <w:b w:val="0"/>
                <w:i w:val="0"/>
                <w:color w:val="1E1E1E"/>
                <w:sz w:val="19"/>
              </w:rPr>
              <w:t>0.498</w:t>
            </w:r>
          </w:p>
        </w:tc>
        <w:tc>
          <w:tcPr>
            <w:tcW w:type="dxa" w:w="1152"/>
            <w:vAlign w:val="center"/>
            <w:tcMar>
              <w:top w:w="120" w:type="dxa"/>
              <w:bottom w:w="120" w:type="dxa"/>
              <w:left w:w="160" w:type="dxa"/>
              <w:right w:w="160" w:type="dxa"/>
            </w:tcMar>
            <w:shd w:fill="F2F5F9"/>
          </w:tcPr>
          <w:p>
            <w:r>
              <w:rPr>
                <w:rFonts w:ascii="Calibri" w:hAnsi="Calibri"/>
                <w:b w:val="0"/>
                <w:i w:val="0"/>
                <w:color w:val="1E1E1E"/>
                <w:sz w:val="19"/>
              </w:rPr>
              <w:t>0.786</w:t>
            </w:r>
          </w:p>
        </w:tc>
        <w:tc>
          <w:tcPr>
            <w:tcW w:type="dxa" w:w="1152"/>
            <w:vAlign w:val="center"/>
            <w:tcMar>
              <w:top w:w="120" w:type="dxa"/>
              <w:bottom w:w="120" w:type="dxa"/>
              <w:left w:w="160" w:type="dxa"/>
              <w:right w:w="160" w:type="dxa"/>
            </w:tcMar>
            <w:shd w:fill="F2F5F9"/>
          </w:tcPr>
          <w:p>
            <w:r>
              <w:rPr>
                <w:rFonts w:ascii="Calibri" w:hAnsi="Calibri"/>
                <w:b w:val="0"/>
                <w:i w:val="0"/>
                <w:color w:val="1E1E1E"/>
                <w:sz w:val="19"/>
              </w:rPr>
              <w:t>0.610</w:t>
            </w:r>
          </w:p>
        </w:tc>
        <w:tc>
          <w:tcPr>
            <w:tcW w:type="dxa" w:w="1296"/>
            <w:vAlign w:val="center"/>
            <w:tcMar>
              <w:top w:w="120" w:type="dxa"/>
              <w:bottom w:w="120" w:type="dxa"/>
              <w:left w:w="160" w:type="dxa"/>
              <w:right w:w="160" w:type="dxa"/>
            </w:tcMar>
            <w:shd w:fill="F2F5F9"/>
          </w:tcPr>
          <w:p>
            <w:r>
              <w:rPr>
                <w:rFonts w:ascii="Calibri" w:hAnsi="Calibri"/>
                <w:b w:val="0"/>
                <w:i w:val="0"/>
                <w:color w:val="1E1E1E"/>
                <w:sz w:val="19"/>
              </w:rPr>
              <w:t>0.8327</w:t>
            </w:r>
          </w:p>
        </w:tc>
        <w:tc>
          <w:tcPr>
            <w:tcW w:type="dxa" w:w="1296"/>
            <w:vAlign w:val="center"/>
            <w:tcMar>
              <w:top w:w="120" w:type="dxa"/>
              <w:bottom w:w="120" w:type="dxa"/>
              <w:left w:w="160" w:type="dxa"/>
              <w:right w:w="160" w:type="dxa"/>
            </w:tcMar>
            <w:shd w:fill="F2F5F9"/>
          </w:tcPr>
          <w:p>
            <w:r>
              <w:rPr>
                <w:rFonts w:ascii="Calibri" w:hAnsi="Calibri"/>
                <w:b w:val="0"/>
                <w:i w:val="0"/>
                <w:color w:val="1E1E1E"/>
                <w:sz w:val="19"/>
              </w:rPr>
              <w:t>0.6062</w:t>
            </w:r>
          </w:p>
        </w:tc>
      </w:tr>
      <w:tr>
        <w:trPr>
          <w:cantSplit/>
        </w:trPr>
        <w:tc>
          <w:tcPr>
            <w:tcW w:type="dxa" w:w="2448"/>
            <w:vAlign w:val="center"/>
            <w:tcMar>
              <w:top w:w="120" w:type="dxa"/>
              <w:bottom w:w="120" w:type="dxa"/>
              <w:left w:w="160" w:type="dxa"/>
              <w:right w:w="160" w:type="dxa"/>
            </w:tcMar>
            <w:shd w:fill="FFFFFF"/>
          </w:tcPr>
          <w:p>
            <w:r>
              <w:rPr>
                <w:rFonts w:ascii="Calibri" w:hAnsi="Calibri"/>
                <w:b w:val="0"/>
                <w:i w:val="0"/>
                <w:color w:val="1E1E1E"/>
                <w:sz w:val="19"/>
              </w:rPr>
              <w:t>Random Forest</w:t>
            </w:r>
          </w:p>
        </w:tc>
        <w:tc>
          <w:tcPr>
            <w:tcW w:type="dxa" w:w="1152"/>
            <w:vAlign w:val="center"/>
            <w:tcMar>
              <w:top w:w="120" w:type="dxa"/>
              <w:bottom w:w="120" w:type="dxa"/>
              <w:left w:w="160" w:type="dxa"/>
              <w:right w:w="160" w:type="dxa"/>
            </w:tcMar>
            <w:shd w:fill="FFFFFF"/>
          </w:tcPr>
          <w:p>
            <w:r>
              <w:rPr>
                <w:rFonts w:ascii="Calibri" w:hAnsi="Calibri"/>
                <w:b w:val="0"/>
                <w:i w:val="0"/>
                <w:color w:val="1E1E1E"/>
                <w:sz w:val="19"/>
              </w:rPr>
              <w:t>0.766</w:t>
            </w:r>
          </w:p>
        </w:tc>
        <w:tc>
          <w:tcPr>
            <w:tcW w:type="dxa" w:w="1152"/>
            <w:vAlign w:val="center"/>
            <w:tcMar>
              <w:top w:w="120" w:type="dxa"/>
              <w:bottom w:w="120" w:type="dxa"/>
              <w:left w:w="160" w:type="dxa"/>
              <w:right w:w="160" w:type="dxa"/>
            </w:tcMar>
            <w:shd w:fill="FFFFFF"/>
          </w:tcPr>
          <w:p>
            <w:r>
              <w:rPr>
                <w:rFonts w:ascii="Calibri" w:hAnsi="Calibri"/>
                <w:b w:val="0"/>
                <w:i w:val="0"/>
                <w:color w:val="1E1E1E"/>
                <w:sz w:val="19"/>
              </w:rPr>
              <w:t>0.542</w:t>
            </w:r>
          </w:p>
        </w:tc>
        <w:tc>
          <w:tcPr>
            <w:tcW w:type="dxa" w:w="1152"/>
            <w:vAlign w:val="center"/>
            <w:tcMar>
              <w:top w:w="120" w:type="dxa"/>
              <w:bottom w:w="120" w:type="dxa"/>
              <w:left w:w="160" w:type="dxa"/>
              <w:right w:w="160" w:type="dxa"/>
            </w:tcMar>
            <w:shd w:fill="FFFFFF"/>
          </w:tcPr>
          <w:p>
            <w:r>
              <w:rPr>
                <w:rFonts w:ascii="Calibri" w:hAnsi="Calibri"/>
                <w:b w:val="0"/>
                <w:i w:val="0"/>
                <w:color w:val="1E1E1E"/>
                <w:sz w:val="19"/>
              </w:rPr>
              <w:t>0.767</w:t>
            </w:r>
          </w:p>
        </w:tc>
        <w:tc>
          <w:tcPr>
            <w:tcW w:type="dxa" w:w="1152"/>
            <w:vAlign w:val="center"/>
            <w:tcMar>
              <w:top w:w="120" w:type="dxa"/>
              <w:bottom w:w="120" w:type="dxa"/>
              <w:left w:w="160" w:type="dxa"/>
              <w:right w:w="160" w:type="dxa"/>
            </w:tcMar>
            <w:shd w:fill="FFFFFF"/>
          </w:tcPr>
          <w:p>
            <w:r>
              <w:rPr>
                <w:rFonts w:ascii="Calibri" w:hAnsi="Calibri"/>
                <w:b w:val="0"/>
                <w:i w:val="0"/>
                <w:color w:val="1E1E1E"/>
                <w:sz w:val="19"/>
              </w:rPr>
              <w:t>0.635</w:t>
            </w:r>
          </w:p>
        </w:tc>
        <w:tc>
          <w:tcPr>
            <w:tcW w:type="dxa" w:w="1296"/>
            <w:vAlign w:val="center"/>
            <w:tcMar>
              <w:top w:w="120" w:type="dxa"/>
              <w:bottom w:w="120" w:type="dxa"/>
              <w:left w:w="160" w:type="dxa"/>
              <w:right w:w="160" w:type="dxa"/>
            </w:tcMar>
            <w:shd w:fill="FFFFFF"/>
          </w:tcPr>
          <w:p>
            <w:r>
              <w:rPr>
                <w:rFonts w:ascii="Calibri" w:hAnsi="Calibri"/>
                <w:b w:val="0"/>
                <w:i w:val="0"/>
                <w:color w:val="1E1E1E"/>
                <w:sz w:val="19"/>
              </w:rPr>
              <w:t>0.8406</w:t>
            </w:r>
          </w:p>
        </w:tc>
        <w:tc>
          <w:tcPr>
            <w:tcW w:type="dxa" w:w="1296"/>
            <w:vAlign w:val="center"/>
            <w:tcMar>
              <w:top w:w="120" w:type="dxa"/>
              <w:bottom w:w="120" w:type="dxa"/>
              <w:left w:w="160" w:type="dxa"/>
              <w:right w:w="160" w:type="dxa"/>
            </w:tcMar>
            <w:shd w:fill="FFFFFF"/>
          </w:tcPr>
          <w:p>
            <w:r>
              <w:rPr>
                <w:rFonts w:ascii="Calibri" w:hAnsi="Calibri"/>
                <w:b w:val="0"/>
                <w:i w:val="0"/>
                <w:color w:val="1E1E1E"/>
                <w:sz w:val="19"/>
              </w:rPr>
              <w:t>0.6470</w:t>
            </w:r>
          </w:p>
        </w:tc>
      </w:tr>
      <w:tr>
        <w:trPr>
          <w:cantSplit/>
        </w:trPr>
        <w:tc>
          <w:tcPr>
            <w:tcW w:type="dxa" w:w="2448"/>
            <w:vAlign w:val="center"/>
            <w:tcMar>
              <w:top w:w="120" w:type="dxa"/>
              <w:bottom w:w="120" w:type="dxa"/>
              <w:left w:w="160" w:type="dxa"/>
              <w:right w:w="160" w:type="dxa"/>
            </w:tcMar>
            <w:shd w:fill="F2F5F9"/>
          </w:tcPr>
          <w:p>
            <w:r>
              <w:rPr>
                <w:rFonts w:ascii="Calibri" w:hAnsi="Calibri"/>
                <w:b w:val="0"/>
                <w:i w:val="0"/>
                <w:color w:val="1E1E1E"/>
                <w:sz w:val="19"/>
              </w:rPr>
              <w:t>Gradient Boosting</w:t>
            </w:r>
          </w:p>
        </w:tc>
        <w:tc>
          <w:tcPr>
            <w:tcW w:type="dxa" w:w="1152"/>
            <w:vAlign w:val="center"/>
            <w:tcMar>
              <w:top w:w="120" w:type="dxa"/>
              <w:bottom w:w="120" w:type="dxa"/>
              <w:left w:w="160" w:type="dxa"/>
              <w:right w:w="160" w:type="dxa"/>
            </w:tcMar>
            <w:shd w:fill="F2F5F9"/>
          </w:tcPr>
          <w:p>
            <w:r>
              <w:rPr>
                <w:rFonts w:ascii="Calibri" w:hAnsi="Calibri"/>
                <w:b w:val="0"/>
                <w:i w:val="0"/>
                <w:color w:val="1E1E1E"/>
                <w:sz w:val="19"/>
              </w:rPr>
              <w:t>0.796</w:t>
            </w:r>
          </w:p>
        </w:tc>
        <w:tc>
          <w:tcPr>
            <w:tcW w:type="dxa" w:w="1152"/>
            <w:vAlign w:val="center"/>
            <w:tcMar>
              <w:top w:w="120" w:type="dxa"/>
              <w:bottom w:w="120" w:type="dxa"/>
              <w:left w:w="160" w:type="dxa"/>
              <w:right w:w="160" w:type="dxa"/>
            </w:tcMar>
            <w:shd w:fill="F2F5F9"/>
          </w:tcPr>
          <w:p>
            <w:r>
              <w:rPr>
                <w:rFonts w:ascii="Calibri" w:hAnsi="Calibri"/>
                <w:b w:val="0"/>
                <w:i w:val="0"/>
                <w:color w:val="1E1E1E"/>
                <w:sz w:val="19"/>
              </w:rPr>
              <w:t>0.642</w:t>
            </w:r>
          </w:p>
        </w:tc>
        <w:tc>
          <w:tcPr>
            <w:tcW w:type="dxa" w:w="1152"/>
            <w:vAlign w:val="center"/>
            <w:tcMar>
              <w:top w:w="120" w:type="dxa"/>
              <w:bottom w:w="120" w:type="dxa"/>
              <w:left w:w="160" w:type="dxa"/>
              <w:right w:w="160" w:type="dxa"/>
            </w:tcMar>
            <w:shd w:fill="F2F5F9"/>
          </w:tcPr>
          <w:p>
            <w:r>
              <w:rPr>
                <w:rFonts w:ascii="Calibri" w:hAnsi="Calibri"/>
                <w:b w:val="0"/>
                <w:i w:val="0"/>
                <w:color w:val="1E1E1E"/>
                <w:sz w:val="19"/>
              </w:rPr>
              <w:t>0.527</w:t>
            </w:r>
          </w:p>
        </w:tc>
        <w:tc>
          <w:tcPr>
            <w:tcW w:type="dxa" w:w="1152"/>
            <w:vAlign w:val="center"/>
            <w:tcMar>
              <w:top w:w="120" w:type="dxa"/>
              <w:bottom w:w="120" w:type="dxa"/>
              <w:left w:w="160" w:type="dxa"/>
              <w:right w:w="160" w:type="dxa"/>
            </w:tcMar>
            <w:shd w:fill="F2F5F9"/>
          </w:tcPr>
          <w:p>
            <w:r>
              <w:rPr>
                <w:rFonts w:ascii="Calibri" w:hAnsi="Calibri"/>
                <w:b w:val="0"/>
                <w:i w:val="0"/>
                <w:color w:val="1E1E1E"/>
                <w:sz w:val="19"/>
              </w:rPr>
              <w:t>0.579</w:t>
            </w:r>
          </w:p>
        </w:tc>
        <w:tc>
          <w:tcPr>
            <w:tcW w:type="dxa" w:w="1296"/>
            <w:vAlign w:val="center"/>
            <w:tcMar>
              <w:top w:w="120" w:type="dxa"/>
              <w:bottom w:w="120" w:type="dxa"/>
              <w:left w:w="160" w:type="dxa"/>
              <w:right w:w="160" w:type="dxa"/>
            </w:tcMar>
            <w:shd w:fill="F2F5F9"/>
          </w:tcPr>
          <w:p>
            <w:r>
              <w:rPr>
                <w:rFonts w:ascii="Calibri" w:hAnsi="Calibri"/>
                <w:b w:val="0"/>
                <w:i w:val="0"/>
                <w:color w:val="1E1E1E"/>
                <w:sz w:val="19"/>
              </w:rPr>
              <w:t>0.8415</w:t>
            </w:r>
          </w:p>
        </w:tc>
        <w:tc>
          <w:tcPr>
            <w:tcW w:type="dxa" w:w="1296"/>
            <w:vAlign w:val="center"/>
            <w:tcMar>
              <w:top w:w="120" w:type="dxa"/>
              <w:bottom w:w="120" w:type="dxa"/>
              <w:left w:w="160" w:type="dxa"/>
              <w:right w:w="160" w:type="dxa"/>
            </w:tcMar>
            <w:shd w:fill="F2F5F9"/>
          </w:tcPr>
          <w:p>
            <w:r>
              <w:rPr>
                <w:rFonts w:ascii="Calibri" w:hAnsi="Calibri"/>
                <w:b w:val="0"/>
                <w:i w:val="0"/>
                <w:color w:val="1E1E1E"/>
                <w:sz w:val="19"/>
              </w:rPr>
              <w:t>0.6514</w:t>
            </w:r>
          </w:p>
        </w:tc>
      </w:tr>
      <w:tr>
        <w:trPr>
          <w:cantSplit/>
        </w:trPr>
        <w:tc>
          <w:tcPr>
            <w:tcW w:type="dxa" w:w="2448"/>
            <w:vAlign w:val="center"/>
            <w:tcMar>
              <w:top w:w="120" w:type="dxa"/>
              <w:bottom w:w="120" w:type="dxa"/>
              <w:left w:w="160" w:type="dxa"/>
              <w:right w:w="160" w:type="dxa"/>
            </w:tcMar>
            <w:shd w:fill="FFFFFF"/>
          </w:tcPr>
          <w:p>
            <w:r>
              <w:rPr>
                <w:rFonts w:ascii="Calibri" w:hAnsi="Calibri"/>
                <w:b w:val="0"/>
                <w:i w:val="0"/>
                <w:color w:val="1E1E1E"/>
                <w:sz w:val="19"/>
              </w:rPr>
              <w:t>Support Vector Machine</w:t>
            </w:r>
          </w:p>
        </w:tc>
        <w:tc>
          <w:tcPr>
            <w:tcW w:type="dxa" w:w="1152"/>
            <w:vAlign w:val="center"/>
            <w:tcMar>
              <w:top w:w="120" w:type="dxa"/>
              <w:bottom w:w="120" w:type="dxa"/>
              <w:left w:w="160" w:type="dxa"/>
              <w:right w:w="160" w:type="dxa"/>
            </w:tcMar>
            <w:shd w:fill="FFFFFF"/>
          </w:tcPr>
          <w:p>
            <w:r>
              <w:rPr>
                <w:rFonts w:ascii="Calibri" w:hAnsi="Calibri"/>
                <w:b w:val="0"/>
                <w:i w:val="0"/>
                <w:color w:val="1E1E1E"/>
                <w:sz w:val="19"/>
              </w:rPr>
              <w:t>0.751</w:t>
            </w:r>
          </w:p>
        </w:tc>
        <w:tc>
          <w:tcPr>
            <w:tcW w:type="dxa" w:w="1152"/>
            <w:vAlign w:val="center"/>
            <w:tcMar>
              <w:top w:w="120" w:type="dxa"/>
              <w:bottom w:w="120" w:type="dxa"/>
              <w:left w:w="160" w:type="dxa"/>
              <w:right w:w="160" w:type="dxa"/>
            </w:tcMar>
            <w:shd w:fill="FFFFFF"/>
          </w:tcPr>
          <w:p>
            <w:r>
              <w:rPr>
                <w:rFonts w:ascii="Calibri" w:hAnsi="Calibri"/>
                <w:b w:val="0"/>
                <w:i w:val="0"/>
                <w:color w:val="1E1E1E"/>
                <w:sz w:val="19"/>
              </w:rPr>
              <w:t>0.520</w:t>
            </w:r>
          </w:p>
        </w:tc>
        <w:tc>
          <w:tcPr>
            <w:tcW w:type="dxa" w:w="1152"/>
            <w:vAlign w:val="center"/>
            <w:tcMar>
              <w:top w:w="120" w:type="dxa"/>
              <w:bottom w:w="120" w:type="dxa"/>
              <w:left w:w="160" w:type="dxa"/>
              <w:right w:w="160" w:type="dxa"/>
            </w:tcMar>
            <w:shd w:fill="FFFFFF"/>
          </w:tcPr>
          <w:p>
            <w:r>
              <w:rPr>
                <w:rFonts w:ascii="Calibri" w:hAnsi="Calibri"/>
                <w:b w:val="0"/>
                <w:i w:val="0"/>
                <w:color w:val="1E1E1E"/>
                <w:sz w:val="19"/>
              </w:rPr>
              <w:t>0.789</w:t>
            </w:r>
          </w:p>
        </w:tc>
        <w:tc>
          <w:tcPr>
            <w:tcW w:type="dxa" w:w="1152"/>
            <w:vAlign w:val="center"/>
            <w:tcMar>
              <w:top w:w="120" w:type="dxa"/>
              <w:bottom w:w="120" w:type="dxa"/>
              <w:left w:w="160" w:type="dxa"/>
              <w:right w:w="160" w:type="dxa"/>
            </w:tcMar>
            <w:shd w:fill="FFFFFF"/>
          </w:tcPr>
          <w:p>
            <w:r>
              <w:rPr>
                <w:rFonts w:ascii="Calibri" w:hAnsi="Calibri"/>
                <w:b w:val="0"/>
                <w:i w:val="0"/>
                <w:color w:val="1E1E1E"/>
                <w:sz w:val="19"/>
              </w:rPr>
              <w:t>0.627</w:t>
            </w:r>
          </w:p>
        </w:tc>
        <w:tc>
          <w:tcPr>
            <w:tcW w:type="dxa" w:w="1296"/>
            <w:vAlign w:val="center"/>
            <w:tcMar>
              <w:top w:w="120" w:type="dxa"/>
              <w:bottom w:w="120" w:type="dxa"/>
              <w:left w:w="160" w:type="dxa"/>
              <w:right w:w="160" w:type="dxa"/>
            </w:tcMar>
            <w:shd w:fill="FFFFFF"/>
          </w:tcPr>
          <w:p>
            <w:r>
              <w:rPr>
                <w:rFonts w:ascii="Calibri" w:hAnsi="Calibri"/>
                <w:b w:val="0"/>
                <w:i w:val="0"/>
                <w:color w:val="1E1E1E"/>
                <w:sz w:val="19"/>
              </w:rPr>
              <w:t>0.8314</w:t>
            </w:r>
          </w:p>
        </w:tc>
        <w:tc>
          <w:tcPr>
            <w:tcW w:type="dxa" w:w="1296"/>
            <w:vAlign w:val="center"/>
            <w:tcMar>
              <w:top w:w="120" w:type="dxa"/>
              <w:bottom w:w="120" w:type="dxa"/>
              <w:left w:w="160" w:type="dxa"/>
              <w:right w:w="160" w:type="dxa"/>
            </w:tcMar>
            <w:shd w:fill="FFFFFF"/>
          </w:tcPr>
          <w:p>
            <w:r>
              <w:rPr>
                <w:rFonts w:ascii="Calibri" w:hAnsi="Calibri"/>
                <w:b w:val="0"/>
                <w:i w:val="0"/>
                <w:color w:val="1E1E1E"/>
                <w:sz w:val="19"/>
              </w:rPr>
              <w:t>0.6080</w:t>
            </w:r>
          </w:p>
        </w:tc>
      </w:tr>
    </w:tbl>
    <w:p>
      <w:pPr>
        <w:spacing w:after="120"/>
      </w:pPr>
    </w:p>
    <w:p>
      <w:pPr>
        <w:keepNext/>
        <w:spacing w:before="120" w:after="40"/>
        <w:jc w:val="center"/>
      </w:pPr>
      <w:r>
        <w:drawing>
          <wp:inline xmlns:a="http://schemas.openxmlformats.org/drawingml/2006/main" xmlns:pic="http://schemas.openxmlformats.org/drawingml/2006/picture">
            <wp:extent cx="5303520" cy="4489141"/>
            <wp:docPr id="7" name="Picture 7"/>
            <wp:cNvGraphicFramePr>
              <a:graphicFrameLocks noChangeAspect="1"/>
            </wp:cNvGraphicFramePr>
            <a:graphic>
              <a:graphicData uri="http://schemas.openxmlformats.org/drawingml/2006/picture">
                <pic:pic>
                  <pic:nvPicPr>
                    <pic:cNvPr id="0" name="07_roc_curves_comparison.png"/>
                    <pic:cNvPicPr/>
                  </pic:nvPicPr>
                  <pic:blipFill>
                    <a:blip r:embed="rId15"/>
                    <a:stretch>
                      <a:fillRect/>
                    </a:stretch>
                  </pic:blipFill>
                  <pic:spPr>
                    <a:xfrm>
                      <a:off x="0" y="0"/>
                      <a:ext cx="5303520" cy="4489141"/>
                    </a:xfrm>
                    <a:prstGeom prst="rect"/>
                  </pic:spPr>
                </pic:pic>
              </a:graphicData>
            </a:graphic>
          </wp:inline>
        </w:drawing>
      </w:r>
    </w:p>
    <w:p>
      <w:pPr>
        <w:spacing w:before="40" w:after="160"/>
        <w:jc w:val="center"/>
      </w:pPr>
      <w:r>
        <w:rPr>
          <w:rFonts w:ascii="Calibri" w:hAnsi="Calibri"/>
          <w:b w:val="0"/>
          <w:i/>
          <w:color w:val="595959"/>
          <w:sz w:val="19"/>
        </w:rPr>
        <w:t>Figure 7: Receiver Operating Characteristic (ROC) Curves Across Candidate Models on Holdout Test Set.</w:t>
      </w:r>
    </w:p>
    <w:p>
      <w:pPr>
        <w:keepNext/>
        <w:spacing w:before="120" w:after="40"/>
        <w:jc w:val="center"/>
      </w:pPr>
      <w:r>
        <w:drawing>
          <wp:inline xmlns:a="http://schemas.openxmlformats.org/drawingml/2006/main" xmlns:pic="http://schemas.openxmlformats.org/drawingml/2006/picture">
            <wp:extent cx="5303520" cy="4489141"/>
            <wp:docPr id="8" name="Picture 8"/>
            <wp:cNvGraphicFramePr>
              <a:graphicFrameLocks noChangeAspect="1"/>
            </wp:cNvGraphicFramePr>
            <a:graphic>
              <a:graphicData uri="http://schemas.openxmlformats.org/drawingml/2006/picture">
                <pic:pic>
                  <pic:nvPicPr>
                    <pic:cNvPr id="0" name="08_precision_recall_curves.png"/>
                    <pic:cNvPicPr/>
                  </pic:nvPicPr>
                  <pic:blipFill>
                    <a:blip r:embed="rId16"/>
                    <a:stretch>
                      <a:fillRect/>
                    </a:stretch>
                  </pic:blipFill>
                  <pic:spPr>
                    <a:xfrm>
                      <a:off x="0" y="0"/>
                      <a:ext cx="5303520" cy="4489141"/>
                    </a:xfrm>
                    <a:prstGeom prst="rect"/>
                  </pic:spPr>
                </pic:pic>
              </a:graphicData>
            </a:graphic>
          </wp:inline>
        </w:drawing>
      </w:r>
    </w:p>
    <w:p>
      <w:pPr>
        <w:spacing w:before="40" w:after="160"/>
        <w:jc w:val="center"/>
      </w:pPr>
      <w:r>
        <w:rPr>
          <w:rFonts w:ascii="Calibri" w:hAnsi="Calibri"/>
          <w:b w:val="0"/>
          <w:i/>
          <w:color w:val="595959"/>
          <w:sz w:val="19"/>
        </w:rPr>
        <w:t>Figure 8: Precision-Recall Curves Across Candidate Models on Holdout Test Set.</w:t>
      </w:r>
    </w:p>
    <w:p>
      <w:pPr>
        <w:keepNext/>
        <w:spacing w:before="120" w:after="40"/>
        <w:jc w:val="center"/>
      </w:pPr>
      <w:r>
        <w:drawing>
          <wp:inline xmlns:a="http://schemas.openxmlformats.org/drawingml/2006/main" xmlns:pic="http://schemas.openxmlformats.org/drawingml/2006/picture">
            <wp:extent cx="5669280" cy="2403282"/>
            <wp:docPr id="9" name="Picture 9"/>
            <wp:cNvGraphicFramePr>
              <a:graphicFrameLocks noChangeAspect="1"/>
            </wp:cNvGraphicFramePr>
            <a:graphic>
              <a:graphicData uri="http://schemas.openxmlformats.org/drawingml/2006/picture">
                <pic:pic>
                  <pic:nvPicPr>
                    <pic:cNvPr id="0" name="09_confusion_matrices.png"/>
                    <pic:cNvPicPr/>
                  </pic:nvPicPr>
                  <pic:blipFill>
                    <a:blip r:embed="rId17"/>
                    <a:stretch>
                      <a:fillRect/>
                    </a:stretch>
                  </pic:blipFill>
                  <pic:spPr>
                    <a:xfrm>
                      <a:off x="0" y="0"/>
                      <a:ext cx="5669280" cy="2403282"/>
                    </a:xfrm>
                    <a:prstGeom prst="rect"/>
                  </pic:spPr>
                </pic:pic>
              </a:graphicData>
            </a:graphic>
          </wp:inline>
        </w:drawing>
      </w:r>
    </w:p>
    <w:p>
      <w:pPr>
        <w:spacing w:before="40" w:after="160"/>
        <w:jc w:val="center"/>
      </w:pPr>
      <w:r>
        <w:rPr>
          <w:rFonts w:ascii="Calibri" w:hAnsi="Calibri"/>
          <w:b w:val="0"/>
          <w:i/>
          <w:color w:val="595959"/>
          <w:sz w:val="19"/>
        </w:rPr>
        <w:t>Figure 9: Normalized Confusion Matrices for Top Supervised Models on Holdout Test Set (N = 1,409).</w:t>
      </w:r>
    </w:p>
    <w:p>
      <w:pPr>
        <w:keepNext/>
        <w:spacing w:before="120" w:after="40"/>
        <w:jc w:val="center"/>
      </w:pPr>
      <w:r>
        <w:drawing>
          <wp:inline xmlns:a="http://schemas.openxmlformats.org/drawingml/2006/main" xmlns:pic="http://schemas.openxmlformats.org/drawingml/2006/picture">
            <wp:extent cx="5303520" cy="4489141"/>
            <wp:docPr id="10" name="Picture 10"/>
            <wp:cNvGraphicFramePr>
              <a:graphicFrameLocks noChangeAspect="1"/>
            </wp:cNvGraphicFramePr>
            <a:graphic>
              <a:graphicData uri="http://schemas.openxmlformats.org/drawingml/2006/picture">
                <pic:pic>
                  <pic:nvPicPr>
                    <pic:cNvPr id="0" name="13_probability_calibration_curve.png"/>
                    <pic:cNvPicPr/>
                  </pic:nvPicPr>
                  <pic:blipFill>
                    <a:blip r:embed="rId18"/>
                    <a:stretch>
                      <a:fillRect/>
                    </a:stretch>
                  </pic:blipFill>
                  <pic:spPr>
                    <a:xfrm>
                      <a:off x="0" y="0"/>
                      <a:ext cx="5303520" cy="4489141"/>
                    </a:xfrm>
                    <a:prstGeom prst="rect"/>
                  </pic:spPr>
                </pic:pic>
              </a:graphicData>
            </a:graphic>
          </wp:inline>
        </w:drawing>
      </w:r>
    </w:p>
    <w:p>
      <w:pPr>
        <w:spacing w:before="40" w:after="160"/>
        <w:jc w:val="center"/>
      </w:pPr>
      <w:r>
        <w:rPr>
          <w:rFonts w:ascii="Calibri" w:hAnsi="Calibri"/>
          <w:b w:val="0"/>
          <w:i/>
          <w:color w:val="595959"/>
          <w:sz w:val="19"/>
        </w:rPr>
        <w:t>Figure 13: Model Probability Calibration (Reliability Diagram) and Empirical Alignment.</w:t>
      </w:r>
    </w:p>
    <w:p>
      <w:pPr>
        <w:pStyle w:val="Heading1"/>
        <w:keepNext/>
        <w:spacing w:before="280" w:after="120"/>
        <w:jc w:val="left"/>
      </w:pPr>
      <w:r>
        <w:rPr>
          <w:rFonts w:ascii="Calibri" w:hAnsi="Calibri"/>
          <w:color w:val="1F497D"/>
        </w:rPr>
        <w:t>8. Hyperparameter Optimization &amp; Variance Regularization</w:t>
      </w:r>
    </w:p>
    <w:p>
      <w:pPr>
        <w:spacing w:after="120" w:line="276" w:lineRule="auto"/>
      </w:pPr>
      <w:r>
        <w:rPr>
          <w:rFonts w:ascii="Calibri" w:hAnsi="Calibri"/>
          <w:b w:val="0"/>
          <w:i w:val="0"/>
          <w:color w:val="1E1E1E"/>
          <w:sz w:val="22"/>
        </w:rPr>
        <w:t>To maximize the discriminative power of the ensemble while penalizing over-specialization, GridSearchCV was conducted on the Random Forest pipeline evaluating combinations of n_estimators (100, 200), max_depth (6, 10, 14), and min_samples_split (2, 5) using 3-fold Stratified CV scored by ROC-AUC.</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1F497D"/>
              <w:top w:val="none"/>
              <w:right w:val="none"/>
              <w:bottom w:val="none"/>
            </w:tcBorders>
          </w:tcPr>
          <w:p>
            <w:pPr>
              <w:spacing w:before="120" w:after="120" w:line="276" w:lineRule="auto"/>
              <w:ind w:left="216" w:right="216"/>
            </w:pPr>
            <w:r>
              <w:rPr>
                <w:rFonts w:ascii="Calibri" w:hAnsi="Calibri"/>
                <w:b/>
                <w:i w:val="0"/>
                <w:color w:val="1F497D"/>
                <w:sz w:val="21"/>
              </w:rPr>
              <w:t>OPTIMAL CONFIGURATION:</w:t>
              <w:br/>
            </w:r>
            <w:r>
              <w:rPr>
                <w:rFonts w:ascii="Calibri" w:hAnsi="Calibri"/>
                <w:b w:val="0"/>
                <w:i/>
                <w:color w:val="1E1E1E"/>
                <w:sz w:val="21"/>
              </w:rPr>
              <w:t>Best Hyperparameters Identified: {'classifier__max_depth': 6, 'classifier__min_samples_split': 5, 'classifier__n_estimators': 200}</w:t>
              <w:br/>
              <w:t>Cross-Validation ROC-AUC Achieved: 0.8428 | Holdout Test Set ROC-AUC: 0.8406</w:t>
            </w:r>
          </w:p>
        </w:tc>
      </w:tr>
    </w:tbl>
    <w:p>
      <w:pPr>
        <w:spacing w:after="80"/>
      </w:pPr>
    </w:p>
    <w:p>
      <w:pPr>
        <w:spacing w:after="120" w:line="276" w:lineRule="auto"/>
      </w:pPr>
      <w:r>
        <w:rPr>
          <w:rFonts w:ascii="Calibri" w:hAnsi="Calibri"/>
          <w:b w:val="0"/>
          <w:i w:val="0"/>
          <w:color w:val="1E1E1E"/>
          <w:sz w:val="22"/>
        </w:rPr>
        <w:t>Crucially, the grid search established that constraining tree depth to max_depth = 6 yielded higher validation generalization than deeper trees (depth 14 or unconstrained). Unconstrained trees over-partition leaf nodes, capturing sample-specific idiosyncratic noise. Constraining tree depth acts as an effective structural regularizer, yielding smoother class posterior probability estimates.</w:t>
      </w:r>
    </w:p>
    <w:p>
      <w:pPr>
        <w:keepNext/>
        <w:spacing w:before="120" w:after="40"/>
        <w:jc w:val="center"/>
      </w:pPr>
      <w:r>
        <w:drawing>
          <wp:inline xmlns:a="http://schemas.openxmlformats.org/drawingml/2006/main" xmlns:pic="http://schemas.openxmlformats.org/drawingml/2006/picture">
            <wp:extent cx="5486400" cy="3347634"/>
            <wp:docPr id="11" name="Picture 11"/>
            <wp:cNvGraphicFramePr>
              <a:graphicFrameLocks noChangeAspect="1"/>
            </wp:cNvGraphicFramePr>
            <a:graphic>
              <a:graphicData uri="http://schemas.openxmlformats.org/drawingml/2006/picture">
                <pic:pic>
                  <pic:nvPicPr>
                    <pic:cNvPr id="0" name="11_hyperparameter_tuning_surface.png"/>
                    <pic:cNvPicPr/>
                  </pic:nvPicPr>
                  <pic:blipFill>
                    <a:blip r:embed="rId19"/>
                    <a:stretch>
                      <a:fillRect/>
                    </a:stretch>
                  </pic:blipFill>
                  <pic:spPr>
                    <a:xfrm>
                      <a:off x="0" y="0"/>
                      <a:ext cx="5486400" cy="3347634"/>
                    </a:xfrm>
                    <a:prstGeom prst="rect"/>
                  </pic:spPr>
                </pic:pic>
              </a:graphicData>
            </a:graphic>
          </wp:inline>
        </w:drawing>
      </w:r>
    </w:p>
    <w:p>
      <w:pPr>
        <w:spacing w:before="40" w:after="160"/>
        <w:jc w:val="center"/>
      </w:pPr>
      <w:r>
        <w:rPr>
          <w:rFonts w:ascii="Calibri" w:hAnsi="Calibri"/>
          <w:b w:val="0"/>
          <w:i/>
          <w:color w:val="595959"/>
          <w:sz w:val="19"/>
        </w:rPr>
        <w:t>Figure 11: Hyperparameter Optimization Validation Surface (GridSearchCV ROC-AUC vs Tree Depth and Estimators).</w:t>
      </w:r>
    </w:p>
    <w:p>
      <w:pPr>
        <w:pStyle w:val="Heading1"/>
        <w:keepNext/>
        <w:spacing w:before="280" w:after="120"/>
        <w:jc w:val="left"/>
      </w:pPr>
      <w:r>
        <w:rPr>
          <w:rFonts w:ascii="Calibri" w:hAnsi="Calibri"/>
          <w:color w:val="1F497D"/>
        </w:rPr>
        <w:t>9. Feature Importance and Interpretability Analysis</w:t>
      </w:r>
    </w:p>
    <w:p>
      <w:pPr>
        <w:spacing w:after="120" w:line="276" w:lineRule="auto"/>
      </w:pPr>
      <w:r>
        <w:rPr>
          <w:rFonts w:ascii="Calibri" w:hAnsi="Calibri"/>
          <w:b w:val="0"/>
          <w:i w:val="0"/>
          <w:color w:val="1E1E1E"/>
          <w:sz w:val="22"/>
        </w:rPr>
        <w:t>In enterprise data science, black-box predictions are unacceptable to executive leadership. Interpretability is mandatory for regulatory compliance and for operationalizing marketing campaigns. Feature importance was extracted from the Champion Random Forest pipeline using Mean Decrease in Impurity (Gini MDI):</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152"/>
            <w:vAlign w:val="center"/>
            <w:tcMar>
              <w:top w:w="120" w:type="dxa"/>
              <w:bottom w:w="120" w:type="dxa"/>
              <w:left w:w="160" w:type="dxa"/>
              <w:right w:w="160" w:type="dxa"/>
            </w:tcMar>
            <w:shd w:fill="1F497D"/>
          </w:tcPr>
          <w:p>
            <w:pPr>
              <w:jc w:val="center"/>
            </w:pPr>
            <w:r>
              <w:rPr>
                <w:rFonts w:ascii="Calibri" w:hAnsi="Calibri"/>
                <w:b/>
                <w:i w:val="0"/>
                <w:color w:val="FFFFFF"/>
                <w:sz w:val="20"/>
              </w:rPr>
              <w:t>Rank</w:t>
            </w:r>
          </w:p>
        </w:tc>
        <w:tc>
          <w:tcPr>
            <w:tcW w:type="dxa" w:w="5040"/>
            <w:vAlign w:val="center"/>
            <w:tcMar>
              <w:top w:w="120" w:type="dxa"/>
              <w:bottom w:w="120" w:type="dxa"/>
              <w:left w:w="160" w:type="dxa"/>
              <w:right w:w="160" w:type="dxa"/>
            </w:tcMar>
            <w:shd w:fill="1F497D"/>
          </w:tcPr>
          <w:p>
            <w:pPr>
              <w:jc w:val="center"/>
            </w:pPr>
            <w:r>
              <w:rPr>
                <w:rFonts w:ascii="Calibri" w:hAnsi="Calibri"/>
                <w:b/>
                <w:i w:val="0"/>
                <w:color w:val="FFFFFF"/>
                <w:sz w:val="20"/>
              </w:rPr>
              <w:t>Feature Name</w:t>
            </w:r>
          </w:p>
        </w:tc>
        <w:tc>
          <w:tcPr>
            <w:tcW w:type="dxa" w:w="3168"/>
            <w:vAlign w:val="center"/>
            <w:tcMar>
              <w:top w:w="120" w:type="dxa"/>
              <w:bottom w:w="120" w:type="dxa"/>
              <w:left w:w="160" w:type="dxa"/>
              <w:right w:w="160" w:type="dxa"/>
            </w:tcMar>
            <w:shd w:fill="1F497D"/>
          </w:tcPr>
          <w:p>
            <w:pPr>
              <w:jc w:val="center"/>
            </w:pPr>
            <w:r>
              <w:rPr>
                <w:rFonts w:ascii="Calibri" w:hAnsi="Calibri"/>
                <w:b/>
                <w:i w:val="0"/>
                <w:color w:val="FFFFFF"/>
                <w:sz w:val="20"/>
              </w:rPr>
              <w:t>Relative Importance Weight (%)</w:t>
            </w:r>
          </w:p>
        </w:tc>
      </w:tr>
      <w:tr>
        <w:trPr>
          <w:cantSplit/>
        </w:trPr>
        <w:tc>
          <w:tcPr>
            <w:tcW w:type="dxa" w:w="1152"/>
            <w:vAlign w:val="center"/>
            <w:tcMar>
              <w:top w:w="120" w:type="dxa"/>
              <w:bottom w:w="120" w:type="dxa"/>
              <w:left w:w="160" w:type="dxa"/>
              <w:right w:w="160" w:type="dxa"/>
            </w:tcMar>
            <w:shd w:fill="F2F5F9"/>
          </w:tcPr>
          <w:p>
            <w:r>
              <w:rPr>
                <w:rFonts w:ascii="Calibri" w:hAnsi="Calibri"/>
                <w:b w:val="0"/>
                <w:i w:val="0"/>
                <w:color w:val="1E1E1E"/>
                <w:sz w:val="19"/>
              </w:rPr>
              <w:t>#1</w:t>
            </w:r>
          </w:p>
        </w:tc>
        <w:tc>
          <w:tcPr>
            <w:tcW w:type="dxa" w:w="5040"/>
            <w:vAlign w:val="center"/>
            <w:tcMar>
              <w:top w:w="120" w:type="dxa"/>
              <w:bottom w:w="120" w:type="dxa"/>
              <w:left w:w="160" w:type="dxa"/>
              <w:right w:w="160" w:type="dxa"/>
            </w:tcMar>
            <w:shd w:fill="F2F5F9"/>
          </w:tcPr>
          <w:p>
            <w:r>
              <w:rPr>
                <w:rFonts w:ascii="Calibri" w:hAnsi="Calibri"/>
                <w:b w:val="0"/>
                <w:i w:val="0"/>
                <w:color w:val="1E1E1E"/>
                <w:sz w:val="19"/>
              </w:rPr>
              <w:t>charge_per_service</w:t>
            </w:r>
          </w:p>
        </w:tc>
        <w:tc>
          <w:tcPr>
            <w:tcW w:type="dxa" w:w="3168"/>
            <w:vAlign w:val="center"/>
            <w:tcMar>
              <w:top w:w="120" w:type="dxa"/>
              <w:bottom w:w="120" w:type="dxa"/>
              <w:left w:w="160" w:type="dxa"/>
              <w:right w:w="160" w:type="dxa"/>
            </w:tcMar>
            <w:shd w:fill="F2F5F9"/>
          </w:tcPr>
          <w:p>
            <w:r>
              <w:rPr>
                <w:rFonts w:ascii="Calibri" w:hAnsi="Calibri"/>
                <w:b w:val="0"/>
                <w:i w:val="0"/>
                <w:color w:val="1E1E1E"/>
                <w:sz w:val="19"/>
              </w:rPr>
              <w:t>17.04%</w:t>
            </w:r>
          </w:p>
        </w:tc>
      </w:tr>
      <w:tr>
        <w:trPr>
          <w:cantSplit/>
        </w:trPr>
        <w:tc>
          <w:tcPr>
            <w:tcW w:type="dxa" w:w="1152"/>
            <w:vAlign w:val="center"/>
            <w:tcMar>
              <w:top w:w="120" w:type="dxa"/>
              <w:bottom w:w="120" w:type="dxa"/>
              <w:left w:w="160" w:type="dxa"/>
              <w:right w:w="160" w:type="dxa"/>
            </w:tcMar>
            <w:shd w:fill="FFFFFF"/>
          </w:tcPr>
          <w:p>
            <w:r>
              <w:rPr>
                <w:rFonts w:ascii="Calibri" w:hAnsi="Calibri"/>
                <w:b w:val="0"/>
                <w:i w:val="0"/>
                <w:color w:val="1E1E1E"/>
                <w:sz w:val="19"/>
              </w:rPr>
              <w:t>#2</w:t>
            </w:r>
          </w:p>
        </w:tc>
        <w:tc>
          <w:tcPr>
            <w:tcW w:type="dxa" w:w="5040"/>
            <w:vAlign w:val="center"/>
            <w:tcMar>
              <w:top w:w="120" w:type="dxa"/>
              <w:bottom w:w="120" w:type="dxa"/>
              <w:left w:w="160" w:type="dxa"/>
              <w:right w:w="160" w:type="dxa"/>
            </w:tcMar>
            <w:shd w:fill="FFFFFF"/>
          </w:tcPr>
          <w:p>
            <w:r>
              <w:rPr>
                <w:rFonts w:ascii="Calibri" w:hAnsi="Calibri"/>
                <w:b w:val="0"/>
                <w:i w:val="0"/>
                <w:color w:val="1E1E1E"/>
                <w:sz w:val="19"/>
              </w:rPr>
              <w:t>monthly_to_total_ratio</w:t>
            </w:r>
          </w:p>
        </w:tc>
        <w:tc>
          <w:tcPr>
            <w:tcW w:type="dxa" w:w="3168"/>
            <w:vAlign w:val="center"/>
            <w:tcMar>
              <w:top w:w="120" w:type="dxa"/>
              <w:bottom w:w="120" w:type="dxa"/>
              <w:left w:w="160" w:type="dxa"/>
              <w:right w:w="160" w:type="dxa"/>
            </w:tcMar>
            <w:shd w:fill="FFFFFF"/>
          </w:tcPr>
          <w:p>
            <w:r>
              <w:rPr>
                <w:rFonts w:ascii="Calibri" w:hAnsi="Calibri"/>
                <w:b w:val="0"/>
                <w:i w:val="0"/>
                <w:color w:val="1E1E1E"/>
                <w:sz w:val="19"/>
              </w:rPr>
              <w:t>13.32%</w:t>
            </w:r>
          </w:p>
        </w:tc>
      </w:tr>
      <w:tr>
        <w:trPr>
          <w:cantSplit/>
        </w:trPr>
        <w:tc>
          <w:tcPr>
            <w:tcW w:type="dxa" w:w="1152"/>
            <w:vAlign w:val="center"/>
            <w:tcMar>
              <w:top w:w="120" w:type="dxa"/>
              <w:bottom w:w="120" w:type="dxa"/>
              <w:left w:w="160" w:type="dxa"/>
              <w:right w:w="160" w:type="dxa"/>
            </w:tcMar>
            <w:shd w:fill="F2F5F9"/>
          </w:tcPr>
          <w:p>
            <w:r>
              <w:rPr>
                <w:rFonts w:ascii="Calibri" w:hAnsi="Calibri"/>
                <w:b w:val="0"/>
                <w:i w:val="0"/>
                <w:color w:val="1E1E1E"/>
                <w:sz w:val="19"/>
              </w:rPr>
              <w:t>#3</w:t>
            </w:r>
          </w:p>
        </w:tc>
        <w:tc>
          <w:tcPr>
            <w:tcW w:type="dxa" w:w="5040"/>
            <w:vAlign w:val="center"/>
            <w:tcMar>
              <w:top w:w="120" w:type="dxa"/>
              <w:bottom w:w="120" w:type="dxa"/>
              <w:left w:w="160" w:type="dxa"/>
              <w:right w:w="160" w:type="dxa"/>
            </w:tcMar>
            <w:shd w:fill="F2F5F9"/>
          </w:tcPr>
          <w:p>
            <w:r>
              <w:rPr>
                <w:rFonts w:ascii="Calibri" w:hAnsi="Calibri"/>
                <w:b w:val="0"/>
                <w:i w:val="0"/>
                <w:color w:val="1E1E1E"/>
                <w:sz w:val="19"/>
              </w:rPr>
              <w:t>tenure</w:t>
            </w:r>
          </w:p>
        </w:tc>
        <w:tc>
          <w:tcPr>
            <w:tcW w:type="dxa" w:w="3168"/>
            <w:vAlign w:val="center"/>
            <w:tcMar>
              <w:top w:w="120" w:type="dxa"/>
              <w:bottom w:w="120" w:type="dxa"/>
              <w:left w:w="160" w:type="dxa"/>
              <w:right w:w="160" w:type="dxa"/>
            </w:tcMar>
            <w:shd w:fill="F2F5F9"/>
          </w:tcPr>
          <w:p>
            <w:r>
              <w:rPr>
                <w:rFonts w:ascii="Calibri" w:hAnsi="Calibri"/>
                <w:b w:val="0"/>
                <w:i w:val="0"/>
                <w:color w:val="1E1E1E"/>
                <w:sz w:val="19"/>
              </w:rPr>
              <w:t>10.34%</w:t>
            </w:r>
          </w:p>
        </w:tc>
      </w:tr>
      <w:tr>
        <w:trPr>
          <w:cantSplit/>
        </w:trPr>
        <w:tc>
          <w:tcPr>
            <w:tcW w:type="dxa" w:w="1152"/>
            <w:vAlign w:val="center"/>
            <w:tcMar>
              <w:top w:w="120" w:type="dxa"/>
              <w:bottom w:w="120" w:type="dxa"/>
              <w:left w:w="160" w:type="dxa"/>
              <w:right w:w="160" w:type="dxa"/>
            </w:tcMar>
            <w:shd w:fill="FFFFFF"/>
          </w:tcPr>
          <w:p>
            <w:r>
              <w:rPr>
                <w:rFonts w:ascii="Calibri" w:hAnsi="Calibri"/>
                <w:b w:val="0"/>
                <w:i w:val="0"/>
                <w:color w:val="1E1E1E"/>
                <w:sz w:val="19"/>
              </w:rPr>
              <w:t>#4</w:t>
            </w:r>
          </w:p>
        </w:tc>
        <w:tc>
          <w:tcPr>
            <w:tcW w:type="dxa" w:w="5040"/>
            <w:vAlign w:val="center"/>
            <w:tcMar>
              <w:top w:w="120" w:type="dxa"/>
              <w:bottom w:w="120" w:type="dxa"/>
              <w:left w:w="160" w:type="dxa"/>
              <w:right w:w="160" w:type="dxa"/>
            </w:tcMar>
            <w:shd w:fill="FFFFFF"/>
          </w:tcPr>
          <w:p>
            <w:r>
              <w:rPr>
                <w:rFonts w:ascii="Calibri" w:hAnsi="Calibri"/>
                <w:b w:val="0"/>
                <w:i w:val="0"/>
                <w:color w:val="1E1E1E"/>
                <w:sz w:val="19"/>
              </w:rPr>
              <w:t>high_risk_contract_payment</w:t>
            </w:r>
          </w:p>
        </w:tc>
        <w:tc>
          <w:tcPr>
            <w:tcW w:type="dxa" w:w="3168"/>
            <w:vAlign w:val="center"/>
            <w:tcMar>
              <w:top w:w="120" w:type="dxa"/>
              <w:bottom w:w="120" w:type="dxa"/>
              <w:left w:w="160" w:type="dxa"/>
              <w:right w:w="160" w:type="dxa"/>
            </w:tcMar>
            <w:shd w:fill="FFFFFF"/>
          </w:tcPr>
          <w:p>
            <w:r>
              <w:rPr>
                <w:rFonts w:ascii="Calibri" w:hAnsi="Calibri"/>
                <w:b w:val="0"/>
                <w:i w:val="0"/>
                <w:color w:val="1E1E1E"/>
                <w:sz w:val="19"/>
              </w:rPr>
              <w:t>8.26%</w:t>
            </w:r>
          </w:p>
        </w:tc>
      </w:tr>
      <w:tr>
        <w:trPr>
          <w:cantSplit/>
        </w:trPr>
        <w:tc>
          <w:tcPr>
            <w:tcW w:type="dxa" w:w="1152"/>
            <w:vAlign w:val="center"/>
            <w:tcMar>
              <w:top w:w="120" w:type="dxa"/>
              <w:bottom w:w="120" w:type="dxa"/>
              <w:left w:w="160" w:type="dxa"/>
              <w:right w:w="160" w:type="dxa"/>
            </w:tcMar>
            <w:shd w:fill="F2F5F9"/>
          </w:tcPr>
          <w:p>
            <w:r>
              <w:rPr>
                <w:rFonts w:ascii="Calibri" w:hAnsi="Calibri"/>
                <w:b w:val="0"/>
                <w:i w:val="0"/>
                <w:color w:val="1E1E1E"/>
                <w:sz w:val="19"/>
              </w:rPr>
              <w:t>#5</w:t>
            </w:r>
          </w:p>
        </w:tc>
        <w:tc>
          <w:tcPr>
            <w:tcW w:type="dxa" w:w="5040"/>
            <w:vAlign w:val="center"/>
            <w:tcMar>
              <w:top w:w="120" w:type="dxa"/>
              <w:bottom w:w="120" w:type="dxa"/>
              <w:left w:w="160" w:type="dxa"/>
              <w:right w:w="160" w:type="dxa"/>
            </w:tcMar>
            <w:shd w:fill="F2F5F9"/>
          </w:tcPr>
          <w:p>
            <w:r>
              <w:rPr>
                <w:rFonts w:ascii="Calibri" w:hAnsi="Calibri"/>
                <w:b w:val="0"/>
                <w:i w:val="0"/>
                <w:color w:val="1E1E1E"/>
                <w:sz w:val="19"/>
              </w:rPr>
              <w:t>Contract_Two year</w:t>
            </w:r>
          </w:p>
        </w:tc>
        <w:tc>
          <w:tcPr>
            <w:tcW w:type="dxa" w:w="3168"/>
            <w:vAlign w:val="center"/>
            <w:tcMar>
              <w:top w:w="120" w:type="dxa"/>
              <w:bottom w:w="120" w:type="dxa"/>
              <w:left w:w="160" w:type="dxa"/>
              <w:right w:w="160" w:type="dxa"/>
            </w:tcMar>
            <w:shd w:fill="F2F5F9"/>
          </w:tcPr>
          <w:p>
            <w:r>
              <w:rPr>
                <w:rFonts w:ascii="Calibri" w:hAnsi="Calibri"/>
                <w:b w:val="0"/>
                <w:i w:val="0"/>
                <w:color w:val="1E1E1E"/>
                <w:sz w:val="19"/>
              </w:rPr>
              <w:t>8.02%</w:t>
            </w:r>
          </w:p>
        </w:tc>
      </w:tr>
      <w:tr>
        <w:trPr>
          <w:cantSplit/>
        </w:trPr>
        <w:tc>
          <w:tcPr>
            <w:tcW w:type="dxa" w:w="1152"/>
            <w:vAlign w:val="center"/>
            <w:tcMar>
              <w:top w:w="120" w:type="dxa"/>
              <w:bottom w:w="120" w:type="dxa"/>
              <w:left w:w="160" w:type="dxa"/>
              <w:right w:w="160" w:type="dxa"/>
            </w:tcMar>
            <w:shd w:fill="FFFFFF"/>
          </w:tcPr>
          <w:p>
            <w:r>
              <w:rPr>
                <w:rFonts w:ascii="Calibri" w:hAnsi="Calibri"/>
                <w:b w:val="0"/>
                <w:i w:val="0"/>
                <w:color w:val="1E1E1E"/>
                <w:sz w:val="19"/>
              </w:rPr>
              <w:t>#6</w:t>
            </w:r>
          </w:p>
        </w:tc>
        <w:tc>
          <w:tcPr>
            <w:tcW w:type="dxa" w:w="5040"/>
            <w:vAlign w:val="center"/>
            <w:tcMar>
              <w:top w:w="120" w:type="dxa"/>
              <w:bottom w:w="120" w:type="dxa"/>
              <w:left w:w="160" w:type="dxa"/>
              <w:right w:w="160" w:type="dxa"/>
            </w:tcMar>
            <w:shd w:fill="FFFFFF"/>
          </w:tcPr>
          <w:p>
            <w:r>
              <w:rPr>
                <w:rFonts w:ascii="Calibri" w:hAnsi="Calibri"/>
                <w:b w:val="0"/>
                <w:i w:val="0"/>
                <w:color w:val="1E1E1E"/>
                <w:sz w:val="19"/>
              </w:rPr>
              <w:t>InternetService_Fiber optic</w:t>
            </w:r>
          </w:p>
        </w:tc>
        <w:tc>
          <w:tcPr>
            <w:tcW w:type="dxa" w:w="3168"/>
            <w:vAlign w:val="center"/>
            <w:tcMar>
              <w:top w:w="120" w:type="dxa"/>
              <w:bottom w:w="120" w:type="dxa"/>
              <w:left w:w="160" w:type="dxa"/>
              <w:right w:w="160" w:type="dxa"/>
            </w:tcMar>
            <w:shd w:fill="FFFFFF"/>
          </w:tcPr>
          <w:p>
            <w:r>
              <w:rPr>
                <w:rFonts w:ascii="Calibri" w:hAnsi="Calibri"/>
                <w:b w:val="0"/>
                <w:i w:val="0"/>
                <w:color w:val="1E1E1E"/>
                <w:sz w:val="19"/>
              </w:rPr>
              <w:t>6.28%</w:t>
            </w:r>
          </w:p>
        </w:tc>
      </w:tr>
      <w:tr>
        <w:trPr>
          <w:cantSplit/>
        </w:trPr>
        <w:tc>
          <w:tcPr>
            <w:tcW w:type="dxa" w:w="1152"/>
            <w:vAlign w:val="center"/>
            <w:tcMar>
              <w:top w:w="120" w:type="dxa"/>
              <w:bottom w:w="120" w:type="dxa"/>
              <w:left w:w="160" w:type="dxa"/>
              <w:right w:w="160" w:type="dxa"/>
            </w:tcMar>
            <w:shd w:fill="F2F5F9"/>
          </w:tcPr>
          <w:p>
            <w:r>
              <w:rPr>
                <w:rFonts w:ascii="Calibri" w:hAnsi="Calibri"/>
                <w:b w:val="0"/>
                <w:i w:val="0"/>
                <w:color w:val="1E1E1E"/>
                <w:sz w:val="19"/>
              </w:rPr>
              <w:t>#7</w:t>
            </w:r>
          </w:p>
        </w:tc>
        <w:tc>
          <w:tcPr>
            <w:tcW w:type="dxa" w:w="5040"/>
            <w:vAlign w:val="center"/>
            <w:tcMar>
              <w:top w:w="120" w:type="dxa"/>
              <w:bottom w:w="120" w:type="dxa"/>
              <w:left w:w="160" w:type="dxa"/>
              <w:right w:w="160" w:type="dxa"/>
            </w:tcMar>
            <w:shd w:fill="F2F5F9"/>
          </w:tcPr>
          <w:p>
            <w:r>
              <w:rPr>
                <w:rFonts w:ascii="Calibri" w:hAnsi="Calibri"/>
                <w:b w:val="0"/>
                <w:i w:val="0"/>
                <w:color w:val="1E1E1E"/>
                <w:sz w:val="19"/>
              </w:rPr>
              <w:t>TotalCharges</w:t>
            </w:r>
          </w:p>
        </w:tc>
        <w:tc>
          <w:tcPr>
            <w:tcW w:type="dxa" w:w="3168"/>
            <w:vAlign w:val="center"/>
            <w:tcMar>
              <w:top w:w="120" w:type="dxa"/>
              <w:bottom w:w="120" w:type="dxa"/>
              <w:left w:w="160" w:type="dxa"/>
              <w:right w:w="160" w:type="dxa"/>
            </w:tcMar>
            <w:shd w:fill="F2F5F9"/>
          </w:tcPr>
          <w:p>
            <w:r>
              <w:rPr>
                <w:rFonts w:ascii="Calibri" w:hAnsi="Calibri"/>
                <w:b w:val="0"/>
                <w:i w:val="0"/>
                <w:color w:val="1E1E1E"/>
                <w:sz w:val="19"/>
              </w:rPr>
              <w:t>5.67%</w:t>
            </w:r>
          </w:p>
        </w:tc>
      </w:tr>
      <w:tr>
        <w:trPr>
          <w:cantSplit/>
        </w:trPr>
        <w:tc>
          <w:tcPr>
            <w:tcW w:type="dxa" w:w="1152"/>
            <w:vAlign w:val="center"/>
            <w:tcMar>
              <w:top w:w="120" w:type="dxa"/>
              <w:bottom w:w="120" w:type="dxa"/>
              <w:left w:w="160" w:type="dxa"/>
              <w:right w:w="160" w:type="dxa"/>
            </w:tcMar>
            <w:shd w:fill="FFFFFF"/>
          </w:tcPr>
          <w:p>
            <w:r>
              <w:rPr>
                <w:rFonts w:ascii="Calibri" w:hAnsi="Calibri"/>
                <w:b w:val="0"/>
                <w:i w:val="0"/>
                <w:color w:val="1E1E1E"/>
                <w:sz w:val="19"/>
              </w:rPr>
              <w:t>#8</w:t>
            </w:r>
          </w:p>
        </w:tc>
        <w:tc>
          <w:tcPr>
            <w:tcW w:type="dxa" w:w="5040"/>
            <w:vAlign w:val="center"/>
            <w:tcMar>
              <w:top w:w="120" w:type="dxa"/>
              <w:bottom w:w="120" w:type="dxa"/>
              <w:left w:w="160" w:type="dxa"/>
              <w:right w:w="160" w:type="dxa"/>
            </w:tcMar>
            <w:shd w:fill="FFFFFF"/>
          </w:tcPr>
          <w:p>
            <w:r>
              <w:rPr>
                <w:rFonts w:ascii="Calibri" w:hAnsi="Calibri"/>
                <w:b w:val="0"/>
                <w:i w:val="0"/>
                <w:color w:val="1E1E1E"/>
                <w:sz w:val="19"/>
              </w:rPr>
              <w:t>PaymentMethod_Electronic check</w:t>
            </w:r>
          </w:p>
        </w:tc>
        <w:tc>
          <w:tcPr>
            <w:tcW w:type="dxa" w:w="3168"/>
            <w:vAlign w:val="center"/>
            <w:tcMar>
              <w:top w:w="120" w:type="dxa"/>
              <w:bottom w:w="120" w:type="dxa"/>
              <w:left w:w="160" w:type="dxa"/>
              <w:right w:w="160" w:type="dxa"/>
            </w:tcMar>
            <w:shd w:fill="FFFFFF"/>
          </w:tcPr>
          <w:p>
            <w:r>
              <w:rPr>
                <w:rFonts w:ascii="Calibri" w:hAnsi="Calibri"/>
                <w:b w:val="0"/>
                <w:i w:val="0"/>
                <w:color w:val="1E1E1E"/>
                <w:sz w:val="19"/>
              </w:rPr>
              <w:t>4.28%</w:t>
            </w:r>
          </w:p>
        </w:tc>
      </w:tr>
      <w:tr>
        <w:trPr>
          <w:cantSplit/>
        </w:trPr>
        <w:tc>
          <w:tcPr>
            <w:tcW w:type="dxa" w:w="1152"/>
            <w:vAlign w:val="center"/>
            <w:tcMar>
              <w:top w:w="120" w:type="dxa"/>
              <w:bottom w:w="120" w:type="dxa"/>
              <w:left w:w="160" w:type="dxa"/>
              <w:right w:w="160" w:type="dxa"/>
            </w:tcMar>
            <w:shd w:fill="F2F5F9"/>
          </w:tcPr>
          <w:p>
            <w:r>
              <w:rPr>
                <w:rFonts w:ascii="Calibri" w:hAnsi="Calibri"/>
                <w:b w:val="0"/>
                <w:i w:val="0"/>
                <w:color w:val="1E1E1E"/>
                <w:sz w:val="19"/>
              </w:rPr>
              <w:t>#9</w:t>
            </w:r>
          </w:p>
        </w:tc>
        <w:tc>
          <w:tcPr>
            <w:tcW w:type="dxa" w:w="5040"/>
            <w:vAlign w:val="center"/>
            <w:tcMar>
              <w:top w:w="120" w:type="dxa"/>
              <w:bottom w:w="120" w:type="dxa"/>
              <w:left w:w="160" w:type="dxa"/>
              <w:right w:w="160" w:type="dxa"/>
            </w:tcMar>
            <w:shd w:fill="F2F5F9"/>
          </w:tcPr>
          <w:p>
            <w:r>
              <w:rPr>
                <w:rFonts w:ascii="Calibri" w:hAnsi="Calibri"/>
                <w:b w:val="0"/>
                <w:i w:val="0"/>
                <w:color w:val="1E1E1E"/>
                <w:sz w:val="19"/>
              </w:rPr>
              <w:t>MonthlyCharges</w:t>
            </w:r>
          </w:p>
        </w:tc>
        <w:tc>
          <w:tcPr>
            <w:tcW w:type="dxa" w:w="3168"/>
            <w:vAlign w:val="center"/>
            <w:tcMar>
              <w:top w:w="120" w:type="dxa"/>
              <w:bottom w:w="120" w:type="dxa"/>
              <w:left w:w="160" w:type="dxa"/>
              <w:right w:w="160" w:type="dxa"/>
            </w:tcMar>
            <w:shd w:fill="F2F5F9"/>
          </w:tcPr>
          <w:p>
            <w:r>
              <w:rPr>
                <w:rFonts w:ascii="Calibri" w:hAnsi="Calibri"/>
                <w:b w:val="0"/>
                <w:i w:val="0"/>
                <w:color w:val="1E1E1E"/>
                <w:sz w:val="19"/>
              </w:rPr>
              <w:t>3.42%</w:t>
            </w:r>
          </w:p>
        </w:tc>
      </w:tr>
      <w:tr>
        <w:trPr>
          <w:cantSplit/>
        </w:trPr>
        <w:tc>
          <w:tcPr>
            <w:tcW w:type="dxa" w:w="1152"/>
            <w:vAlign w:val="center"/>
            <w:tcMar>
              <w:top w:w="120" w:type="dxa"/>
              <w:bottom w:w="120" w:type="dxa"/>
              <w:left w:w="160" w:type="dxa"/>
              <w:right w:w="160" w:type="dxa"/>
            </w:tcMar>
            <w:shd w:fill="FFFFFF"/>
          </w:tcPr>
          <w:p>
            <w:r>
              <w:rPr>
                <w:rFonts w:ascii="Calibri" w:hAnsi="Calibri"/>
                <w:b w:val="0"/>
                <w:i w:val="0"/>
                <w:color w:val="1E1E1E"/>
                <w:sz w:val="19"/>
              </w:rPr>
              <w:t>#10</w:t>
            </w:r>
          </w:p>
        </w:tc>
        <w:tc>
          <w:tcPr>
            <w:tcW w:type="dxa" w:w="5040"/>
            <w:vAlign w:val="center"/>
            <w:tcMar>
              <w:top w:w="120" w:type="dxa"/>
              <w:bottom w:w="120" w:type="dxa"/>
              <w:left w:w="160" w:type="dxa"/>
              <w:right w:w="160" w:type="dxa"/>
            </w:tcMar>
            <w:shd w:fill="FFFFFF"/>
          </w:tcPr>
          <w:p>
            <w:r>
              <w:rPr>
                <w:rFonts w:ascii="Calibri" w:hAnsi="Calibri"/>
                <w:b w:val="0"/>
                <w:i w:val="0"/>
                <w:color w:val="1E1E1E"/>
                <w:sz w:val="19"/>
              </w:rPr>
              <w:t>Contract_One year</w:t>
            </w:r>
          </w:p>
        </w:tc>
        <w:tc>
          <w:tcPr>
            <w:tcW w:type="dxa" w:w="3168"/>
            <w:vAlign w:val="center"/>
            <w:tcMar>
              <w:top w:w="120" w:type="dxa"/>
              <w:bottom w:w="120" w:type="dxa"/>
              <w:left w:w="160" w:type="dxa"/>
              <w:right w:w="160" w:type="dxa"/>
            </w:tcMar>
            <w:shd w:fill="FFFFFF"/>
          </w:tcPr>
          <w:p>
            <w:r>
              <w:rPr>
                <w:rFonts w:ascii="Calibri" w:hAnsi="Calibri"/>
                <w:b w:val="0"/>
                <w:i w:val="0"/>
                <w:color w:val="1E1E1E"/>
                <w:sz w:val="19"/>
              </w:rPr>
              <w:t>2.10%</w:t>
            </w:r>
          </w:p>
        </w:tc>
      </w:tr>
    </w:tbl>
    <w:p>
      <w:pPr>
        <w:spacing w:after="120"/>
      </w:pPr>
    </w:p>
    <w:p>
      <w:pPr>
        <w:spacing w:after="120" w:line="276" w:lineRule="auto"/>
      </w:pPr>
      <w:r>
        <w:rPr>
          <w:rFonts w:ascii="Calibri" w:hAnsi="Calibri"/>
          <w:b w:val="0"/>
          <w:i w:val="0"/>
          <w:color w:val="1E1E1E"/>
          <w:sz w:val="22"/>
        </w:rPr>
        <w:t>Key Interpretability Insights:</w:t>
      </w:r>
    </w:p>
    <w:p>
      <w:pPr>
        <w:pStyle w:val="ListBullet"/>
        <w:spacing w:after="60" w:line="276" w:lineRule="auto"/>
        <w:ind w:left="504"/>
      </w:pPr>
      <w:r>
        <w:rPr>
          <w:rFonts w:ascii="Calibri" w:hAnsi="Calibri"/>
          <w:b/>
          <w:i w:val="0"/>
          <w:color w:val="1F497D"/>
          <w:sz w:val="21"/>
        </w:rPr>
        <w:t xml:space="preserve">Unit Value Perception: </w:t>
      </w:r>
      <w:r>
        <w:rPr>
          <w:rFonts w:ascii="Calibri" w:hAnsi="Calibri"/>
          <w:b w:val="0"/>
          <w:i w:val="0"/>
          <w:color w:val="1E1E1E"/>
          <w:sz w:val="21"/>
        </w:rPr>
        <w:t>charge_per_service (17.04%): Synthesized feature emerged as the #1 predictive feature across the entire model. Demonstrates that customer churn is driven by perceived value density rather than gross dollar amount alone.</w:t>
      </w:r>
    </w:p>
    <w:p>
      <w:pPr>
        <w:pStyle w:val="ListBullet"/>
        <w:spacing w:after="60" w:line="276" w:lineRule="auto"/>
        <w:ind w:left="504"/>
      </w:pPr>
      <w:r>
        <w:rPr>
          <w:rFonts w:ascii="Calibri" w:hAnsi="Calibri"/>
          <w:b/>
          <w:i w:val="0"/>
          <w:color w:val="1F497D"/>
          <w:sz w:val="21"/>
        </w:rPr>
        <w:t xml:space="preserve">Expenditure Velocity: </w:t>
      </w:r>
      <w:r>
        <w:rPr>
          <w:rFonts w:ascii="Calibri" w:hAnsi="Calibri"/>
          <w:b w:val="0"/>
          <w:i w:val="0"/>
          <w:color w:val="1E1E1E"/>
          <w:sz w:val="21"/>
        </w:rPr>
        <w:t>monthly_to_total_ratio (13.32%): Synthesized feature ranked #2. Captures billing velocity; accounts where monthly bill represents a large fraction of total spend are overwhelmingly new and unstable.</w:t>
      </w:r>
    </w:p>
    <w:p>
      <w:pPr>
        <w:pStyle w:val="ListBullet"/>
        <w:spacing w:after="60" w:line="276" w:lineRule="auto"/>
        <w:ind w:left="504"/>
      </w:pPr>
      <w:r>
        <w:rPr>
          <w:rFonts w:ascii="Calibri" w:hAnsi="Calibri"/>
          <w:b/>
          <w:i w:val="0"/>
          <w:color w:val="1F497D"/>
          <w:sz w:val="21"/>
        </w:rPr>
        <w:t xml:space="preserve">Tenancy Baseline: </w:t>
      </w:r>
      <w:r>
        <w:rPr>
          <w:rFonts w:ascii="Calibri" w:hAnsi="Calibri"/>
          <w:b w:val="0"/>
          <w:i w:val="0"/>
          <w:color w:val="1E1E1E"/>
          <w:sz w:val="21"/>
        </w:rPr>
        <w:t>tenure (10.34%): Validates domain knowledge that tenure is the bedrock of customer loyalty.</w:t>
      </w:r>
    </w:p>
    <w:p>
      <w:pPr>
        <w:pStyle w:val="ListBullet"/>
        <w:spacing w:after="60" w:line="276" w:lineRule="auto"/>
        <w:ind w:left="504"/>
      </w:pPr>
      <w:r>
        <w:rPr>
          <w:rFonts w:ascii="Calibri" w:hAnsi="Calibri"/>
          <w:b/>
          <w:i w:val="0"/>
          <w:color w:val="1F497D"/>
          <w:sz w:val="21"/>
        </w:rPr>
        <w:t xml:space="preserve">Frictionless Churn Hazard: </w:t>
      </w:r>
      <w:r>
        <w:rPr>
          <w:rFonts w:ascii="Calibri" w:hAnsi="Calibri"/>
          <w:b w:val="0"/>
          <w:i w:val="0"/>
          <w:color w:val="1E1E1E"/>
          <w:sz w:val="21"/>
        </w:rPr>
        <w:t>high_risk_contract_payment (8.26%): Synthesized interaction feature ranked #4. Confirms that month-to-month contracts combined with electronic check billing create an acute defection hazard.</w:t>
      </w:r>
    </w:p>
    <w:p>
      <w:pPr>
        <w:pStyle w:val="ListBullet"/>
        <w:spacing w:after="60" w:line="276" w:lineRule="auto"/>
        <w:ind w:left="504"/>
      </w:pPr>
      <w:r>
        <w:rPr>
          <w:rFonts w:ascii="Calibri" w:hAnsi="Calibri"/>
          <w:b/>
          <w:i w:val="0"/>
          <w:color w:val="1F497D"/>
          <w:sz w:val="21"/>
        </w:rPr>
        <w:t xml:space="preserve">Contractual Lock-in: </w:t>
      </w:r>
      <w:r>
        <w:rPr>
          <w:rFonts w:ascii="Calibri" w:hAnsi="Calibri"/>
          <w:b w:val="0"/>
          <w:i w:val="0"/>
          <w:color w:val="1E1E1E"/>
          <w:sz w:val="21"/>
        </w:rPr>
        <w:t>Contract_Two year (8.02%): Strongest negative predictor of churn. Long-term contracts serve as definitive structural anchors.</w:t>
      </w:r>
    </w:p>
    <w:p>
      <w:pPr>
        <w:keepNext/>
        <w:spacing w:before="120" w:after="40"/>
        <w:jc w:val="center"/>
      </w:pPr>
      <w:r>
        <w:drawing>
          <wp:inline xmlns:a="http://schemas.openxmlformats.org/drawingml/2006/main" xmlns:pic="http://schemas.openxmlformats.org/drawingml/2006/picture">
            <wp:extent cx="5669280" cy="3013271"/>
            <wp:docPr id="12" name="Picture 12"/>
            <wp:cNvGraphicFramePr>
              <a:graphicFrameLocks noChangeAspect="1"/>
            </wp:cNvGraphicFramePr>
            <a:graphic>
              <a:graphicData uri="http://schemas.openxmlformats.org/drawingml/2006/picture">
                <pic:pic>
                  <pic:nvPicPr>
                    <pic:cNvPr id="0" name="10_feature_importance_rf.png"/>
                    <pic:cNvPicPr/>
                  </pic:nvPicPr>
                  <pic:blipFill>
                    <a:blip r:embed="rId20"/>
                    <a:stretch>
                      <a:fillRect/>
                    </a:stretch>
                  </pic:blipFill>
                  <pic:spPr>
                    <a:xfrm>
                      <a:off x="0" y="0"/>
                      <a:ext cx="5669280" cy="3013271"/>
                    </a:xfrm>
                    <a:prstGeom prst="rect"/>
                  </pic:spPr>
                </pic:pic>
              </a:graphicData>
            </a:graphic>
          </wp:inline>
        </w:drawing>
      </w:r>
    </w:p>
    <w:p>
      <w:pPr>
        <w:spacing w:before="40" w:after="160"/>
        <w:jc w:val="center"/>
      </w:pPr>
      <w:r>
        <w:rPr>
          <w:rFonts w:ascii="Calibri" w:hAnsi="Calibri"/>
          <w:b w:val="0"/>
          <w:i/>
          <w:color w:val="595959"/>
          <w:sz w:val="19"/>
        </w:rPr>
        <w:t>Figure 10: Top 15 Feature Importances (Random Forest Mean Decrease in Impurity).</w:t>
      </w:r>
    </w:p>
    <w:p>
      <w:pPr>
        <w:pStyle w:val="Heading1"/>
        <w:keepNext/>
        <w:spacing w:before="280" w:after="120"/>
        <w:jc w:val="left"/>
      </w:pPr>
      <w:r>
        <w:rPr>
          <w:rFonts w:ascii="Calibri" w:hAnsi="Calibri"/>
          <w:color w:val="1F497D"/>
        </w:rPr>
        <w:t>10. Business Impact and Financial Threshold Optimization</w:t>
      </w:r>
    </w:p>
    <w:p>
      <w:pPr>
        <w:spacing w:after="120" w:line="276" w:lineRule="auto"/>
      </w:pPr>
      <w:r>
        <w:rPr>
          <w:rFonts w:ascii="Calibri" w:hAnsi="Calibri"/>
          <w:b w:val="0"/>
          <w:i w:val="0"/>
          <w:color w:val="1E1E1E"/>
          <w:sz w:val="22"/>
        </w:rPr>
        <w:t>The standard practice of applying a static threshold of tau = 0.50 is economically irrational in imbalanced classification. To align algorithmic decisions with enterprise profitability, a formal financial cost-benefit optimization matrix was formulated:</w:t>
      </w:r>
    </w:p>
    <w:p>
      <w:pPr>
        <w:pStyle w:val="ListBullet"/>
        <w:spacing w:after="60" w:line="276" w:lineRule="auto"/>
        <w:ind w:left="504"/>
      </w:pPr>
      <w:r>
        <w:rPr>
          <w:rFonts w:ascii="Calibri" w:hAnsi="Calibri"/>
          <w:b/>
          <w:i w:val="0"/>
          <w:color w:val="1F497D"/>
          <w:sz w:val="21"/>
        </w:rPr>
        <w:t xml:space="preserve">False Negative Penalty: </w:t>
      </w:r>
      <w:r>
        <w:rPr>
          <w:rFonts w:ascii="Calibri" w:hAnsi="Calibri"/>
          <w:b w:val="0"/>
          <w:i w:val="0"/>
          <w:color w:val="1E1E1E"/>
          <w:sz w:val="21"/>
        </w:rPr>
        <w:t>Cost of False Negative (C_FN): Unidentified churner defects undetected. Enterprise loses Customer Lifetime Value (CLV) = $200.00.</w:t>
      </w:r>
    </w:p>
    <w:p>
      <w:pPr>
        <w:pStyle w:val="ListBullet"/>
        <w:spacing w:after="60" w:line="276" w:lineRule="auto"/>
        <w:ind w:left="504"/>
      </w:pPr>
      <w:r>
        <w:rPr>
          <w:rFonts w:ascii="Calibri" w:hAnsi="Calibri"/>
          <w:b/>
          <w:i w:val="0"/>
          <w:color w:val="1F497D"/>
          <w:sz w:val="21"/>
        </w:rPr>
        <w:t xml:space="preserve">False Positive Cost: </w:t>
      </w:r>
      <w:r>
        <w:rPr>
          <w:rFonts w:ascii="Calibri" w:hAnsi="Calibri"/>
          <w:b w:val="0"/>
          <w:i w:val="0"/>
          <w:color w:val="1E1E1E"/>
          <w:sz w:val="21"/>
        </w:rPr>
        <w:t>Cost of False Positive (C_FP): Loyal customer flagged incorrectly receives an unneeded retention incentive package = $30.00.</w:t>
      </w:r>
    </w:p>
    <w:p>
      <w:pPr>
        <w:pStyle w:val="ListBullet"/>
        <w:spacing w:after="60" w:line="276" w:lineRule="auto"/>
        <w:ind w:left="504"/>
      </w:pPr>
      <w:r>
        <w:rPr>
          <w:rFonts w:ascii="Calibri" w:hAnsi="Calibri"/>
          <w:b/>
          <w:i w:val="0"/>
          <w:color w:val="1F497D"/>
          <w:sz w:val="21"/>
        </w:rPr>
        <w:t xml:space="preserve">True Positive Net Benefit: </w:t>
      </w:r>
      <w:r>
        <w:rPr>
          <w:rFonts w:ascii="Calibri" w:hAnsi="Calibri"/>
          <w:b w:val="0"/>
          <w:i w:val="0"/>
          <w:color w:val="1E1E1E"/>
          <w:sz w:val="21"/>
        </w:rPr>
        <w:t>Net Benefit of True Positive (B_TP): Churner identified and successfully retained through outreach: $200 CLV saved minus $30 incentive cost = +$170.00.</w:t>
      </w:r>
    </w:p>
    <w:p>
      <w:pPr>
        <w:pStyle w:val="ListBullet"/>
        <w:spacing w:after="60" w:line="276" w:lineRule="auto"/>
        <w:ind w:left="504"/>
      </w:pPr>
      <w:r>
        <w:rPr>
          <w:rFonts w:ascii="Calibri" w:hAnsi="Calibri"/>
          <w:b/>
          <w:i w:val="0"/>
          <w:color w:val="1F497D"/>
          <w:sz w:val="21"/>
        </w:rPr>
        <w:t xml:space="preserve">True Negative Cost: </w:t>
      </w:r>
      <w:r>
        <w:rPr>
          <w:rFonts w:ascii="Calibri" w:hAnsi="Calibri"/>
          <w:b w:val="0"/>
          <w:i w:val="0"/>
          <w:color w:val="1E1E1E"/>
          <w:sz w:val="21"/>
        </w:rPr>
        <w:t>True Negative Cost (C_TN): Loyal customer unflagged and left untouched = $0.00.</w:t>
      </w:r>
    </w:p>
    <w:p>
      <w:pPr>
        <w:spacing w:after="120" w:line="276" w:lineRule="auto"/>
      </w:pPr>
      <w:r>
        <w:rPr>
          <w:rFonts w:ascii="Calibri" w:hAnsi="Calibri"/>
          <w:b w:val="0"/>
          <w:i w:val="0"/>
          <w:color w:val="1E1E1E"/>
          <w:sz w:val="22"/>
        </w:rPr>
        <w:t>The net financial savings relative to a complete inaction baseline (where all 374 holdout churners defect, incurring a baseline loss of 374 * $200 = $74,800) was evaluated across thresholds tau in [0.05, 0.95]:</w:t>
      </w:r>
    </w:p>
    <w:p>
      <w:pPr>
        <w:keepNext/>
        <w:spacing w:before="120" w:after="40"/>
        <w:jc w:val="center"/>
      </w:pPr>
      <w:r>
        <w:drawing>
          <wp:inline xmlns:a="http://schemas.openxmlformats.org/drawingml/2006/main" xmlns:pic="http://schemas.openxmlformats.org/drawingml/2006/picture">
            <wp:extent cx="5669280" cy="4449058"/>
            <wp:docPr id="13" name="Picture 13"/>
            <wp:cNvGraphicFramePr>
              <a:graphicFrameLocks noChangeAspect="1"/>
            </wp:cNvGraphicFramePr>
            <a:graphic>
              <a:graphicData uri="http://schemas.openxmlformats.org/drawingml/2006/picture">
                <pic:pic>
                  <pic:nvPicPr>
                    <pic:cNvPr id="0" name="12_cost_benefit_threshold_tuning.png"/>
                    <pic:cNvPicPr/>
                  </pic:nvPicPr>
                  <pic:blipFill>
                    <a:blip r:embed="rId21"/>
                    <a:stretch>
                      <a:fillRect/>
                    </a:stretch>
                  </pic:blipFill>
                  <pic:spPr>
                    <a:xfrm>
                      <a:off x="0" y="0"/>
                      <a:ext cx="5669280" cy="4449058"/>
                    </a:xfrm>
                    <a:prstGeom prst="rect"/>
                  </pic:spPr>
                </pic:pic>
              </a:graphicData>
            </a:graphic>
          </wp:inline>
        </w:drawing>
      </w:r>
    </w:p>
    <w:p>
      <w:pPr>
        <w:spacing w:before="40" w:after="160"/>
        <w:jc w:val="center"/>
      </w:pPr>
      <w:r>
        <w:rPr>
          <w:rFonts w:ascii="Calibri" w:hAnsi="Calibri"/>
          <w:b w:val="0"/>
          <w:i/>
          <w:color w:val="595959"/>
          <w:sz w:val="19"/>
        </w:rPr>
        <w:t>Figure 12: Business Cost-Benefit Analysis and Optimal Threshold Selection.</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1F497D"/>
              <w:top w:val="none"/>
              <w:right w:val="none"/>
              <w:bottom w:val="none"/>
            </w:tcBorders>
          </w:tcPr>
          <w:p>
            <w:pPr>
              <w:spacing w:before="120" w:after="120" w:line="276" w:lineRule="auto"/>
              <w:ind w:left="216" w:right="216"/>
            </w:pPr>
            <w:r>
              <w:rPr>
                <w:rFonts w:ascii="Calibri" w:hAnsi="Calibri"/>
                <w:b/>
                <w:i w:val="0"/>
                <w:color w:val="1F497D"/>
                <w:sz w:val="21"/>
              </w:rPr>
              <w:t>FINANCIAL OPTIMIZATION VERDICT:</w:t>
              <w:br/>
            </w:r>
            <w:r>
              <w:rPr>
                <w:rFonts w:ascii="Calibri" w:hAnsi="Calibri"/>
                <w:b w:val="0"/>
                <w:i/>
                <w:color w:val="1E1E1E"/>
                <w:sz w:val="21"/>
              </w:rPr>
              <w:t>Optimal Decision Threshold: tau* = 0.19</w:t>
              <w:br/>
              <w:t>Net Financial Savings: $116,270.00 on holdout cohort alone!</w:t>
              <w:br/>
              <w:t>Recall at Optimal Threshold: 98.4% of churners successfully intercepted.</w:t>
            </w:r>
          </w:p>
        </w:tc>
      </w:tr>
    </w:tbl>
    <w:p>
      <w:pPr>
        <w:spacing w:after="80"/>
      </w:pPr>
    </w:p>
    <w:p>
      <w:pPr>
        <w:spacing w:after="120" w:line="276" w:lineRule="auto"/>
      </w:pPr>
      <w:r>
        <w:rPr>
          <w:rFonts w:ascii="Calibri" w:hAnsi="Calibri"/>
          <w:b w:val="0"/>
          <w:i w:val="0"/>
          <w:color w:val="1E1E1E"/>
          <w:sz w:val="22"/>
        </w:rPr>
        <w:t>Lowering the classification threshold from 0.50 to 0.19 - 0.35 allows the retention team to capture over 88% of all impending churners. Because the $30 outreach cost is minor relative to the $200 churn loss, casting a wider retention net dramatically maximizes net company profitability.</w:t>
      </w:r>
    </w:p>
    <w:p>
      <w:pPr>
        <w:pStyle w:val="Heading1"/>
        <w:keepNext/>
        <w:spacing w:before="280" w:after="120"/>
        <w:jc w:val="left"/>
      </w:pPr>
      <w:r>
        <w:rPr>
          <w:rFonts w:ascii="Calibri" w:hAnsi="Calibri"/>
          <w:color w:val="1F497D"/>
        </w:rPr>
        <w:t>11. Strengths, Limitations, and Risk Mitigations</w:t>
      </w:r>
    </w:p>
    <w:p>
      <w:pPr>
        <w:spacing w:after="120" w:line="276" w:lineRule="auto"/>
      </w:pPr>
      <w:r>
        <w:rPr>
          <w:rFonts w:ascii="Calibri" w:hAnsi="Calibri"/>
          <w:b w:val="0"/>
          <w:i w:val="0"/>
          <w:color w:val="1E1E1E"/>
          <w:sz w:val="22"/>
        </w:rPr>
        <w:t>A rigorous engineering evaluation requires frank assessment of the predictive framework's strengths and limitations:</w:t>
      </w:r>
    </w:p>
    <w:p>
      <w:pPr>
        <w:pStyle w:val="Heading2"/>
        <w:keepNext/>
        <w:spacing w:before="280" w:after="120"/>
        <w:jc w:val="left"/>
      </w:pPr>
      <w:r>
        <w:rPr>
          <w:rFonts w:ascii="Calibri" w:hAnsi="Calibri"/>
          <w:color w:val="4472C4"/>
        </w:rPr>
        <w:t>11.1 Model Strengths</w:t>
      </w:r>
    </w:p>
    <w:p>
      <w:pPr>
        <w:pStyle w:val="ListBullet"/>
        <w:spacing w:after="60" w:line="276" w:lineRule="auto"/>
        <w:ind w:left="504"/>
      </w:pPr>
      <w:r>
        <w:rPr>
          <w:rFonts w:ascii="Calibri" w:hAnsi="Calibri"/>
          <w:b/>
          <w:i w:val="0"/>
          <w:color w:val="1F497D"/>
          <w:sz w:val="21"/>
        </w:rPr>
        <w:t xml:space="preserve">Empirical Performance: </w:t>
      </w:r>
      <w:r>
        <w:rPr>
          <w:rFonts w:ascii="Calibri" w:hAnsi="Calibri"/>
          <w:b w:val="0"/>
          <w:i w:val="0"/>
          <w:color w:val="1E1E1E"/>
          <w:sz w:val="21"/>
        </w:rPr>
        <w:t>High Discriminative Power: ROC-AUC of 0.8406 and PR-AUC of 0.6470 comfortably exceed industry benchmarks for tabular churn.</w:t>
      </w:r>
    </w:p>
    <w:p>
      <w:pPr>
        <w:pStyle w:val="ListBullet"/>
        <w:spacing w:after="60" w:line="276" w:lineRule="auto"/>
        <w:ind w:left="504"/>
      </w:pPr>
      <w:r>
        <w:rPr>
          <w:rFonts w:ascii="Calibri" w:hAnsi="Calibri"/>
          <w:b/>
          <w:i w:val="0"/>
          <w:color w:val="1F497D"/>
          <w:sz w:val="21"/>
        </w:rPr>
        <w:t xml:space="preserve">Architectural Hygiene: </w:t>
      </w:r>
      <w:r>
        <w:rPr>
          <w:rFonts w:ascii="Calibri" w:hAnsi="Calibri"/>
          <w:b w:val="0"/>
          <w:i w:val="0"/>
          <w:color w:val="1E1E1E"/>
          <w:sz w:val="21"/>
        </w:rPr>
        <w:t>Strict Leakage Prevention: ColumnTransformer encapsulates all imputation, scaling, and one-hot encoding strictly within training folds.</w:t>
      </w:r>
    </w:p>
    <w:p>
      <w:pPr>
        <w:pStyle w:val="ListBullet"/>
        <w:spacing w:after="60" w:line="276" w:lineRule="auto"/>
        <w:ind w:left="504"/>
      </w:pPr>
      <w:r>
        <w:rPr>
          <w:rFonts w:ascii="Calibri" w:hAnsi="Calibri"/>
          <w:b/>
          <w:i w:val="0"/>
          <w:color w:val="1F497D"/>
          <w:sz w:val="21"/>
        </w:rPr>
        <w:t xml:space="preserve">Domain Impact: </w:t>
      </w:r>
      <w:r>
        <w:rPr>
          <w:rFonts w:ascii="Calibri" w:hAnsi="Calibri"/>
          <w:b w:val="0"/>
          <w:i w:val="0"/>
          <w:color w:val="1E1E1E"/>
          <w:sz w:val="21"/>
        </w:rPr>
        <w:t>Domain-Aligned Feature Engineering: Features like charge_per_service and monthly_to_total_ratio captured over 30% of total model importance.</w:t>
      </w:r>
    </w:p>
    <w:p>
      <w:pPr>
        <w:pStyle w:val="ListBullet"/>
        <w:spacing w:after="60" w:line="276" w:lineRule="auto"/>
        <w:ind w:left="504"/>
      </w:pPr>
      <w:r>
        <w:rPr>
          <w:rFonts w:ascii="Calibri" w:hAnsi="Calibri"/>
          <w:b/>
          <w:i w:val="0"/>
          <w:color w:val="1F497D"/>
          <w:sz w:val="21"/>
        </w:rPr>
        <w:t xml:space="preserve">Financial Integration: </w:t>
      </w:r>
      <w:r>
        <w:rPr>
          <w:rFonts w:ascii="Calibri" w:hAnsi="Calibri"/>
          <w:b w:val="0"/>
          <w:i w:val="0"/>
          <w:color w:val="1E1E1E"/>
          <w:sz w:val="21"/>
        </w:rPr>
        <w:t>Actionable Economic Alignment: Parameterized financial thresholding converts raw probabilities into dollar-optimized campaign targets.</w:t>
      </w:r>
    </w:p>
    <w:p>
      <w:pPr>
        <w:pStyle w:val="Heading2"/>
        <w:keepNext/>
        <w:spacing w:before="280" w:after="120"/>
        <w:jc w:val="left"/>
      </w:pPr>
      <w:r>
        <w:rPr>
          <w:rFonts w:ascii="Calibri" w:hAnsi="Calibri"/>
          <w:color w:val="4472C4"/>
        </w:rPr>
        <w:t>11.2 Model Limitations &amp; Edge Cases</w:t>
      </w:r>
    </w:p>
    <w:p>
      <w:pPr>
        <w:pStyle w:val="ListBullet"/>
        <w:spacing w:after="60" w:line="276" w:lineRule="auto"/>
        <w:ind w:left="504"/>
      </w:pPr>
      <w:r>
        <w:rPr>
          <w:rFonts w:ascii="Calibri" w:hAnsi="Calibri"/>
          <w:b/>
          <w:i w:val="0"/>
          <w:color w:val="1F497D"/>
          <w:sz w:val="21"/>
        </w:rPr>
        <w:t xml:space="preserve">Lack of Time-Series Telemetry: </w:t>
      </w:r>
      <w:r>
        <w:rPr>
          <w:rFonts w:ascii="Calibri" w:hAnsi="Calibri"/>
          <w:b w:val="0"/>
          <w:i w:val="0"/>
          <w:color w:val="1E1E1E"/>
          <w:sz w:val="21"/>
        </w:rPr>
        <w:t>Cross-Sectional Static Nature: Dataset is a single historical snapshot. Lacks temporal event telemetry (e.g. weekly data consumption trends, customer service call logs, network outage events).</w:t>
      </w:r>
    </w:p>
    <w:p>
      <w:pPr>
        <w:pStyle w:val="ListBullet"/>
        <w:spacing w:after="60" w:line="276" w:lineRule="auto"/>
        <w:ind w:left="504"/>
      </w:pPr>
      <w:r>
        <w:rPr>
          <w:rFonts w:ascii="Calibri" w:hAnsi="Calibri"/>
          <w:b/>
          <w:i w:val="0"/>
          <w:color w:val="1F497D"/>
          <w:sz w:val="21"/>
        </w:rPr>
        <w:t xml:space="preserve">Uplift Modeling Gap: </w:t>
      </w:r>
      <w:r>
        <w:rPr>
          <w:rFonts w:ascii="Calibri" w:hAnsi="Calibri"/>
          <w:b w:val="0"/>
          <w:i w:val="0"/>
          <w:color w:val="1E1E1E"/>
          <w:sz w:val="21"/>
        </w:rPr>
        <w:t>Intervention Elasticity Blindspot: Model assumes an intervention success rate. In reality, some high-risk customers will churn regardless of promotional offers (non-rescuable churners).</w:t>
      </w:r>
    </w:p>
    <w:p>
      <w:pPr>
        <w:pStyle w:val="ListBullet"/>
        <w:spacing w:after="60" w:line="276" w:lineRule="auto"/>
        <w:ind w:left="504"/>
      </w:pPr>
      <w:r>
        <w:rPr>
          <w:rFonts w:ascii="Calibri" w:hAnsi="Calibri"/>
          <w:b/>
          <w:i w:val="0"/>
          <w:color w:val="1F497D"/>
          <w:sz w:val="21"/>
        </w:rPr>
        <w:t xml:space="preserve">Temporal Degradation: </w:t>
      </w:r>
      <w:r>
        <w:rPr>
          <w:rFonts w:ascii="Calibri" w:hAnsi="Calibri"/>
          <w:b w:val="0"/>
          <w:i w:val="0"/>
          <w:color w:val="1E1E1E"/>
          <w:sz w:val="21"/>
        </w:rPr>
        <w:t>Concept Drift Vulnerability: Telecom market pricing, competitor promotions, and macro inflation shift over time, eroding static model accuracy.</w:t>
      </w:r>
    </w:p>
    <w:p>
      <w:pPr>
        <w:pStyle w:val="Heading2"/>
        <w:keepNext/>
        <w:spacing w:before="280" w:after="120"/>
        <w:jc w:val="left"/>
      </w:pPr>
      <w:r>
        <w:rPr>
          <w:rFonts w:ascii="Calibri" w:hAnsi="Calibri"/>
          <w:color w:val="4472C4"/>
        </w:rPr>
        <w:t>11.3 Ongoing Monitoring and Maintenance Protocols</w:t>
      </w:r>
    </w:p>
    <w:p>
      <w:pPr>
        <w:pStyle w:val="ListBullet"/>
        <w:spacing w:after="60" w:line="276" w:lineRule="auto"/>
        <w:ind w:left="504"/>
      </w:pPr>
      <w:r>
        <w:rPr>
          <w:rFonts w:ascii="Calibri" w:hAnsi="Calibri"/>
          <w:b/>
          <w:i w:val="0"/>
          <w:color w:val="1F497D"/>
          <w:sz w:val="21"/>
        </w:rPr>
        <w:t xml:space="preserve">Drift Auditing: </w:t>
      </w:r>
      <w:r>
        <w:rPr>
          <w:rFonts w:ascii="Calibri" w:hAnsi="Calibri"/>
          <w:b w:val="0"/>
          <w:i w:val="0"/>
          <w:color w:val="1E1E1E"/>
          <w:sz w:val="21"/>
        </w:rPr>
        <w:t>Data Drift Detection: Deploy Kolmogorov-Smirnov (KS) tests on continuous features and Population Stability Index (PSI) on categorical features to detect distribution shifts in real time.</w:t>
      </w:r>
    </w:p>
    <w:p>
      <w:pPr>
        <w:pStyle w:val="ListBullet"/>
        <w:spacing w:after="60" w:line="276" w:lineRule="auto"/>
        <w:ind w:left="504"/>
      </w:pPr>
      <w:r>
        <w:rPr>
          <w:rFonts w:ascii="Calibri" w:hAnsi="Calibri"/>
          <w:b/>
          <w:i w:val="0"/>
          <w:color w:val="1F497D"/>
          <w:sz w:val="21"/>
        </w:rPr>
        <w:t xml:space="preserve">Retraining Cadence: </w:t>
      </w:r>
      <w:r>
        <w:rPr>
          <w:rFonts w:ascii="Calibri" w:hAnsi="Calibri"/>
          <w:b w:val="0"/>
          <w:i w:val="0"/>
          <w:color w:val="1E1E1E"/>
          <w:sz w:val="21"/>
        </w:rPr>
        <w:t>Automated Retraining Trigger: Establish automated retraining pipelines triggered when monthly holdout ROC-AUC degrades below 0.80 or PSI exceeds 0.20.</w:t>
      </w:r>
    </w:p>
    <w:p>
      <w:pPr>
        <w:pStyle w:val="ListBullet"/>
        <w:spacing w:after="60" w:line="276" w:lineRule="auto"/>
        <w:ind w:left="504"/>
      </w:pPr>
      <w:r>
        <w:rPr>
          <w:rFonts w:ascii="Calibri" w:hAnsi="Calibri"/>
          <w:b/>
          <w:i w:val="0"/>
          <w:color w:val="1F497D"/>
          <w:sz w:val="21"/>
        </w:rPr>
        <w:t xml:space="preserve">Causal Targeting: </w:t>
      </w:r>
      <w:r>
        <w:rPr>
          <w:rFonts w:ascii="Calibri" w:hAnsi="Calibri"/>
          <w:b w:val="0"/>
          <w:i w:val="0"/>
          <w:color w:val="1E1E1E"/>
          <w:sz w:val="21"/>
        </w:rPr>
        <w:t>Uplift Modeling Evolution: Migrate future iterations toward Causal Machine Learning (Uplift Modeling) to target only customers whose retention probability is actively improved by intervention.</w:t>
      </w:r>
    </w:p>
    <w:p>
      <w:pPr>
        <w:pStyle w:val="Heading1"/>
        <w:keepNext/>
        <w:spacing w:before="280" w:after="120"/>
        <w:jc w:val="left"/>
      </w:pPr>
      <w:r>
        <w:rPr>
          <w:rFonts w:ascii="Calibri" w:hAnsi="Calibri"/>
          <w:color w:val="1F497D"/>
        </w:rPr>
        <w:t>12. Strategic Business Recommendations for Telco Leadership</w:t>
      </w:r>
    </w:p>
    <w:p>
      <w:pPr>
        <w:spacing w:after="120" w:line="276" w:lineRule="auto"/>
      </w:pPr>
      <w:r>
        <w:rPr>
          <w:rFonts w:ascii="Calibri" w:hAnsi="Calibri"/>
          <w:b w:val="0"/>
          <w:i w:val="0"/>
          <w:color w:val="1E1E1E"/>
          <w:sz w:val="22"/>
        </w:rPr>
        <w:t>Based on the empirical findings, three immediate strategic initiatives are recommended for implementation:</w:t>
      </w:r>
    </w:p>
    <w:p>
      <w:pPr>
        <w:pStyle w:val="ListBullet"/>
        <w:spacing w:after="60" w:line="276" w:lineRule="auto"/>
        <w:ind w:left="504"/>
      </w:pPr>
      <w:r>
        <w:rPr>
          <w:rFonts w:ascii="Calibri" w:hAnsi="Calibri"/>
          <w:b/>
          <w:i w:val="0"/>
          <w:color w:val="1F497D"/>
          <w:sz w:val="21"/>
        </w:rPr>
        <w:t xml:space="preserve">Recommendation 1 (Immediate Campaign): </w:t>
      </w:r>
      <w:r>
        <w:rPr>
          <w:rFonts w:ascii="Calibri" w:hAnsi="Calibri"/>
          <w:b w:val="0"/>
          <w:i w:val="0"/>
          <w:color w:val="1E1E1E"/>
          <w:sz w:val="21"/>
        </w:rPr>
        <w:t>Target Month-to-Month Fiber Optic Subscribers on Electronic Check: Deploy an immediate targeted campaign offering a $10/month bill credit in exchange for enrolling in automated bank/credit card autopay and migrating to a 12-month agreement.</w:t>
      </w:r>
    </w:p>
    <w:p>
      <w:pPr>
        <w:pStyle w:val="ListBullet"/>
        <w:spacing w:after="60" w:line="276" w:lineRule="auto"/>
        <w:ind w:left="504"/>
      </w:pPr>
      <w:r>
        <w:rPr>
          <w:rFonts w:ascii="Calibri" w:hAnsi="Calibri"/>
          <w:b/>
          <w:i w:val="0"/>
          <w:color w:val="1F497D"/>
          <w:sz w:val="21"/>
        </w:rPr>
        <w:t xml:space="preserve">Recommendation 2 (Lifecycle Onboarding): </w:t>
      </w:r>
      <w:r>
        <w:rPr>
          <w:rFonts w:ascii="Calibri" w:hAnsi="Calibri"/>
          <w:b w:val="0"/>
          <w:i w:val="0"/>
          <w:color w:val="1E1E1E"/>
          <w:sz w:val="21"/>
        </w:rPr>
        <w:t>Onboarding Concierge for Months 0 - 12: Implement an automated customer success check-in at 30, 60, and 180 days post-installation. Proactively troubleshoot technical issues and verify product satisfaction during the high-vulnerability first year.</w:t>
      </w:r>
    </w:p>
    <w:p>
      <w:pPr>
        <w:pStyle w:val="ListBullet"/>
        <w:spacing w:after="60" w:line="276" w:lineRule="auto"/>
        <w:ind w:left="504"/>
      </w:pPr>
      <w:r>
        <w:rPr>
          <w:rFonts w:ascii="Calibri" w:hAnsi="Calibri"/>
          <w:b/>
          <w:i w:val="0"/>
          <w:color w:val="1F497D"/>
          <w:sz w:val="21"/>
        </w:rPr>
        <w:t xml:space="preserve">Recommendation 3 (Ecosystem Bundling): </w:t>
      </w:r>
      <w:r>
        <w:rPr>
          <w:rFonts w:ascii="Calibri" w:hAnsi="Calibri"/>
          <w:b w:val="0"/>
          <w:i w:val="0"/>
          <w:color w:val="1E1E1E"/>
          <w:sz w:val="21"/>
        </w:rPr>
        <w:t>Security &amp; Backup Value Bundling: Offer complimentary 6-month trials of OnlineSecurity and OnlineBackup to single-service internet subscribers. Security adoption increases switching friction and reduces churn by over 50%.</w:t>
      </w:r>
    </w:p>
    <w:p>
      <w:pPr>
        <w:pStyle w:val="Heading1"/>
        <w:keepNext/>
        <w:spacing w:before="280" w:after="120"/>
        <w:jc w:val="left"/>
      </w:pPr>
      <w:r>
        <w:rPr>
          <w:rFonts w:ascii="Calibri" w:hAnsi="Calibri"/>
          <w:color w:val="1F497D"/>
        </w:rPr>
        <w:t>13. Production Code Architecture Appendix</w:t>
      </w:r>
    </w:p>
    <w:p>
      <w:pPr>
        <w:spacing w:after="120" w:line="276" w:lineRule="auto"/>
      </w:pPr>
      <w:r>
        <w:rPr>
          <w:rFonts w:ascii="Calibri" w:hAnsi="Calibri"/>
          <w:b w:val="0"/>
          <w:i w:val="0"/>
          <w:color w:val="1E1E1E"/>
          <w:sz w:val="22"/>
        </w:rPr>
        <w:t>Key production code modules developed for this project:</w:t>
      </w:r>
    </w:p>
    <w:p>
      <w:pPr>
        <w:spacing w:after="120" w:line="276" w:lineRule="auto"/>
      </w:pPr>
      <w:r>
        <w:rPr>
          <w:rFonts w:ascii="Calibri" w:hAnsi="Calibri"/>
          <w:b/>
          <w:i w:val="0"/>
          <w:color w:val="1E1E1E"/>
          <w:sz w:val="22"/>
        </w:rPr>
        <w:t>Listing 1: Feature Engineering and ColumnTransformer Constructor (src/feature_engineering.py)</w:t>
      </w:r>
    </w:p>
    <w:tbl>
      <w:tblPr>
        <w:tblW w:type="auto" w:w="0"/>
        <w:jc w:val="center"/>
        <w:tblLook w:firstColumn="1" w:firstRow="1" w:lastColumn="0" w:lastRow="0" w:noHBand="0" w:noVBand="1" w:val="04A0"/>
      </w:tblPr>
      <w:tblGrid>
        <w:gridCol w:w="9360"/>
      </w:tblGrid>
      <w:tr>
        <w:tc>
          <w:tcPr>
            <w:tcW w:type="dxa" w:w="9360"/>
            <w:shd w:fill="F4F6F9"/>
            <w:tcBorders>
              <w:left w:val="single" w:sz="18" w:space="0" w:color="4472C4"/>
              <w:top w:val="none"/>
              <w:right w:val="none"/>
              <w:bottom w:val="none"/>
            </w:tcBorders>
          </w:tcPr>
          <w:p>
            <w:pPr>
              <w:spacing w:before="80" w:after="80" w:line="252" w:lineRule="auto"/>
            </w:pPr>
            <w:r>
              <w:rPr>
                <w:rFonts w:ascii="Consolas" w:hAnsi="Consolas"/>
                <w:color w:val="141414"/>
                <w:sz w:val="19"/>
              </w:rPr>
              <w:t>def engineer_features(df: pd.DataFrame) -&gt; pd.DataFrame:</w:t>
            </w:r>
          </w:p>
          <w:p>
            <w:pPr>
              <w:spacing w:before="0" w:after="0" w:line="252" w:lineRule="auto"/>
            </w:pPr>
            <w:r>
              <w:rPr>
                <w:rFonts w:ascii="Consolas" w:hAnsi="Consolas"/>
                <w:color w:val="141414"/>
                <w:sz w:val="19"/>
              </w:rPr>
              <w:t xml:space="preserve">    df_feat = df.copy()</w:t>
            </w:r>
          </w:p>
          <w:p>
            <w:pPr>
              <w:spacing w:before="0" w:after="0" w:line="252" w:lineRule="auto"/>
            </w:pPr>
            <w:r>
              <w:rPr>
                <w:rFonts w:ascii="Consolas" w:hAnsi="Consolas"/>
                <w:color w:val="141414"/>
                <w:sz w:val="19"/>
              </w:rPr>
              <w:t xml:space="preserve">    bins = [-1, 12, 24, 48, 60, 100]</w:t>
            </w:r>
          </w:p>
          <w:p>
            <w:pPr>
              <w:spacing w:before="0" w:after="0" w:line="252" w:lineRule="auto"/>
            </w:pPr>
            <w:r>
              <w:rPr>
                <w:rFonts w:ascii="Consolas" w:hAnsi="Consolas"/>
                <w:color w:val="141414"/>
                <w:sz w:val="19"/>
              </w:rPr>
              <w:t xml:space="preserve">    labels = ['0-12 mo', '13-24 mo', '25-48 mo', '49-60 mo', '60+ mo']</w:t>
            </w:r>
          </w:p>
          <w:p>
            <w:pPr>
              <w:spacing w:before="0" w:after="0" w:line="252" w:lineRule="auto"/>
            </w:pPr>
            <w:r>
              <w:rPr>
                <w:rFonts w:ascii="Consolas" w:hAnsi="Consolas"/>
                <w:color w:val="141414"/>
                <w:sz w:val="19"/>
              </w:rPr>
              <w:t xml:space="preserve">    df_feat['tenure_cohort'] = pd.cut(df_feat['tenure'], bins=bins, labels=labels)</w:t>
            </w:r>
          </w:p>
          <w:p>
            <w:pPr>
              <w:spacing w:before="0" w:after="0" w:line="252" w:lineRule="auto"/>
            </w:pPr>
            <w:r>
              <w:rPr>
                <w:rFonts w:ascii="Consolas" w:hAnsi="Consolas"/>
                <w:color w:val="141414"/>
                <w:sz w:val="19"/>
              </w:rPr>
              <w:t xml:space="preserve">    service_cols = ['PhoneService', 'MultipleLines', 'OnlineSecurity', 'OnlineBackup',</w:t>
            </w:r>
          </w:p>
          <w:p>
            <w:pPr>
              <w:spacing w:before="0" w:after="0" w:line="252" w:lineRule="auto"/>
            </w:pPr>
            <w:r>
              <w:rPr>
                <w:rFonts w:ascii="Consolas" w:hAnsi="Consolas"/>
                <w:color w:val="141414"/>
                <w:sz w:val="19"/>
              </w:rPr>
              <w:t xml:space="preserve">                    'DeviceProtection', 'TechSupport', 'StreamingTV', 'StreamingMovies']</w:t>
            </w:r>
          </w:p>
          <w:p>
            <w:pPr>
              <w:spacing w:before="0" w:after="0" w:line="252" w:lineRule="auto"/>
            </w:pPr>
            <w:r>
              <w:rPr>
                <w:rFonts w:ascii="Consolas" w:hAnsi="Consolas"/>
                <w:color w:val="141414"/>
                <w:sz w:val="19"/>
              </w:rPr>
              <w:t xml:space="preserve">    df_feat['service_count'] = sum((df_feat[c] == 'Yes').astype(int) for c in service_cols)</w:t>
            </w:r>
          </w:p>
          <w:p>
            <w:pPr>
              <w:spacing w:before="0" w:after="0" w:line="252" w:lineRule="auto"/>
            </w:pPr>
            <w:r>
              <w:rPr>
                <w:rFonts w:ascii="Consolas" w:hAnsi="Consolas"/>
                <w:color w:val="141414"/>
                <w:sz w:val="19"/>
              </w:rPr>
              <w:t xml:space="preserve">    df_feat['monthly_to_total_ratio'] = df_feat['MonthlyCharges'] / (df_feat['TotalCharges'] + 1.0)</w:t>
            </w:r>
          </w:p>
          <w:p>
            <w:pPr>
              <w:spacing w:before="0" w:after="0" w:line="252" w:lineRule="auto"/>
            </w:pPr>
            <w:r>
              <w:rPr>
                <w:rFonts w:ascii="Consolas" w:hAnsi="Consolas"/>
                <w:color w:val="141414"/>
                <w:sz w:val="19"/>
              </w:rPr>
              <w:t xml:space="preserve">    df_feat['charge_per_service'] = df_feat['MonthlyCharges'] / (df_feat['service_count'] + 1.0)</w:t>
            </w:r>
          </w:p>
          <w:p>
            <w:pPr>
              <w:spacing w:before="0" w:after="0" w:line="252" w:lineRule="auto"/>
            </w:pPr>
            <w:r>
              <w:rPr>
                <w:rFonts w:ascii="Consolas" w:hAnsi="Consolas"/>
                <w:color w:val="141414"/>
                <w:sz w:val="19"/>
              </w:rPr>
              <w:t xml:space="preserve">    df_feat['high_risk_contract_payment'] = ((df_feat['Contract'] == 'Month-to-month') &amp; </w:t>
            </w:r>
          </w:p>
          <w:p>
            <w:pPr>
              <w:spacing w:before="0" w:after="0" w:line="252" w:lineRule="auto"/>
            </w:pPr>
            <w:r>
              <w:rPr>
                <w:rFonts w:ascii="Consolas" w:hAnsi="Consolas"/>
                <w:color w:val="141414"/>
                <w:sz w:val="19"/>
              </w:rPr>
              <w:t xml:space="preserve">                                            (df_feat['PaymentMethod'] == 'Electronic check')).astype(int)</w:t>
            </w:r>
          </w:p>
          <w:p>
            <w:pPr>
              <w:spacing w:before="0" w:after="0" w:line="252" w:lineRule="auto"/>
            </w:pPr>
            <w:r>
              <w:rPr>
                <w:rFonts w:ascii="Consolas" w:hAnsi="Consolas"/>
                <w:color w:val="141414"/>
                <w:sz w:val="19"/>
              </w:rPr>
              <w:t xml:space="preserve">    return df_feat</w:t>
            </w:r>
          </w:p>
        </w:tc>
      </w:tr>
    </w:tbl>
    <w:p>
      <w:pPr>
        <w:spacing w:after="80"/>
      </w:pPr>
    </w:p>
    <w:p>
      <w:pPr>
        <w:spacing w:after="120" w:line="276" w:lineRule="auto"/>
      </w:pPr>
      <w:r>
        <w:rPr>
          <w:rFonts w:ascii="Calibri" w:hAnsi="Calibri"/>
          <w:b/>
          <w:i w:val="0"/>
          <w:color w:val="1E1E1E"/>
          <w:sz w:val="22"/>
        </w:rPr>
        <w:t>Listing 2: Financial Threshold Optimization Simulation (src/evaluator.py)</w:t>
      </w:r>
    </w:p>
    <w:tbl>
      <w:tblPr>
        <w:tblW w:type="auto" w:w="0"/>
        <w:jc w:val="center"/>
        <w:tblLook w:firstColumn="1" w:firstRow="1" w:lastColumn="0" w:lastRow="0" w:noHBand="0" w:noVBand="1" w:val="04A0"/>
      </w:tblPr>
      <w:tblGrid>
        <w:gridCol w:w="9360"/>
      </w:tblGrid>
      <w:tr>
        <w:tc>
          <w:tcPr>
            <w:tcW w:type="dxa" w:w="9360"/>
            <w:shd w:fill="F4F6F9"/>
            <w:tcBorders>
              <w:left w:val="single" w:sz="18" w:space="0" w:color="4472C4"/>
              <w:top w:val="none"/>
              <w:right w:val="none"/>
              <w:bottom w:val="none"/>
            </w:tcBorders>
          </w:tcPr>
          <w:p>
            <w:pPr>
              <w:spacing w:before="80" w:after="80" w:line="252" w:lineRule="auto"/>
            </w:pPr>
            <w:r>
              <w:rPr>
                <w:rFonts w:ascii="Consolas" w:hAnsi="Consolas"/>
                <w:color w:val="141414"/>
                <w:sz w:val="19"/>
              </w:rPr>
              <w:t>def optimize_threshold(y_true, y_prob, cost_fn=200.0, cost_fp=30.0, benefit_tp=170.0):</w:t>
            </w:r>
          </w:p>
          <w:p>
            <w:pPr>
              <w:spacing w:before="0" w:after="0" w:line="252" w:lineRule="auto"/>
            </w:pPr>
            <w:r>
              <w:rPr>
                <w:rFonts w:ascii="Consolas" w:hAnsi="Consolas"/>
                <w:color w:val="141414"/>
                <w:sz w:val="19"/>
              </w:rPr>
              <w:t xml:space="preserve">    thresholds = np.linspace(0.05, 0.95, 91)</w:t>
            </w:r>
          </w:p>
          <w:p>
            <w:pPr>
              <w:spacing w:before="0" w:after="0" w:line="252" w:lineRule="auto"/>
            </w:pPr>
            <w:r>
              <w:rPr>
                <w:rFonts w:ascii="Consolas" w:hAnsi="Consolas"/>
                <w:color w:val="141414"/>
                <w:sz w:val="19"/>
              </w:rPr>
              <w:t xml:space="preserve">    baseline_loss = np.sum(y_true == 1) * cost_fn</w:t>
            </w:r>
          </w:p>
          <w:p>
            <w:pPr>
              <w:spacing w:before="0" w:after="0" w:line="252" w:lineRule="auto"/>
            </w:pPr>
            <w:r>
              <w:rPr>
                <w:rFonts w:ascii="Consolas" w:hAnsi="Consolas"/>
                <w:color w:val="141414"/>
                <w:sz w:val="19"/>
              </w:rPr>
              <w:t xml:space="preserve">    records = []</w:t>
            </w:r>
          </w:p>
          <w:p>
            <w:pPr>
              <w:spacing w:before="0" w:after="0" w:line="252" w:lineRule="auto"/>
            </w:pPr>
            <w:r>
              <w:rPr>
                <w:rFonts w:ascii="Consolas" w:hAnsi="Consolas"/>
                <w:color w:val="141414"/>
                <w:sz w:val="19"/>
              </w:rPr>
              <w:t xml:space="preserve">    for th in thresholds:</w:t>
            </w:r>
          </w:p>
          <w:p>
            <w:pPr>
              <w:spacing w:before="0" w:after="0" w:line="252" w:lineRule="auto"/>
            </w:pPr>
            <w:r>
              <w:rPr>
                <w:rFonts w:ascii="Consolas" w:hAnsi="Consolas"/>
                <w:color w:val="141414"/>
                <w:sz w:val="19"/>
              </w:rPr>
              <w:t xml:space="preserve">        preds = (y_prob &gt;= th).astype(int)</w:t>
            </w:r>
          </w:p>
          <w:p>
            <w:pPr>
              <w:spacing w:before="0" w:after="0" w:line="252" w:lineRule="auto"/>
            </w:pPr>
            <w:r>
              <w:rPr>
                <w:rFonts w:ascii="Consolas" w:hAnsi="Consolas"/>
                <w:color w:val="141414"/>
                <w:sz w:val="19"/>
              </w:rPr>
              <w:t xml:space="preserve">        tn, fp, fn, tp = confusion_matrix(y_true, preds).ravel()</w:t>
            </w:r>
          </w:p>
          <w:p>
            <w:pPr>
              <w:spacing w:before="0" w:after="0" w:line="252" w:lineRule="auto"/>
            </w:pPr>
            <w:r>
              <w:rPr>
                <w:rFonts w:ascii="Consolas" w:hAnsi="Consolas"/>
                <w:color w:val="141414"/>
                <w:sz w:val="19"/>
              </w:rPr>
              <w:t xml:space="preserve">        net_val = (tp * benefit_tp) - (fp * cost_fp) - (fn * cost_fn)</w:t>
            </w:r>
          </w:p>
          <w:p>
            <w:pPr>
              <w:spacing w:before="0" w:after="0" w:line="252" w:lineRule="auto"/>
            </w:pPr>
            <w:r>
              <w:rPr>
                <w:rFonts w:ascii="Consolas" w:hAnsi="Consolas"/>
                <w:color w:val="141414"/>
                <w:sz w:val="19"/>
              </w:rPr>
              <w:t xml:space="preserve">        records.append({'threshold': th, 'net_savings': baseline_loss + net_val,</w:t>
            </w:r>
          </w:p>
          <w:p>
            <w:pPr>
              <w:spacing w:before="0" w:after="0" w:line="252" w:lineRule="auto"/>
            </w:pPr>
            <w:r>
              <w:rPr>
                <w:rFonts w:ascii="Consolas" w:hAnsi="Consolas"/>
                <w:color w:val="141414"/>
                <w:sz w:val="19"/>
              </w:rPr>
              <w:t xml:space="preserve">                        'precision': precision_score(y_true, preds),</w:t>
            </w:r>
          </w:p>
          <w:p>
            <w:pPr>
              <w:spacing w:before="0" w:after="0" w:line="252" w:lineRule="auto"/>
            </w:pPr>
            <w:r>
              <w:rPr>
                <w:rFonts w:ascii="Consolas" w:hAnsi="Consolas"/>
                <w:color w:val="141414"/>
                <w:sz w:val="19"/>
              </w:rPr>
              <w:t xml:space="preserve">                        'recall': recall_score(y_true, preds)})</w:t>
            </w:r>
          </w:p>
          <w:p>
            <w:pPr>
              <w:spacing w:before="0" w:after="0" w:line="252" w:lineRule="auto"/>
            </w:pPr>
            <w:r>
              <w:rPr>
                <w:rFonts w:ascii="Consolas" w:hAnsi="Consolas"/>
                <w:color w:val="141414"/>
                <w:sz w:val="19"/>
              </w:rPr>
              <w:t xml:space="preserve">    return pd.DataFrame(records)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