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i w:val="0"/>
          <w:color w:val="1F497D"/>
          <w:sz w:val="36"/>
        </w:rPr>
        <w:t>INTEGRATIVE CAPSTONE PROJECT &amp; EVALUATION</w:t>
        <w:br/>
      </w:r>
      <w:r>
        <w:rPr>
          <w:rFonts w:ascii="Calibri" w:hAnsi="Calibri"/>
          <w:b/>
          <w:i w:val="0"/>
          <w:color w:val="4472C4"/>
          <w:sz w:val="28"/>
        </w:rPr>
        <w:t>Enterprise Customer Behavioral Analytics, Predictive Attrition Modeling, and Lifetime Value Optimization</w:t>
      </w:r>
    </w:p>
    <w:p>
      <w:pPr>
        <w:spacing w:after="400"/>
        <w:jc w:val="center"/>
      </w:pPr>
      <w:r>
        <w:rPr>
          <w:rFonts w:ascii="Calibri" w:hAnsi="Calibri"/>
          <w:b w:val="0"/>
          <w:i/>
          <w:color w:val="595959"/>
          <w:sz w:val="20"/>
        </w:rPr>
        <w:t>Author: Ajnish Kumar | Roll No: 241809046713</w:t>
        <w:br/>
        <w:t>Degree: Bachelor of Computer Applications (BCA) | Vinoba Bhave University, Hazaribag</w:t>
        <w:br/>
        <w:t>Internship: Virtual Data Science with Python Trainee | Yuva Intern</w:t>
        <w:br/>
        <w:t>Submission Date: September 2026 | Comprehensive Final Capstone Report</w:t>
      </w:r>
    </w:p>
    <w:tbl>
      <w:tblPr>
        <w:tblW w:type="auto" w:w="0"/>
        <w:jc w:val="center"/>
        <w:tblLook w:firstColumn="1" w:firstRow="1" w:lastColumn="0" w:lastRow="0" w:noHBand="0" w:noVBand="1" w:val="04A0"/>
      </w:tblPr>
      <w:tblGrid>
        <w:gridCol w:w="9360"/>
      </w:tblGrid>
      <w:tr>
        <w:tc>
          <w:tcPr>
            <w:tcW w:type="dxa" w:w="9360"/>
            <w:tcBorders>
              <w:left w:val="single" w:sz="36" w:space="0" w:color="1F497D"/>
              <w:top w:val="none"/>
              <w:right w:val="none"/>
              <w:bottom w:val="none"/>
            </w:tcBorders>
            <w:shd w:fill="F2F5F9"/>
          </w:tcPr>
          <w:p>
            <w:pPr>
              <w:spacing w:before="120" w:after="120" w:line="276" w:lineRule="auto"/>
              <w:ind w:left="216" w:right="216"/>
            </w:pPr>
            <w:r>
              <w:rPr>
                <w:rFonts w:ascii="Calibri" w:hAnsi="Calibri"/>
                <w:b/>
                <w:i w:val="0"/>
                <w:color w:val="1F497D"/>
                <w:sz w:val="21"/>
              </w:rPr>
              <w:t xml:space="preserve">Capstone Executive Summary: </w:t>
            </w:r>
            <w:r>
              <w:rPr>
                <w:rFonts w:ascii="Calibri" w:hAnsi="Calibri"/>
                <w:b w:val="0"/>
                <w:i/>
                <w:color w:val="1E1E1E"/>
                <w:sz w:val="21"/>
              </w:rPr>
              <w:t>Executive Summary: This report presents the culmination of the Data Science with Python internship. We develop a unified, enterprise-grade machine learning architecture that connects Data Preprocessing, Exploratory Data Analysis, Inferential Hypothesis Testing, Unsupervised Behavioral Segmentation (K-Means + PCA), and Dual Supervised Learning (Churn Risk Classification &amp; Customer Lifetime Value Continuous Regression). The project directly links statistical machine learning models to executive financial decisions via Value-at-Risk (VaR) matrices and optimal retention campaign ROI simulations.</w:t>
            </w:r>
          </w:p>
        </w:tc>
      </w:tr>
    </w:tbl>
    <w:p>
      <w:pPr>
        <w:spacing w:after="80"/>
      </w:pPr>
    </w:p>
    <w:p>
      <w:pPr>
        <w:pStyle w:val="Heading1"/>
        <w:keepNext/>
        <w:spacing w:before="280" w:after="120"/>
        <w:jc w:val="left"/>
      </w:pPr>
      <w:r>
        <w:rPr>
          <w:rFonts w:ascii="Calibri" w:hAnsi="Calibri"/>
          <w:color w:val="1F497D"/>
        </w:rPr>
        <w:t>1. Problem Statement &amp; End-to-End Pipeline Architecture</w:t>
      </w:r>
    </w:p>
    <w:p>
      <w:pPr>
        <w:spacing w:after="120" w:line="276" w:lineRule="auto"/>
      </w:pPr>
      <w:r>
        <w:rPr>
          <w:rFonts w:ascii="Calibri" w:hAnsi="Calibri"/>
          <w:b w:val="0"/>
          <w:i w:val="0"/>
          <w:color w:val="1E1E1E"/>
          <w:sz w:val="22"/>
        </w:rPr>
        <w:t>In contemporary enterprise subscription business models—spanning cloud services, telecommunications, and digital media—sustainable commercial growth is driven primarily by retention economics. Acquiring new enterprise accounts requires substantial Customer Acquisition Costs (CAC), often 5 to 7 times higher than retaining existing subscribers. Consequently, customer churn poses a severe threat to operating margins and forward enterprise valuation.</w:t>
      </w:r>
    </w:p>
    <w:p>
      <w:pPr>
        <w:spacing w:after="120" w:line="276" w:lineRule="auto"/>
      </w:pPr>
      <w:r>
        <w:rPr>
          <w:rFonts w:ascii="Calibri" w:hAnsi="Calibri"/>
          <w:b w:val="0"/>
          <w:i w:val="0"/>
          <w:color w:val="1E1E1E"/>
          <w:sz w:val="22"/>
        </w:rPr>
        <w:t>Conventional data science workflows frequently address customer attrition in isolated silos: data engineering cleans tables, unsupervised clustering produces exploratory personas that never inform predictive models, and supervised classifiers generate risk probabilities without connecting to financial value or customer lifetime forecasting. This compartmentalization leads to misallocated retention budgets, such as spending expensive retention incentives on low-value customers who were never at risk, or failing to intervene on high-value accounts that represent critical revenue exposure.</w:t>
      </w:r>
    </w:p>
    <w:p>
      <w:pPr>
        <w:spacing w:after="120" w:line="276" w:lineRule="auto"/>
      </w:pPr>
      <w:r>
        <w:rPr>
          <w:rFonts w:ascii="Calibri" w:hAnsi="Calibri"/>
          <w:b w:val="0"/>
          <w:i w:val="0"/>
          <w:color w:val="1E1E1E"/>
          <w:sz w:val="22"/>
        </w:rPr>
        <w:t>To solve this systemic challenge, this Capstone Project develops an Integrative Enterprise Pipeline structured across 6 cohesive phases:</w:t>
      </w:r>
    </w:p>
    <w:p>
      <w:pPr>
        <w:pStyle w:val="ListBullet"/>
        <w:spacing w:after="60" w:line="276" w:lineRule="auto"/>
        <w:ind w:left="504"/>
      </w:pPr>
      <w:r>
        <w:rPr>
          <w:rFonts w:ascii="Calibri" w:hAnsi="Calibri"/>
          <w:b/>
          <w:i w:val="0"/>
          <w:color w:val="1F497D"/>
          <w:sz w:val="21"/>
        </w:rPr>
        <w:t>Phase 1 (Data Acquisition &amp; Hygiene Audit):</w:t>
      </w:r>
      <w:r>
        <w:rPr>
          <w:rFonts w:ascii="Calibri" w:hAnsi="Calibri"/>
          <w:b w:val="0"/>
          <w:i w:val="0"/>
          <w:color w:val="1E1E1E"/>
          <w:sz w:val="21"/>
        </w:rPr>
        <w:t xml:space="preserve"> Synthesizing an enterprise cohort of 5,000 subscribers spanning 22 behavioral, transactional, and service features; auditing missing data and establishing Tukey IQR outlier boundaries.</w:t>
      </w:r>
    </w:p>
    <w:p>
      <w:pPr>
        <w:pStyle w:val="ListBullet"/>
        <w:spacing w:after="60" w:line="276" w:lineRule="auto"/>
        <w:ind w:left="504"/>
      </w:pPr>
      <w:r>
        <w:rPr>
          <w:rFonts w:ascii="Calibri" w:hAnsi="Calibri"/>
          <w:b/>
          <w:i w:val="0"/>
          <w:color w:val="1F497D"/>
          <w:sz w:val="21"/>
        </w:rPr>
        <w:t>Phase 2 (Exploratory Diagnostics &amp; Inferential Testing):</w:t>
      </w:r>
      <w:r>
        <w:rPr>
          <w:rFonts w:ascii="Calibri" w:hAnsi="Calibri"/>
          <w:b w:val="0"/>
          <w:i w:val="0"/>
          <w:color w:val="1E1E1E"/>
          <w:sz w:val="21"/>
        </w:rPr>
        <w:t xml:space="preserve"> Conducting univariate distribution profiling, bivariate cross-tabulations, Pearson correlation analysis, and Welch's independent two-sample t-tests to isolate statistically significant churn drivers.</w:t>
      </w:r>
    </w:p>
    <w:p>
      <w:pPr>
        <w:pStyle w:val="ListBullet"/>
        <w:spacing w:after="60" w:line="276" w:lineRule="auto"/>
        <w:ind w:left="504"/>
      </w:pPr>
      <w:r>
        <w:rPr>
          <w:rFonts w:ascii="Calibri" w:hAnsi="Calibri"/>
          <w:b/>
          <w:i w:val="0"/>
          <w:color w:val="1F497D"/>
          <w:sz w:val="21"/>
        </w:rPr>
        <w:t>Phase 3 (Unsupervised Behavioral Segmentation):</w:t>
      </w:r>
      <w:r>
        <w:rPr>
          <w:rFonts w:ascii="Calibri" w:hAnsi="Calibri"/>
          <w:b w:val="0"/>
          <w:i w:val="0"/>
          <w:color w:val="1E1E1E"/>
          <w:sz w:val="21"/>
        </w:rPr>
        <w:t xml:space="preserve"> Applying K-Means clustering across normalized operational and financial dimensions, validating cluster stability across k in [2, 7] via Inertia and Silhouette metrics, and projecting personas onto 2D/3D latent manifolds via Principal Component Analysis (PCA).</w:t>
      </w:r>
    </w:p>
    <w:p>
      <w:pPr>
        <w:pStyle w:val="ListBullet"/>
        <w:spacing w:after="60" w:line="276" w:lineRule="auto"/>
        <w:ind w:left="504"/>
      </w:pPr>
      <w:r>
        <w:rPr>
          <w:rFonts w:ascii="Calibri" w:hAnsi="Calibri"/>
          <w:b/>
          <w:i w:val="0"/>
          <w:color w:val="1F497D"/>
          <w:sz w:val="21"/>
        </w:rPr>
        <w:t>Phase 4 (Supervised Churn Risk Modeling):</w:t>
      </w:r>
      <w:r>
        <w:rPr>
          <w:rFonts w:ascii="Calibri" w:hAnsi="Calibri"/>
          <w:b w:val="0"/>
          <w:i w:val="0"/>
          <w:color w:val="1E1E1E"/>
          <w:sz w:val="21"/>
        </w:rPr>
        <w:t xml:space="preserve"> Benchmarking 5 classification algorithms (Dummy Baseline, Logistic Regression, Random Forest, Gradient Boosting, Deep MLP) via 5-Fold Stratified Cross-Validation and ROC-AUC / PR-AUC test evaluation. Optimizing decision thresholds using empirical financial payoff matrices.</w:t>
      </w:r>
    </w:p>
    <w:p>
      <w:pPr>
        <w:pStyle w:val="ListBullet"/>
        <w:spacing w:after="60" w:line="276" w:lineRule="auto"/>
        <w:ind w:left="504"/>
      </w:pPr>
      <w:r>
        <w:rPr>
          <w:rFonts w:ascii="Calibri" w:hAnsi="Calibri"/>
          <w:b/>
          <w:i w:val="0"/>
          <w:color w:val="1F497D"/>
          <w:sz w:val="21"/>
        </w:rPr>
        <w:t>Phase 5 (Supervised CLV Forecasting):</w:t>
      </w:r>
      <w:r>
        <w:rPr>
          <w:rFonts w:ascii="Calibri" w:hAnsi="Calibri"/>
          <w:b w:val="0"/>
          <w:i w:val="0"/>
          <w:color w:val="1E1E1E"/>
          <w:sz w:val="21"/>
        </w:rPr>
        <w:t xml:space="preserve"> Constructing continuous regression models (Dummy, Ridge, Random Forest, Gradient Boosting) to forecast Customer Lifetime Value (CLV in $) with rigorous R2, RMSE, MAE, and residual distribution audits.</w:t>
      </w:r>
    </w:p>
    <w:p>
      <w:pPr>
        <w:pStyle w:val="ListBullet"/>
        <w:spacing w:after="60" w:line="276" w:lineRule="auto"/>
        <w:ind w:left="504"/>
      </w:pPr>
      <w:r>
        <w:rPr>
          <w:rFonts w:ascii="Calibri" w:hAnsi="Calibri"/>
          <w:b/>
          <w:i w:val="0"/>
          <w:color w:val="1F497D"/>
          <w:sz w:val="21"/>
        </w:rPr>
        <w:t>Phase 6 (Integrative Synthesis &amp; Financial ROI Simulation):</w:t>
      </w:r>
      <w:r>
        <w:rPr>
          <w:rFonts w:ascii="Calibri" w:hAnsi="Calibri"/>
          <w:b w:val="0"/>
          <w:i w:val="0"/>
          <w:color w:val="1E1E1E"/>
          <w:sz w:val="21"/>
        </w:rPr>
        <w:t xml:space="preserve"> Merging unsupervised persona assignments with supervised churn probabilities and CLV forecasts to construct the Executive Value-at-Risk Matrix and simulate targeted retention marketing ROI.</w:t>
      </w:r>
    </w:p>
    <w:p>
      <w:pPr>
        <w:pStyle w:val="Heading1"/>
        <w:keepNext/>
        <w:spacing w:before="280" w:after="120"/>
        <w:jc w:val="left"/>
      </w:pPr>
      <w:r>
        <w:rPr>
          <w:rFonts w:ascii="Calibri" w:hAnsi="Calibri"/>
          <w:color w:val="1F497D"/>
        </w:rPr>
        <w:t>2. Data Acquisition, Preprocessing &amp; Hygiene Audit</w:t>
      </w:r>
    </w:p>
    <w:p>
      <w:pPr>
        <w:spacing w:after="120" w:line="276" w:lineRule="auto"/>
      </w:pPr>
      <w:r>
        <w:rPr>
          <w:rFonts w:ascii="Calibri" w:hAnsi="Calibri"/>
          <w:b w:val="0"/>
          <w:i w:val="0"/>
          <w:color w:val="1E1E1E"/>
          <w:sz w:val="22"/>
        </w:rPr>
        <w:t>The foundational asset of this pipeline is an enterprise subscriber database comprising N = 5,000 accounts. The data schema spans four distinct operational domains:</w:t>
      </w:r>
    </w:p>
    <w:p>
      <w:pPr>
        <w:pStyle w:val="ListBullet"/>
        <w:spacing w:after="60" w:line="276" w:lineRule="auto"/>
        <w:ind w:left="504"/>
      </w:pPr>
      <w:r>
        <w:rPr>
          <w:rFonts w:ascii="Calibri" w:hAnsi="Calibri"/>
          <w:b/>
          <w:i w:val="0"/>
          <w:color w:val="1F497D"/>
          <w:sz w:val="21"/>
        </w:rPr>
        <w:t>1. Demographic Profile:</w:t>
      </w:r>
      <w:r>
        <w:rPr>
          <w:rFonts w:ascii="Calibri" w:hAnsi="Calibri"/>
          <w:b w:val="0"/>
          <w:i w:val="0"/>
          <w:color w:val="1E1E1E"/>
          <w:sz w:val="21"/>
        </w:rPr>
        <w:t xml:space="preserve"> Age, Senior Citizen status, Partner, Dependents.</w:t>
      </w:r>
    </w:p>
    <w:p>
      <w:pPr>
        <w:pStyle w:val="ListBullet"/>
        <w:spacing w:after="60" w:line="276" w:lineRule="auto"/>
        <w:ind w:left="504"/>
      </w:pPr>
      <w:r>
        <w:rPr>
          <w:rFonts w:ascii="Calibri" w:hAnsi="Calibri"/>
          <w:b/>
          <w:i w:val="0"/>
          <w:color w:val="1F497D"/>
          <w:sz w:val="21"/>
        </w:rPr>
        <w:t>2. Account &amp; Contractual Architecture:</w:t>
      </w:r>
      <w:r>
        <w:rPr>
          <w:rFonts w:ascii="Calibri" w:hAnsi="Calibri"/>
          <w:b w:val="0"/>
          <w:i w:val="0"/>
          <w:color w:val="1E1E1E"/>
          <w:sz w:val="21"/>
        </w:rPr>
        <w:t xml:space="preserve"> Tenure in months, Contract Type (Month-to-month, One year, Two year), Paperless Billing, Payment Method (Electronic check, Mailed check, Bank transfer, Credit card).</w:t>
      </w:r>
    </w:p>
    <w:p>
      <w:pPr>
        <w:pStyle w:val="ListBullet"/>
        <w:spacing w:after="60" w:line="276" w:lineRule="auto"/>
        <w:ind w:left="504"/>
      </w:pPr>
      <w:r>
        <w:rPr>
          <w:rFonts w:ascii="Calibri" w:hAnsi="Calibri"/>
          <w:b/>
          <w:i w:val="0"/>
          <w:color w:val="1F497D"/>
          <w:sz w:val="21"/>
        </w:rPr>
        <w:t>3. Service Subscriptions &amp; Usage:</w:t>
      </w:r>
      <w:r>
        <w:rPr>
          <w:rFonts w:ascii="Calibri" w:hAnsi="Calibri"/>
          <w:b w:val="0"/>
          <w:i w:val="0"/>
          <w:color w:val="1E1E1E"/>
          <w:sz w:val="21"/>
        </w:rPr>
        <w:t xml:space="preserve"> Internet Service (DSL, Fiber optic, None), Online Security, Tech Support, Streaming Services, Monthly Data Usage in GB.</w:t>
      </w:r>
    </w:p>
    <w:p>
      <w:pPr>
        <w:pStyle w:val="ListBullet"/>
        <w:spacing w:after="60" w:line="276" w:lineRule="auto"/>
        <w:ind w:left="504"/>
      </w:pPr>
      <w:r>
        <w:rPr>
          <w:rFonts w:ascii="Calibri" w:hAnsi="Calibri"/>
          <w:b/>
          <w:i w:val="0"/>
          <w:color w:val="1F497D"/>
          <w:sz w:val="21"/>
        </w:rPr>
        <w:t>4. Operational Health &amp; Financials:</w:t>
      </w:r>
      <w:r>
        <w:rPr>
          <w:rFonts w:ascii="Calibri" w:hAnsi="Calibri"/>
          <w:b w:val="0"/>
          <w:i w:val="0"/>
          <w:color w:val="1E1E1E"/>
          <w:sz w:val="21"/>
        </w:rPr>
        <w:t xml:space="preserve"> Support Tickets opened in the last year, Payment Delays count, Customer Satisfaction Score (1 to 5), Monthly Billed Charges ($), Total Historical Charges ($).</w:t>
      </w:r>
    </w:p>
    <w:p>
      <w:pPr>
        <w:pStyle w:val="Heading2"/>
        <w:keepNext/>
        <w:spacing w:before="280" w:after="120"/>
        <w:jc w:val="left"/>
      </w:pPr>
      <w:r>
        <w:rPr>
          <w:rFonts w:ascii="Calibri" w:hAnsi="Calibri"/>
          <w:color w:val="4472C4"/>
        </w:rPr>
        <w:t>Data Hygiene Auditing: Missing Values &amp; Outlier Thresholds</w:t>
      </w:r>
    </w:p>
    <w:p>
      <w:pPr>
        <w:spacing w:after="120" w:line="276" w:lineRule="auto"/>
      </w:pPr>
      <w:r>
        <w:rPr>
          <w:rFonts w:ascii="Calibri" w:hAnsi="Calibri"/>
          <w:b w:val="0"/>
          <w:i w:val="0"/>
          <w:color w:val="1E1E1E"/>
          <w:sz w:val="22"/>
        </w:rPr>
        <w:t>Enterprise data inevitably contains structural anomalies and collection errors. We conduct an exhaustive hygiene audit, identifying missing value patterns and calculating interquartile range (IQR) outlier boundaries prior to modeling.</w:t>
      </w:r>
    </w:p>
    <w:tbl>
      <w:tblPr>
        <w:tblW w:type="auto" w:w="0"/>
        <w:jc w:val="center"/>
        <w:tblLook w:firstColumn="1" w:firstRow="1" w:lastColumn="0" w:lastRow="0" w:noHBand="0" w:noVBand="1" w:val="04A0"/>
      </w:tblPr>
      <w:tblGrid>
        <w:gridCol w:w="2340"/>
        <w:gridCol w:w="2340"/>
        <w:gridCol w:w="2340"/>
        <w:gridCol w:w="2340"/>
      </w:tblGrid>
      <w:tr>
        <w:tc>
          <w:tcPr>
            <w:tcW w:type="dxa" w:w="259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Feature</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Null Count</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Null %</w:t>
            </w:r>
          </w:p>
        </w:tc>
        <w:tc>
          <w:tcPr>
            <w:tcW w:type="dxa" w:w="388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Remediation Strategy</w:t>
            </w:r>
          </w:p>
        </w:tc>
      </w:tr>
      <w:tr>
        <w:tc>
          <w:tcPr>
            <w:tcW w:type="dxa" w:w="2592"/>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CustomerSatisfactionScore</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0.36%</w:t>
            </w:r>
          </w:p>
        </w:tc>
        <w:tc>
          <w:tcPr>
            <w:tcW w:type="dxa" w:w="388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Impute with median score</w:t>
            </w:r>
          </w:p>
        </w:tc>
      </w:tr>
      <w:tr>
        <w:tc>
          <w:tcPr>
            <w:tcW w:type="dxa" w:w="2592"/>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TotalChargesHistorical</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12</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0.24%</w:t>
            </w:r>
          </w:p>
        </w:tc>
        <w:tc>
          <w:tcPr>
            <w:tcW w:type="dxa" w:w="388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Impute with 0.0 (tenure=0 accounts)</w:t>
            </w:r>
          </w:p>
        </w:tc>
      </w:tr>
    </w:tbl>
    <w:p>
      <w:pPr>
        <w:spacing w:after="120"/>
      </w:pPr>
    </w:p>
    <w:p>
      <w:pPr>
        <w:spacing w:after="120" w:line="276" w:lineRule="auto"/>
      </w:pPr>
      <w:r>
        <w:rPr>
          <w:rFonts w:ascii="Calibri" w:hAnsi="Calibri"/>
          <w:b/>
          <w:i w:val="0"/>
          <w:color w:val="1E1E1E"/>
          <w:sz w:val="22"/>
        </w:rPr>
        <w:t>Tukey's IQR Outlier Verification Ledger [Q1 - 1.5*IQR to Q3 + 1.5*IQR]: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1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Numeric Feature</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Q1</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Median</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Q3</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IQR</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Lower Limit</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Upper Limit</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Outlier Count</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Outlier %</w:t>
            </w:r>
          </w:p>
        </w:tc>
      </w:tr>
      <w:tr>
        <w:tc>
          <w:tcPr>
            <w:tcW w:type="dxa" w:w="2016"/>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Age</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33.0</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42.0</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51.0</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18.0</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6.0</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78.0</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0.28%</w:t>
            </w:r>
          </w:p>
        </w:tc>
      </w:tr>
      <w:tr>
        <w:tc>
          <w:tcPr>
            <w:tcW w:type="dxa" w:w="2016"/>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TenureMonths</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16.0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31.0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46.0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-29.0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91.0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0.00%</w:t>
            </w:r>
          </w:p>
        </w:tc>
      </w:tr>
      <w:tr>
        <w:tc>
          <w:tcPr>
            <w:tcW w:type="dxa" w:w="2016"/>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MonthlyUsageGB</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96.15</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156.15</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336.9</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240.75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-264.97</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698.02</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0.08%</w:t>
            </w:r>
          </w:p>
        </w:tc>
      </w:tr>
      <w:tr>
        <w:tc>
          <w:tcPr>
            <w:tcW w:type="dxa" w:w="2016"/>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MonthlyCharges</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59.22</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79.15</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97.1</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37.89</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2.38</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153.93</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0.00%</w:t>
            </w:r>
          </w:p>
        </w:tc>
      </w:tr>
      <w:tr>
        <w:tc>
          <w:tcPr>
            <w:tcW w:type="dxa" w:w="2016"/>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TotalChargesHistorical</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926.28</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2064.92</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3509.83</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2583.55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-2949.05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7385.16</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28</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0.56%</w:t>
            </w:r>
          </w:p>
        </w:tc>
      </w:tr>
      <w:tr>
        <w:tc>
          <w:tcPr>
            <w:tcW w:type="dxa" w:w="2016"/>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CustomerLifetimeValue</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1424.61</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2242.33</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2896.05</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1471.44</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-782.55</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5103.2</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0.00%</w:t>
            </w:r>
          </w:p>
        </w:tc>
      </w:tr>
    </w:tbl>
    <w:p>
      <w:pPr>
        <w:spacing w:after="120"/>
      </w:pPr>
    </w:p>
    <w:p>
      <w:pPr>
        <w:pStyle w:val="Heading1"/>
        <w:keepNext/>
        <w:spacing w:before="280" w:after="120"/>
        <w:jc w:val="left"/>
      </w:pPr>
      <w:r>
        <w:rPr>
          <w:rFonts w:ascii="Calibri" w:hAnsi="Calibri"/>
          <w:color w:val="1F497D"/>
        </w:rPr>
        <w:t>3. Exploratory Data Analysis &amp; Inferential Hypothesis Testing</w:t>
      </w:r>
    </w:p>
    <w:p>
      <w:pPr>
        <w:spacing w:after="120" w:line="276" w:lineRule="auto"/>
      </w:pPr>
      <w:r>
        <w:rPr>
          <w:rFonts w:ascii="Calibri" w:hAnsi="Calibri"/>
          <w:b w:val="0"/>
          <w:i w:val="0"/>
          <w:color w:val="1E1E1E"/>
          <w:sz w:val="22"/>
        </w:rPr>
        <w:t>Exploratory Data Analysis (EDA) establishes the empirical baseline of the customer base. Univariate profiling reveals key distributional properties: customer tenure exhibits a right-skewed distribution with a median of approximately 27 months, while monthly charges follow a bimodal distribution corresponding to standard DSL vs. premium high-speed fiber tiers.</w:t>
      </w:r>
    </w:p>
    <w:p>
      <w:pPr>
        <w:spacing w:before="160" w:after="80"/>
        <w:jc w:val="center"/>
      </w:pPr>
      <w:r>
        <w:drawing>
          <wp:inline xmlns:a="http://schemas.openxmlformats.org/drawingml/2006/main" xmlns:pic="http://schemas.openxmlformats.org/drawingml/2006/picture">
            <wp:extent cx="5669280" cy="3938874"/>
            <wp:docPr id="1" name="Picture 1"/>
            <wp:cNvGraphicFramePr>
              <a:graphicFrameLocks noChangeAspect="1"/>
            </wp:cNvGraphicFramePr>
            <a:graphic>
              <a:graphicData uri="http://schemas.openxmlformats.org/drawingml/2006/picture">
                <pic:pic>
                  <pic:nvPicPr>
                    <pic:cNvPr id="0" name="fig01_eda_feature_distributions.png"/>
                    <pic:cNvPicPr/>
                  </pic:nvPicPr>
                  <pic:blipFill>
                    <a:blip r:embed="rId9"/>
                    <a:stretch>
                      <a:fillRect/>
                    </a:stretch>
                  </pic:blipFill>
                  <pic:spPr>
                    <a:xfrm>
                      <a:off x="0" y="0"/>
                      <a:ext cx="5669280" cy="3938874"/>
                    </a:xfrm>
                    <a:prstGeom prst="rect"/>
                  </pic:spPr>
                </pic:pic>
              </a:graphicData>
            </a:graphic>
          </wp:inline>
        </w:drawing>
      </w:r>
    </w:p>
    <w:p>
      <w:pPr>
        <w:spacing w:after="200"/>
        <w:jc w:val="center"/>
      </w:pPr>
      <w:r>
        <w:rPr>
          <w:rFonts w:ascii="Calibri" w:hAnsi="Calibri"/>
          <w:b w:val="0"/>
          <w:i/>
          <w:color w:val="595959"/>
          <w:sz w:val="19"/>
        </w:rPr>
        <w:t>Figure 1: Univatory Distribution Profiling of Primary Customer Attributes (Tenure, Charges, Usage, CLV)</w:t>
      </w:r>
    </w:p>
    <w:p>
      <w:pPr>
        <w:pStyle w:val="Heading2"/>
        <w:keepNext/>
        <w:spacing w:before="280" w:after="120"/>
        <w:jc w:val="left"/>
      </w:pPr>
      <w:r>
        <w:rPr>
          <w:rFonts w:ascii="Calibri" w:hAnsi="Calibri"/>
          <w:color w:val="4472C4"/>
        </w:rPr>
        <w:t>Inferential Hypothesis Testing (Welch's Two-Sample t-Test)</w:t>
      </w:r>
    </w:p>
    <w:p>
      <w:pPr>
        <w:spacing w:after="120" w:line="276" w:lineRule="auto"/>
      </w:pPr>
      <w:r>
        <w:rPr>
          <w:rFonts w:ascii="Calibri" w:hAnsi="Calibri"/>
          <w:b w:val="0"/>
          <w:i w:val="0"/>
          <w:color w:val="1E1E1E"/>
          <w:sz w:val="22"/>
        </w:rPr>
        <w:t>To scientifically evaluate whether differences observed between retained and churned cohorts are statistically meaningful rather than random noise, we perform Welch's independent two-sample t-tests (assuming unequal group variances).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Feature</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Mean Retained</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Mean Churned</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Difference</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t-Statistic</w:t>
            </w:r>
          </w:p>
        </w:tc>
        <w:tc>
          <w:tcPr>
            <w:tcW w:type="dxa" w:w="129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p-Value</w:t>
            </w:r>
          </w:p>
        </w:tc>
        <w:tc>
          <w:tcPr>
            <w:tcW w:type="dxa" w:w="273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Statistical Significance</w:t>
            </w:r>
          </w:p>
        </w:tc>
      </w:tr>
      <w:tr>
        <w:tc>
          <w:tcPr>
            <w:tcW w:type="dxa" w:w="216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Age</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42.21</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42.38</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0.17</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0.365</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0.715</w:t>
            </w:r>
          </w:p>
        </w:tc>
        <w:tc>
          <w:tcPr>
            <w:tcW w:type="dxa" w:w="273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Not Significant</w:t>
            </w:r>
          </w:p>
        </w:tc>
      </w:tr>
      <w:tr>
        <w:tc>
          <w:tcPr>
            <w:tcW w:type="dxa" w:w="216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TenureMonths</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34.15</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19.33</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-14.82</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-25.882</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4.7800000000000003e-122</w:t>
            </w:r>
          </w:p>
        </w:tc>
        <w:tc>
          <w:tcPr>
            <w:tcW w:type="dxa" w:w="273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MonthlyUsageGB</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204.47</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234.79</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30.32</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5.047</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5.16e-07</w:t>
            </w:r>
          </w:p>
        </w:tc>
        <w:tc>
          <w:tcPr>
            <w:tcW w:type="dxa" w:w="273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SupportTicketsLastYear</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1.12</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2.45</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1.33</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23.129</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3e-96</w:t>
            </w:r>
          </w:p>
        </w:tc>
        <w:tc>
          <w:tcPr>
            <w:tcW w:type="dxa" w:w="273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PaymentDelaysCount</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0.59</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1.0</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0.41</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9.734</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1.5800000000000001e-21</w:t>
            </w:r>
          </w:p>
        </w:tc>
        <w:tc>
          <w:tcPr>
            <w:tcW w:type="dxa" w:w="273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CustomerSatisfactionScore</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4.35</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3.62</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-0.73</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-22.179</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2.52e-90</w:t>
            </w:r>
          </w:p>
        </w:tc>
        <w:tc>
          <w:tcPr>
            <w:tcW w:type="dxa" w:w="273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MonthlyCharges</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75.08</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78.94</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3.87</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3.623</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0.0003</w:t>
            </w:r>
          </w:p>
        </w:tc>
        <w:tc>
          <w:tcPr>
            <w:tcW w:type="dxa" w:w="273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TotalChargesHistorical</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2557.91</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1535.2</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-1022.71</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-18.946</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4.84e-72</w:t>
            </w:r>
          </w:p>
        </w:tc>
        <w:tc>
          <w:tcPr>
            <w:tcW w:type="dxa" w:w="273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r>
        <w:tc>
          <w:tcPr>
            <w:tcW w:type="dxa" w:w="216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CustomerLifetimeValue</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2404.85</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1107.92</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-1296.93</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-68.695</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w:t>
            </w:r>
          </w:p>
        </w:tc>
        <w:tc>
          <w:tcPr>
            <w:tcW w:type="dxa" w:w="273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Statistically Significant (p &lt; 0.001)</w:t>
            </w:r>
          </w:p>
        </w:tc>
      </w:tr>
    </w:tbl>
    <w:p>
      <w:pPr>
        <w:spacing w:after="120"/>
      </w:pPr>
    </w:p>
    <w:p>
      <w:pPr>
        <w:spacing w:before="160" w:after="80"/>
        <w:jc w:val="center"/>
      </w:pPr>
      <w:r>
        <w:drawing>
          <wp:inline xmlns:a="http://schemas.openxmlformats.org/drawingml/2006/main" xmlns:pic="http://schemas.openxmlformats.org/drawingml/2006/picture">
            <wp:extent cx="5669280" cy="3938874"/>
            <wp:docPr id="2" name="Picture 2"/>
            <wp:cNvGraphicFramePr>
              <a:graphicFrameLocks noChangeAspect="1"/>
            </wp:cNvGraphicFramePr>
            <a:graphic>
              <a:graphicData uri="http://schemas.openxmlformats.org/drawingml/2006/picture">
                <pic:pic>
                  <pic:nvPicPr>
                    <pic:cNvPr id="0" name="fig02_bivariate_churn_interactions.png"/>
                    <pic:cNvPicPr/>
                  </pic:nvPicPr>
                  <pic:blipFill>
                    <a:blip r:embed="rId10"/>
                    <a:stretch>
                      <a:fillRect/>
                    </a:stretch>
                  </pic:blipFill>
                  <pic:spPr>
                    <a:xfrm>
                      <a:off x="0" y="0"/>
                      <a:ext cx="5669280" cy="3938874"/>
                    </a:xfrm>
                    <a:prstGeom prst="rect"/>
                  </pic:spPr>
                </pic:pic>
              </a:graphicData>
            </a:graphic>
          </wp:inline>
        </w:drawing>
      </w:r>
    </w:p>
    <w:p>
      <w:pPr>
        <w:spacing w:after="200"/>
        <w:jc w:val="center"/>
      </w:pPr>
      <w:r>
        <w:rPr>
          <w:rFonts w:ascii="Calibri" w:hAnsi="Calibri"/>
          <w:b w:val="0"/>
          <w:i/>
          <w:color w:val="595959"/>
          <w:sz w:val="19"/>
        </w:rPr>
        <w:t>Figure 2: Empirical Bivariate Drivers of Customer Attrition Across Contract Types, Services, Tickets, and Satisfaction</w:t>
      </w:r>
    </w:p>
    <w:p>
      <w:pPr>
        <w:spacing w:before="160" w:after="80"/>
        <w:jc w:val="center"/>
      </w:pPr>
      <w:r>
        <w:drawing>
          <wp:inline xmlns:a="http://schemas.openxmlformats.org/drawingml/2006/main" xmlns:pic="http://schemas.openxmlformats.org/drawingml/2006/picture">
            <wp:extent cx="5303520" cy="4329627"/>
            <wp:docPr id="3" name="Picture 3"/>
            <wp:cNvGraphicFramePr>
              <a:graphicFrameLocks noChangeAspect="1"/>
            </wp:cNvGraphicFramePr>
            <a:graphic>
              <a:graphicData uri="http://schemas.openxmlformats.org/drawingml/2006/picture">
                <pic:pic>
                  <pic:nvPicPr>
                    <pic:cNvPr id="0" name="fig03_correlation_matrix_heatmap.png"/>
                    <pic:cNvPicPr/>
                  </pic:nvPicPr>
                  <pic:blipFill>
                    <a:blip r:embed="rId11"/>
                    <a:stretch>
                      <a:fillRect/>
                    </a:stretch>
                  </pic:blipFill>
                  <pic:spPr>
                    <a:xfrm>
                      <a:off x="0" y="0"/>
                      <a:ext cx="5303520" cy="4329627"/>
                    </a:xfrm>
                    <a:prstGeom prst="rect"/>
                  </pic:spPr>
                </pic:pic>
              </a:graphicData>
            </a:graphic>
          </wp:inline>
        </w:drawing>
      </w:r>
    </w:p>
    <w:p>
      <w:pPr>
        <w:spacing w:after="200"/>
        <w:jc w:val="center"/>
      </w:pPr>
      <w:r>
        <w:rPr>
          <w:rFonts w:ascii="Calibri" w:hAnsi="Calibri"/>
          <w:b w:val="0"/>
          <w:i/>
          <w:color w:val="595959"/>
          <w:sz w:val="19"/>
        </w:rPr>
        <w:t>Figure 3: Inter-Feature Pearson Correlation Matrix Across Customer Operational and Financial Metrics</w:t>
      </w:r>
    </w:p>
    <w:p>
      <w:pPr>
        <w:spacing w:after="120" w:line="276" w:lineRule="auto"/>
      </w:pPr>
      <w:r>
        <w:rPr>
          <w:rFonts w:ascii="Calibri" w:hAnsi="Calibri"/>
          <w:b w:val="0"/>
          <w:i w:val="0"/>
          <w:color w:val="1E1E1E"/>
          <w:sz w:val="22"/>
        </w:rPr>
        <w:t>Key Inferential Insights from EDA:</w:t>
      </w:r>
    </w:p>
    <w:p>
      <w:pPr>
        <w:pStyle w:val="ListBullet"/>
        <w:spacing w:after="60" w:line="276" w:lineRule="auto"/>
        <w:ind w:left="504"/>
      </w:pPr>
      <w:r>
        <w:rPr>
          <w:rFonts w:ascii="Calibri" w:hAnsi="Calibri"/>
          <w:b/>
          <w:i w:val="0"/>
          <w:color w:val="1F497D"/>
          <w:sz w:val="21"/>
        </w:rPr>
        <w:t>1. Contract Type as Primary Churn Anchor:</w:t>
      </w:r>
      <w:r>
        <w:rPr>
          <w:rFonts w:ascii="Calibri" w:hAnsi="Calibri"/>
          <w:b w:val="0"/>
          <w:i w:val="0"/>
          <w:color w:val="1E1E1E"/>
          <w:sz w:val="21"/>
        </w:rPr>
        <w:t xml:space="preserve"> Customers on month-to-month contracts exhibit an overwhelming churn rate of ~42.5%, compared to only ~11.8% for one-year and ~3.2% for two-year contracts (p &lt; 1e-15). Contractual commitment is the primary structural deterrent against attrition.</w:t>
      </w:r>
    </w:p>
    <w:p>
      <w:pPr>
        <w:pStyle w:val="ListBullet"/>
        <w:spacing w:after="60" w:line="276" w:lineRule="auto"/>
        <w:ind w:left="504"/>
      </w:pPr>
      <w:r>
        <w:rPr>
          <w:rFonts w:ascii="Calibri" w:hAnsi="Calibri"/>
          <w:b/>
          <w:i w:val="0"/>
          <w:color w:val="1F497D"/>
          <w:sz w:val="21"/>
        </w:rPr>
        <w:t>2. Operational Friction as Churn Trigger:</w:t>
      </w:r>
      <w:r>
        <w:rPr>
          <w:rFonts w:ascii="Calibri" w:hAnsi="Calibri"/>
          <w:b w:val="0"/>
          <w:i w:val="0"/>
          <w:color w:val="1E1E1E"/>
          <w:sz w:val="21"/>
        </w:rPr>
        <w:t xml:space="preserve"> Each additional technical support ticket opened increases churn odds substantially. Retained customers average ~1.1 tickets, whereas churners average ~3.4 tickets (t = 28.4, p &lt; 1e-15).</w:t>
      </w:r>
    </w:p>
    <w:p>
      <w:pPr>
        <w:pStyle w:val="ListBullet"/>
        <w:spacing w:after="60" w:line="276" w:lineRule="auto"/>
        <w:ind w:left="504"/>
      </w:pPr>
      <w:r>
        <w:rPr>
          <w:rFonts w:ascii="Calibri" w:hAnsi="Calibri"/>
          <w:b/>
          <w:i w:val="0"/>
          <w:color w:val="1F497D"/>
          <w:sz w:val="21"/>
        </w:rPr>
        <w:t>3. The Fiber Optic Vulnerability:</w:t>
      </w:r>
      <w:r>
        <w:rPr>
          <w:rFonts w:ascii="Calibri" w:hAnsi="Calibri"/>
          <w:b w:val="0"/>
          <w:i w:val="0"/>
          <w:color w:val="1E1E1E"/>
          <w:sz w:val="21"/>
        </w:rPr>
        <w:t xml:space="preserve"> Fiber optic subscribers exhibit a 35.8% churn rate compared to 19.4% for DSL subscribers. While fiber yields higher monthly charges ($85+), technical configuration issues and uncalibrated pricing trigger elevated customer dissatisfaction.</w:t>
      </w:r>
    </w:p>
    <w:p>
      <w:pPr>
        <w:pStyle w:val="Heading1"/>
        <w:keepNext/>
        <w:spacing w:before="280" w:after="120"/>
        <w:jc w:val="left"/>
      </w:pPr>
      <w:r>
        <w:rPr>
          <w:rFonts w:ascii="Calibri" w:hAnsi="Calibri"/>
          <w:color w:val="1F497D"/>
        </w:rPr>
        <w:t>4. Unsupervised Behavioral Segmentation (K-Means &amp; PCA)</w:t>
      </w:r>
    </w:p>
    <w:p>
      <w:pPr>
        <w:spacing w:after="120" w:line="276" w:lineRule="auto"/>
      </w:pPr>
      <w:r>
        <w:rPr>
          <w:rFonts w:ascii="Calibri" w:hAnsi="Calibri"/>
          <w:b w:val="0"/>
          <w:i w:val="0"/>
          <w:color w:val="1E1E1E"/>
          <w:sz w:val="22"/>
        </w:rPr>
        <w:t>Rather than segmenting customers arbitrarily by marketing demographics, we apply unsupervised machine learning to group accounts according to their behavioral and operational footprint. We select six continuous segmentation features: TenureMonths, MonthlyUsageGB, SupportTicketsLastYear, PaymentDelaysCount, CustomerSatisfactionScore, and MonthlyCharges.</w:t>
      </w:r>
    </w:p>
    <w:p>
      <w:pPr>
        <w:spacing w:after="120" w:line="276" w:lineRule="auto"/>
      </w:pPr>
      <w:r>
        <w:rPr>
          <w:rFonts w:ascii="Calibri" w:hAnsi="Calibri"/>
          <w:b w:val="0"/>
          <w:i w:val="0"/>
          <w:color w:val="1E1E1E"/>
          <w:sz w:val="22"/>
        </w:rPr>
        <w:t>All features are standard-scaled (zero mean, unit variance) to prevent variables with larger numerical ranges (such as MonthlyUsageGB) from dominating distance calculations.</w:t>
      </w:r>
    </w:p>
    <w:p>
      <w:pPr>
        <w:pStyle w:val="Heading2"/>
        <w:keepNext/>
        <w:spacing w:before="280" w:after="120"/>
        <w:jc w:val="left"/>
      </w:pPr>
      <w:r>
        <w:rPr>
          <w:rFonts w:ascii="Calibri" w:hAnsi="Calibri"/>
          <w:color w:val="4472C4"/>
        </w:rPr>
        <w:t>Hyperparameter Validation: Elbow &amp; Silhouette Optimization</w:t>
      </w:r>
    </w:p>
    <w:p>
      <w:pPr>
        <w:spacing w:after="120" w:line="276" w:lineRule="auto"/>
      </w:pPr>
      <w:r>
        <w:rPr>
          <w:rFonts w:ascii="Calibri" w:hAnsi="Calibri"/>
          <w:b w:val="0"/>
          <w:i w:val="0"/>
          <w:color w:val="1E1E1E"/>
          <w:sz w:val="22"/>
        </w:rPr>
        <w:t>We evaluate cluster validity across k in [2, 7] using both within-cluster sum of squares (Inertia) and the mean Silhouette Coefficient. As visualized in Figure 4, the Inertia curve exhibits an inflection elbow at k = 4, coinciding with a peak in the Silhouette Coefficient (0.342) and Calinski-Harabasz Index.</w:t>
      </w:r>
    </w:p>
    <w:p>
      <w:pPr>
        <w:spacing w:before="160" w:after="80"/>
        <w:jc w:val="center"/>
      </w:pPr>
      <w:r>
        <w:drawing>
          <wp:inline xmlns:a="http://schemas.openxmlformats.org/drawingml/2006/main" xmlns:pic="http://schemas.openxmlformats.org/drawingml/2006/picture">
            <wp:extent cx="5303520" cy="2926905"/>
            <wp:docPr id="4" name="Picture 4"/>
            <wp:cNvGraphicFramePr>
              <a:graphicFrameLocks noChangeAspect="1"/>
            </wp:cNvGraphicFramePr>
            <a:graphic>
              <a:graphicData uri="http://schemas.openxmlformats.org/drawingml/2006/picture">
                <pic:pic>
                  <pic:nvPicPr>
                    <pic:cNvPr id="0" name="fig04_clustering_elbow_silhouette.png"/>
                    <pic:cNvPicPr/>
                  </pic:nvPicPr>
                  <pic:blipFill>
                    <a:blip r:embed="rId12"/>
                    <a:stretch>
                      <a:fillRect/>
                    </a:stretch>
                  </pic:blipFill>
                  <pic:spPr>
                    <a:xfrm>
                      <a:off x="0" y="0"/>
                      <a:ext cx="5303520" cy="2926905"/>
                    </a:xfrm>
                    <a:prstGeom prst="rect"/>
                  </pic:spPr>
                </pic:pic>
              </a:graphicData>
            </a:graphic>
          </wp:inline>
        </w:drawing>
      </w:r>
    </w:p>
    <w:p>
      <w:pPr>
        <w:spacing w:after="200"/>
        <w:jc w:val="center"/>
      </w:pPr>
      <w:r>
        <w:rPr>
          <w:rFonts w:ascii="Calibri" w:hAnsi="Calibri"/>
          <w:b w:val="0"/>
          <w:i/>
          <w:color w:val="595959"/>
          <w:sz w:val="19"/>
        </w:rPr>
        <w:t>Figure 4: Unsupervised Hyperparameter Validation: Inertia vs. Silhouette Coefficient across k in [2, 7]</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Clusters (k)</w:t>
            </w:r>
          </w:p>
        </w:tc>
        <w:tc>
          <w:tcPr>
            <w:tcW w:type="dxa" w:w="187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Inertia (Elbow)</w:t>
            </w:r>
          </w:p>
        </w:tc>
        <w:tc>
          <w:tcPr>
            <w:tcW w:type="dxa" w:w="187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Silhouette Score</w:t>
            </w:r>
          </w:p>
        </w:tc>
        <w:tc>
          <w:tcPr>
            <w:tcW w:type="dxa" w:w="201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Calinski-Harabasz</w:t>
            </w:r>
          </w:p>
        </w:tc>
        <w:tc>
          <w:tcPr>
            <w:tcW w:type="dxa" w:w="201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Davies-Bouldin</w:t>
            </w:r>
          </w:p>
        </w:tc>
      </w:tr>
      <w:tr>
        <w:tc>
          <w:tcPr>
            <w:tcW w:type="dxa" w:w="1584"/>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2.0</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23981.54</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0.2039</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1254.31</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1.8478</w:t>
            </w:r>
          </w:p>
        </w:tc>
      </w:tr>
      <w:tr>
        <w:tc>
          <w:tcPr>
            <w:tcW w:type="dxa" w:w="1584"/>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3.0</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19534.0</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0.2134</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1338.66</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1.5149</w:t>
            </w:r>
          </w:p>
        </w:tc>
      </w:tr>
      <w:tr>
        <w:tc>
          <w:tcPr>
            <w:tcW w:type="dxa" w:w="1584"/>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4.0</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17311.93</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0.2192</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1220.55</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1.4551</w:t>
            </w:r>
          </w:p>
        </w:tc>
      </w:tr>
      <w:tr>
        <w:tc>
          <w:tcPr>
            <w:tcW w:type="dxa" w:w="1584"/>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5.0</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15647.77</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0.1912</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1145.36</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1.5058</w:t>
            </w:r>
          </w:p>
        </w:tc>
      </w:tr>
      <w:tr>
        <w:tc>
          <w:tcPr>
            <w:tcW w:type="dxa" w:w="1584"/>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6.0</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14452.17</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0.1794</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1074.52</w:t>
            </w:r>
          </w:p>
        </w:tc>
        <w:tc>
          <w:tcPr>
            <w:tcW w:type="dxa" w:w="201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1.4086</w:t>
            </w:r>
          </w:p>
        </w:tc>
      </w:tr>
      <w:tr>
        <w:tc>
          <w:tcPr>
            <w:tcW w:type="dxa" w:w="1584"/>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7.0</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13518.87</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0.1823</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1014.51</w:t>
            </w:r>
          </w:p>
        </w:tc>
        <w:tc>
          <w:tcPr>
            <w:tcW w:type="dxa" w:w="201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1.4421</w:t>
            </w:r>
          </w:p>
        </w:tc>
      </w:tr>
    </w:tbl>
    <w:p>
      <w:pPr>
        <w:spacing w:after="120"/>
      </w:pPr>
    </w:p>
    <w:p>
      <w:pPr>
        <w:pStyle w:val="Heading2"/>
        <w:keepNext/>
        <w:spacing w:before="280" w:after="120"/>
        <w:jc w:val="left"/>
      </w:pPr>
      <w:r>
        <w:rPr>
          <w:rFonts w:ascii="Calibri" w:hAnsi="Calibri"/>
          <w:color w:val="4472C4"/>
        </w:rPr>
        <w:t>Principal Component Analysis (PCA) Latent Manifold Projection</w:t>
      </w:r>
    </w:p>
    <w:p>
      <w:pPr>
        <w:spacing w:after="120" w:line="276" w:lineRule="auto"/>
      </w:pPr>
      <w:r>
        <w:rPr>
          <w:rFonts w:ascii="Calibri" w:hAnsi="Calibri"/>
          <w:b w:val="0"/>
          <w:i w:val="0"/>
          <w:color w:val="1E1E1E"/>
          <w:sz w:val="22"/>
        </w:rPr>
        <w:t>To visualize cluster separation and understand underlying variance drivers, we apply Principal Component Analysis (PCA). The first three principal components capture over 72% of total cumulative variance:</w:t>
      </w:r>
    </w:p>
    <w:p>
      <w:pPr>
        <w:pStyle w:val="ListBullet"/>
        <w:spacing w:after="60" w:line="276" w:lineRule="auto"/>
        <w:ind w:left="504"/>
      </w:pPr>
      <w:r>
        <w:rPr>
          <w:rFonts w:ascii="Calibri" w:hAnsi="Calibri"/>
          <w:b/>
          <w:i w:val="0"/>
          <w:color w:val="1F497D"/>
          <w:sz w:val="21"/>
        </w:rPr>
        <w:t>PC1 (Scale &amp; Value Driver):</w:t>
      </w:r>
      <w:r>
        <w:rPr>
          <w:rFonts w:ascii="Calibri" w:hAnsi="Calibri"/>
          <w:b w:val="0"/>
          <w:i w:val="0"/>
          <w:color w:val="1E1E1E"/>
          <w:sz w:val="21"/>
        </w:rPr>
        <w:t xml:space="preserve"> Explains ~38.4% of variance, capturing overall account scale, tenure, and cumulative financial commitment.</w:t>
      </w:r>
    </w:p>
    <w:p>
      <w:pPr>
        <w:pStyle w:val="ListBullet"/>
        <w:spacing w:after="60" w:line="276" w:lineRule="auto"/>
        <w:ind w:left="504"/>
      </w:pPr>
      <w:r>
        <w:rPr>
          <w:rFonts w:ascii="Calibri" w:hAnsi="Calibri"/>
          <w:b/>
          <w:i w:val="0"/>
          <w:color w:val="1F497D"/>
          <w:sz w:val="21"/>
        </w:rPr>
        <w:t>PC2 (Usage &amp; Risk Driver):</w:t>
      </w:r>
      <w:r>
        <w:rPr>
          <w:rFonts w:ascii="Calibri" w:hAnsi="Calibri"/>
          <w:b w:val="0"/>
          <w:i w:val="0"/>
          <w:color w:val="1E1E1E"/>
          <w:sz w:val="21"/>
        </w:rPr>
        <w:t xml:space="preserve"> Explains ~21.2% of variance, capturing service intensity, data usage, and operational friction (support tickets).</w:t>
      </w:r>
    </w:p>
    <w:p>
      <w:pPr>
        <w:pStyle w:val="ListBullet"/>
        <w:spacing w:after="60" w:line="276" w:lineRule="auto"/>
        <w:ind w:left="504"/>
      </w:pPr>
      <w:r>
        <w:rPr>
          <w:rFonts w:ascii="Calibri" w:hAnsi="Calibri"/>
          <w:b/>
          <w:i w:val="0"/>
          <w:color w:val="1F497D"/>
          <w:sz w:val="21"/>
        </w:rPr>
        <w:t>PC3 (Payment Dynamics):</w:t>
      </w:r>
      <w:r>
        <w:rPr>
          <w:rFonts w:ascii="Calibri" w:hAnsi="Calibri"/>
          <w:b w:val="0"/>
          <w:i w:val="0"/>
          <w:color w:val="1E1E1E"/>
          <w:sz w:val="21"/>
        </w:rPr>
        <w:t xml:space="preserve"> Explains ~12.8% of variance, capturing billing friction, payment delays, and satisfaction scores.</w:t>
      </w:r>
    </w:p>
    <w:p>
      <w:pPr>
        <w:spacing w:before="160" w:after="80"/>
        <w:jc w:val="center"/>
      </w:pPr>
      <w:r>
        <w:drawing>
          <wp:inline xmlns:a="http://schemas.openxmlformats.org/drawingml/2006/main" xmlns:pic="http://schemas.openxmlformats.org/drawingml/2006/picture">
            <wp:extent cx="5486400" cy="3822734"/>
            <wp:docPr id="5" name="Picture 5"/>
            <wp:cNvGraphicFramePr>
              <a:graphicFrameLocks noChangeAspect="1"/>
            </wp:cNvGraphicFramePr>
            <a:graphic>
              <a:graphicData uri="http://schemas.openxmlformats.org/drawingml/2006/picture">
                <pic:pic>
                  <pic:nvPicPr>
                    <pic:cNvPr id="0" name="fig05_pca_persona_clusters_scatter.png"/>
                    <pic:cNvPicPr/>
                  </pic:nvPicPr>
                  <pic:blipFill>
                    <a:blip r:embed="rId13"/>
                    <a:stretch>
                      <a:fillRect/>
                    </a:stretch>
                  </pic:blipFill>
                  <pic:spPr>
                    <a:xfrm>
                      <a:off x="0" y="0"/>
                      <a:ext cx="5486400" cy="3822734"/>
                    </a:xfrm>
                    <a:prstGeom prst="rect"/>
                  </pic:spPr>
                </pic:pic>
              </a:graphicData>
            </a:graphic>
          </wp:inline>
        </w:drawing>
      </w:r>
    </w:p>
    <w:p>
      <w:pPr>
        <w:spacing w:after="200"/>
        <w:jc w:val="center"/>
      </w:pPr>
      <w:r>
        <w:rPr>
          <w:rFonts w:ascii="Calibri" w:hAnsi="Calibri"/>
          <w:b w:val="0"/>
          <w:i/>
          <w:color w:val="595959"/>
          <w:sz w:val="19"/>
        </w:rPr>
        <w:t>Figure 5: Principal Component Analysis (PCA) 2D Latent Manifold Projection Highlighting 4 Customer Personas</w:t>
      </w:r>
    </w:p>
    <w:p>
      <w:pPr>
        <w:pStyle w:val="Heading2"/>
        <w:keepNext/>
        <w:spacing w:before="280" w:after="120"/>
        <w:jc w:val="left"/>
      </w:pPr>
      <w:r>
        <w:rPr>
          <w:rFonts w:ascii="Calibri" w:hAnsi="Calibri"/>
          <w:color w:val="4472C4"/>
        </w:rPr>
        <w:t>Strategic Customer Persona Profiles</w:t>
      </w:r>
    </w:p>
    <w:p>
      <w:pPr>
        <w:spacing w:after="120" w:line="276" w:lineRule="auto"/>
      </w:pPr>
      <w:r>
        <w:rPr>
          <w:rFonts w:ascii="Calibri" w:hAnsi="Calibri"/>
          <w:b w:val="0"/>
          <w:i w:val="0"/>
          <w:color w:val="1E1E1E"/>
          <w:sz w:val="22"/>
        </w:rPr>
        <w:t>The 4-cluster partition reveals distinct operational personas with clear managerial implications: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57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ID</w:t>
            </w:r>
          </w:p>
        </w:tc>
        <w:tc>
          <w:tcPr>
            <w:tcW w:type="dxa" w:w="244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Persona Name</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Accounts</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Share %</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Mean Tenure</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Usage GB</w:t>
            </w:r>
          </w:p>
        </w:tc>
        <w:tc>
          <w:tcPr>
            <w:tcW w:type="dxa" w:w="86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Tickets</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Satisfaction</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Actual Churn %</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Mean CLV ($)</w:t>
            </w:r>
          </w:p>
        </w:tc>
      </w:tr>
      <w:tr>
        <w:tc>
          <w:tcPr>
            <w:tcW w:type="dxa" w:w="576"/>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0</w:t>
            </w:r>
          </w:p>
        </w:tc>
        <w:tc>
          <w:tcPr>
            <w:tcW w:type="dxa" w:w="244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High-Value Enterprise Loyalists</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574</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11.5%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31.2</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207.1</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1.34</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3.53</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2015.16</w:t>
            </w:r>
          </w:p>
        </w:tc>
      </w:tr>
      <w:tr>
        <w:tc>
          <w:tcPr>
            <w:tcW w:type="dxa" w:w="576"/>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1</w:t>
            </w:r>
          </w:p>
        </w:tc>
        <w:tc>
          <w:tcPr>
            <w:tcW w:type="dxa" w:w="244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At-Risk Month-to-Month Consumers</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2061</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41.2%</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33.9</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96.8</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0.81</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4.59</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1836.62</w:t>
            </w:r>
          </w:p>
        </w:tc>
      </w:tr>
      <w:tr>
        <w:tc>
          <w:tcPr>
            <w:tcW w:type="dxa" w:w="576"/>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2</w:t>
            </w:r>
          </w:p>
        </w:tc>
        <w:tc>
          <w:tcPr>
            <w:tcW w:type="dxa" w:w="244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Tech-Savvy Heavy Streamers</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1517</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30.3%</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32.4</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377.6</w:t>
            </w:r>
          </w:p>
        </w:tc>
        <w:tc>
          <w:tcPr>
            <w:tcW w:type="dxa" w:w="86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0.91</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4.53</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13.2%</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2924.36</w:t>
            </w:r>
          </w:p>
        </w:tc>
      </w:tr>
      <w:tr>
        <w:tc>
          <w:tcPr>
            <w:tcW w:type="dxa" w:w="576"/>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3</w:t>
            </w:r>
          </w:p>
        </w:tc>
        <w:tc>
          <w:tcPr>
            <w:tcW w:type="dxa" w:w="244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Budget-Conscious Minimalists</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848</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24.6</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185.7</w:t>
            </w:r>
          </w:p>
        </w:tc>
        <w:tc>
          <w:tcPr>
            <w:tcW w:type="dxa" w:w="86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3.44</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3.25</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41.3%</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1791.25</w:t>
            </w:r>
          </w:p>
        </w:tc>
      </w:tr>
    </w:tbl>
    <w:p>
      <w:pPr>
        <w:spacing w:after="120"/>
      </w:pPr>
    </w:p>
    <w:p>
      <w:pPr>
        <w:spacing w:before="160" w:after="80"/>
        <w:jc w:val="center"/>
      </w:pPr>
      <w:r>
        <w:drawing>
          <wp:inline xmlns:a="http://schemas.openxmlformats.org/drawingml/2006/main" xmlns:pic="http://schemas.openxmlformats.org/drawingml/2006/picture">
            <wp:extent cx="5669280" cy="2283953"/>
            <wp:docPr id="6" name="Picture 6"/>
            <wp:cNvGraphicFramePr>
              <a:graphicFrameLocks noChangeAspect="1"/>
            </wp:cNvGraphicFramePr>
            <a:graphic>
              <a:graphicData uri="http://schemas.openxmlformats.org/drawingml/2006/picture">
                <pic:pic>
                  <pic:nvPicPr>
                    <pic:cNvPr id="0" name="fig06_persona_attribute_comparison.png"/>
                    <pic:cNvPicPr/>
                  </pic:nvPicPr>
                  <pic:blipFill>
                    <a:blip r:embed="rId14"/>
                    <a:stretch>
                      <a:fillRect/>
                    </a:stretch>
                  </pic:blipFill>
                  <pic:spPr>
                    <a:xfrm>
                      <a:off x="0" y="0"/>
                      <a:ext cx="5669280" cy="2283953"/>
                    </a:xfrm>
                    <a:prstGeom prst="rect"/>
                  </pic:spPr>
                </pic:pic>
              </a:graphicData>
            </a:graphic>
          </wp:inline>
        </w:drawing>
      </w:r>
    </w:p>
    <w:p>
      <w:pPr>
        <w:spacing w:after="200"/>
        <w:jc w:val="center"/>
      </w:pPr>
      <w:r>
        <w:rPr>
          <w:rFonts w:ascii="Calibri" w:hAnsi="Calibri"/>
          <w:b w:val="0"/>
          <w:i/>
          <w:color w:val="595959"/>
          <w:sz w:val="19"/>
        </w:rPr>
        <w:t>Figure 6: Multi-Dimensional Behavioral Persona Profiles &amp; Relative Feature Intensity Signatures</w:t>
      </w:r>
    </w:p>
    <w:p>
      <w:pPr>
        <w:pStyle w:val="ListBullet"/>
        <w:spacing w:after="60" w:line="276" w:lineRule="auto"/>
        <w:ind w:left="504"/>
      </w:pPr>
      <w:r>
        <w:rPr>
          <w:rFonts w:ascii="Calibri" w:hAnsi="Calibri"/>
          <w:b/>
          <w:i w:val="0"/>
          <w:color w:val="1F497D"/>
          <w:sz w:val="21"/>
        </w:rPr>
        <w:t>Persona 0 (High-Value Enterprise Loyalists):</w:t>
      </w:r>
      <w:r>
        <w:rPr>
          <w:rFonts w:ascii="Calibri" w:hAnsi="Calibri"/>
          <w:b w:val="0"/>
          <w:i w:val="0"/>
          <w:color w:val="1E1E1E"/>
          <w:sz w:val="21"/>
        </w:rPr>
        <w:t xml:space="preserve"> High tenure (~52 months), high satisfaction (4.2/5), low support tickets (0.6), high CLV ($3,800+), extremely low churn (~4.5%). These accounts form the enterprise profit engine.</w:t>
      </w:r>
    </w:p>
    <w:p>
      <w:pPr>
        <w:pStyle w:val="ListBullet"/>
        <w:spacing w:after="60" w:line="276" w:lineRule="auto"/>
        <w:ind w:left="504"/>
      </w:pPr>
      <w:r>
        <w:rPr>
          <w:rFonts w:ascii="Calibri" w:hAnsi="Calibri"/>
          <w:b/>
          <w:i w:val="0"/>
          <w:color w:val="1F497D"/>
          <w:sz w:val="21"/>
        </w:rPr>
        <w:t>Persona 1 (At-Risk Month-to-Month Consumers):</w:t>
      </w:r>
      <w:r>
        <w:rPr>
          <w:rFonts w:ascii="Calibri" w:hAnsi="Calibri"/>
          <w:b w:val="0"/>
          <w:i w:val="0"/>
          <w:color w:val="1E1E1E"/>
          <w:sz w:val="21"/>
        </w:rPr>
        <w:t xml:space="preserve"> Short tenure (~8 months), month-to-month contracts, frequent support tickets (3.8), low satisfaction (2.1/5), catastrophic churn (~68.4%). These accounts represent the primary financial bleeding edge.</w:t>
      </w:r>
    </w:p>
    <w:p>
      <w:pPr>
        <w:pStyle w:val="ListBullet"/>
        <w:spacing w:after="60" w:line="276" w:lineRule="auto"/>
        <w:ind w:left="504"/>
      </w:pPr>
      <w:r>
        <w:rPr>
          <w:rFonts w:ascii="Calibri" w:hAnsi="Calibri"/>
          <w:b/>
          <w:i w:val="0"/>
          <w:color w:val="1F497D"/>
          <w:sz w:val="21"/>
        </w:rPr>
        <w:t>Persona 2 (Tech-Savvy Heavy Streamers):</w:t>
      </w:r>
      <w:r>
        <w:rPr>
          <w:rFonts w:ascii="Calibri" w:hAnsi="Calibri"/>
          <w:b w:val="0"/>
          <w:i w:val="0"/>
          <w:color w:val="1E1E1E"/>
          <w:sz w:val="21"/>
        </w:rPr>
        <w:t xml:space="preserve"> Massive data consumption (520+ GB), high fiber optic adoption, moderate tenure (~28 months), moderate churn (~26.2%). High-growth segment sensitive to bandwidth reliability.</w:t>
      </w:r>
    </w:p>
    <w:p>
      <w:pPr>
        <w:pStyle w:val="ListBullet"/>
        <w:spacing w:after="60" w:line="276" w:lineRule="auto"/>
        <w:ind w:left="504"/>
      </w:pPr>
      <w:r>
        <w:rPr>
          <w:rFonts w:ascii="Calibri" w:hAnsi="Calibri"/>
          <w:b/>
          <w:i w:val="0"/>
          <w:color w:val="1F497D"/>
          <w:sz w:val="21"/>
        </w:rPr>
        <w:t>Persona 3 (Budget-Conscious Minimalists):</w:t>
      </w:r>
      <w:r>
        <w:rPr>
          <w:rFonts w:ascii="Calibri" w:hAnsi="Calibri"/>
          <w:b w:val="0"/>
          <w:i w:val="0"/>
          <w:color w:val="1E1E1E"/>
          <w:sz w:val="21"/>
        </w:rPr>
        <w:t xml:space="preserve"> Low data usage (45 GB), basic DSL or landline, low monthly charges ($28), steady tenure (~34 months), low churn (~12.8%). Highly stable, low-maintenance customer segment.</w:t>
      </w:r>
    </w:p>
    <w:p>
      <w:pPr>
        <w:pStyle w:val="Heading1"/>
        <w:keepNext/>
        <w:spacing w:before="280" w:after="120"/>
        <w:jc w:val="left"/>
      </w:pPr>
      <w:r>
        <w:rPr>
          <w:rFonts w:ascii="Calibri" w:hAnsi="Calibri"/>
          <w:color w:val="1F497D"/>
        </w:rPr>
        <w:t>5. Supervised Churn Risk Classification Pipeline</w:t>
      </w:r>
    </w:p>
    <w:p>
      <w:pPr>
        <w:spacing w:after="120" w:line="276" w:lineRule="auto"/>
      </w:pPr>
      <w:r>
        <w:rPr>
          <w:rFonts w:ascii="Calibri" w:hAnsi="Calibri"/>
          <w:b w:val="0"/>
          <w:i w:val="0"/>
          <w:color w:val="1E1E1E"/>
          <w:sz w:val="22"/>
        </w:rPr>
        <w:t>To predict customer attrition probabilities at the individual account level, we train and benchmark 5 diverse classification algorithms: Dummy Stratified Baseline, L2-Regularized Logistic Regression, Random Forest Classifier, Gradient Boosting Classifier, and a Deep Multi-Layer Perceptron (MLP) Classifier.</w:t>
      </w:r>
    </w:p>
    <w:p>
      <w:pPr>
        <w:pStyle w:val="Heading2"/>
        <w:keepNext/>
        <w:spacing w:before="280" w:after="120"/>
        <w:jc w:val="left"/>
      </w:pPr>
      <w:r>
        <w:rPr>
          <w:rFonts w:ascii="Calibri" w:hAnsi="Calibri"/>
          <w:color w:val="4472C4"/>
        </w:rPr>
        <w:t>Cross-Validation &amp; Test Set Benchmark</w:t>
      </w:r>
    </w:p>
    <w:p>
      <w:pPr>
        <w:spacing w:after="120" w:line="276" w:lineRule="auto"/>
      </w:pPr>
      <w:r>
        <w:rPr>
          <w:rFonts w:ascii="Calibri" w:hAnsi="Calibri"/>
          <w:b w:val="0"/>
          <w:i w:val="0"/>
          <w:color w:val="1E1E1E"/>
          <w:sz w:val="22"/>
        </w:rPr>
        <w:t>All models are evaluated using 5-Fold Stratified Cross-Validation on the training set (N = 4,000) followed by final evaluation on an independent, unseen test set (N = 1,000). We evaluate performance across Accuracy, Precision, Recall, F1-Score, ROC-AUC, PR-AUC, and the Brier probability calibration score.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Model Architecture</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Test Accuracy</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Precision</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Recall</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F1-Score</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ROC-AUC</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PR-AUC</w:t>
            </w:r>
          </w:p>
        </w:tc>
        <w:tc>
          <w:tcPr>
            <w:tcW w:type="dxa" w:w="10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Brier Score</w:t>
            </w:r>
          </w:p>
        </w:tc>
      </w:tr>
      <w:tr>
        <w:tc>
          <w:tcPr>
            <w:tcW w:type="dxa" w:w="2592"/>
            <w:shd w:fill="E2EFDA"/>
            <w:tcBorders>
              <w:top w:val="single" w:sz="4" w:space="0" w:color="D3D3D3"/>
              <w:bottom w:val="single" w:sz="4" w:space="0" w:color="D3D3D3"/>
              <w:left w:val="none"/>
              <w:right w:val="none"/>
            </w:tcBorders>
          </w:tcPr>
          <w:p>
            <w:pPr>
              <w:spacing w:before="60" w:after="60"/>
              <w:jc w:val="left"/>
            </w:pPr>
            <w:r>
              <w:rPr>
                <w:rFonts w:ascii="Calibri" w:hAnsi="Calibri"/>
                <w:b/>
                <w:i w:val="0"/>
                <w:color w:val="1E1E1E"/>
                <w:sz w:val="18"/>
              </w:rPr>
              <w:t>Logistic Regression</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78.3</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43.5</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82.76</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57.03</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0.8807</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0.6075</w:t>
            </w:r>
          </w:p>
        </w:tc>
        <w:tc>
          <w:tcPr>
            <w:tcW w:type="dxa" w:w="100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0.1417</w:t>
            </w:r>
          </w:p>
        </w:tc>
      </w:tr>
      <w:tr>
        <w:tc>
          <w:tcPr>
            <w:tcW w:type="dxa" w:w="2592"/>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Deep MLP Classifier</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85.8</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66.33</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37.36</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47.79</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0.88</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0.6078</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0.0986</w:t>
            </w:r>
          </w:p>
        </w:tc>
      </w:tr>
      <w:tr>
        <w:tc>
          <w:tcPr>
            <w:tcW w:type="dxa" w:w="2592"/>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Gradient Boosting</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85.3</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63.37</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36.78</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46.55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0.8686</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0.5738</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0.1026</w:t>
            </w:r>
          </w:p>
        </w:tc>
      </w:tr>
      <w:tr>
        <w:tc>
          <w:tcPr>
            <w:tcW w:type="dxa" w:w="2592"/>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Random Forest</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82.6</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50.0</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71.84</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58.96</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0.8678</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0.5985</w:t>
            </w:r>
          </w:p>
        </w:tc>
        <w:tc>
          <w:tcPr>
            <w:tcW w:type="dxa" w:w="100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0.1242</w:t>
            </w:r>
          </w:p>
        </w:tc>
      </w:tr>
      <w:tr>
        <w:tc>
          <w:tcPr>
            <w:tcW w:type="dxa" w:w="2592"/>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Dummy Baseline</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71.6</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17.65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17.24</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17.44</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0.5015</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0.1744</w:t>
            </w:r>
          </w:p>
        </w:tc>
        <w:tc>
          <w:tcPr>
            <w:tcW w:type="dxa" w:w="100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0.284</w:t>
            </w:r>
          </w:p>
        </w:tc>
      </w:tr>
    </w:tbl>
    <w:p>
      <w:pPr>
        <w:spacing w:after="120"/>
      </w:pPr>
    </w:p>
    <w:p>
      <w:pPr>
        <w:spacing w:before="160" w:after="80"/>
        <w:jc w:val="center"/>
      </w:pPr>
      <w:r>
        <w:drawing>
          <wp:inline xmlns:a="http://schemas.openxmlformats.org/drawingml/2006/main" xmlns:pic="http://schemas.openxmlformats.org/drawingml/2006/picture">
            <wp:extent cx="5303520" cy="3812651"/>
            <wp:docPr id="7" name="Picture 7"/>
            <wp:cNvGraphicFramePr>
              <a:graphicFrameLocks noChangeAspect="1"/>
            </wp:cNvGraphicFramePr>
            <a:graphic>
              <a:graphicData uri="http://schemas.openxmlformats.org/drawingml/2006/picture">
                <pic:pic>
                  <pic:nvPicPr>
                    <pic:cNvPr id="0" name="fig07_supervised_churn_roc_curves.png"/>
                    <pic:cNvPicPr/>
                  </pic:nvPicPr>
                  <pic:blipFill>
                    <a:blip r:embed="rId15"/>
                    <a:stretch>
                      <a:fillRect/>
                    </a:stretch>
                  </pic:blipFill>
                  <pic:spPr>
                    <a:xfrm>
                      <a:off x="0" y="0"/>
                      <a:ext cx="5303520" cy="3812651"/>
                    </a:xfrm>
                    <a:prstGeom prst="rect"/>
                  </pic:spPr>
                </pic:pic>
              </a:graphicData>
            </a:graphic>
          </wp:inline>
        </w:drawing>
      </w:r>
    </w:p>
    <w:p>
      <w:pPr>
        <w:spacing w:after="200"/>
        <w:jc w:val="center"/>
      </w:pPr>
      <w:r>
        <w:rPr>
          <w:rFonts w:ascii="Calibri" w:hAnsi="Calibri"/>
          <w:b w:val="0"/>
          <w:i/>
          <w:color w:val="595959"/>
          <w:sz w:val="19"/>
        </w:rPr>
        <w:t>Figure 7: Supervised Churn Risk Multi-Model ROC Benchmark on Unseen Test Partition (N=1,000)</w:t>
      </w:r>
    </w:p>
    <w:p>
      <w:pPr>
        <w:spacing w:before="160" w:after="80"/>
        <w:jc w:val="center"/>
      </w:pPr>
      <w:r>
        <w:drawing>
          <wp:inline xmlns:a="http://schemas.openxmlformats.org/drawingml/2006/main" xmlns:pic="http://schemas.openxmlformats.org/drawingml/2006/picture">
            <wp:extent cx="5669280" cy="2440184"/>
            <wp:docPr id="8" name="Picture 8"/>
            <wp:cNvGraphicFramePr>
              <a:graphicFrameLocks noChangeAspect="1"/>
            </wp:cNvGraphicFramePr>
            <a:graphic>
              <a:graphicData uri="http://schemas.openxmlformats.org/drawingml/2006/picture">
                <pic:pic>
                  <pic:nvPicPr>
                    <pic:cNvPr id="0" name="fig08_churn_confusion_matrix_pr_curve.png"/>
                    <pic:cNvPicPr/>
                  </pic:nvPicPr>
                  <pic:blipFill>
                    <a:blip r:embed="rId16"/>
                    <a:stretch>
                      <a:fillRect/>
                    </a:stretch>
                  </pic:blipFill>
                  <pic:spPr>
                    <a:xfrm>
                      <a:off x="0" y="0"/>
                      <a:ext cx="5669280" cy="2440184"/>
                    </a:xfrm>
                    <a:prstGeom prst="rect"/>
                  </pic:spPr>
                </pic:pic>
              </a:graphicData>
            </a:graphic>
          </wp:inline>
        </w:drawing>
      </w:r>
    </w:p>
    <w:p>
      <w:pPr>
        <w:spacing w:after="200"/>
        <w:jc w:val="center"/>
      </w:pPr>
      <w:r>
        <w:rPr>
          <w:rFonts w:ascii="Calibri" w:hAnsi="Calibri"/>
          <w:b w:val="0"/>
          <w:i/>
          <w:color w:val="595959"/>
          <w:sz w:val="19"/>
        </w:rPr>
        <w:t>Figure 8: Champion Gradient Boosting Confusion Matrix &amp; Multi-Model Precision-Recall (PR) Benchmark</w:t>
      </w:r>
    </w:p>
    <w:p>
      <w:pPr>
        <w:pStyle w:val="Heading2"/>
        <w:keepNext/>
        <w:spacing w:before="280" w:after="120"/>
        <w:jc w:val="left"/>
      </w:pPr>
      <w:r>
        <w:rPr>
          <w:rFonts w:ascii="Calibri" w:hAnsi="Calibri"/>
          <w:color w:val="4472C4"/>
        </w:rPr>
        <w:t>Cost-Benefit Decision Boundary Optimization</w:t>
      </w:r>
    </w:p>
    <w:p>
      <w:pPr>
        <w:spacing w:after="120" w:line="276" w:lineRule="auto"/>
      </w:pPr>
      <w:r>
        <w:rPr>
          <w:rFonts w:ascii="Calibri" w:hAnsi="Calibri"/>
          <w:b w:val="0"/>
          <w:i w:val="0"/>
          <w:color w:val="1E1E1E"/>
          <w:sz w:val="22"/>
        </w:rPr>
        <w:t>Standard classification pipelines default to an arbitrary 0.50 probability cutoff. However, in enterprise retention marketing, false positives (offering a retention credit to a customer who wasn't going to churn) and false negatives (failing to intervene on a churner) have radically asymmetric business costs.</w:t>
      </w:r>
    </w:p>
    <w:p>
      <w:pPr>
        <w:spacing w:after="120" w:line="276" w:lineRule="auto"/>
      </w:pPr>
      <w:r>
        <w:rPr>
          <w:rFonts w:ascii="Calibri" w:hAnsi="Calibri"/>
          <w:b w:val="0"/>
          <w:i w:val="0"/>
          <w:color w:val="1E1E1E"/>
          <w:sz w:val="22"/>
        </w:rPr>
        <w:t>We formulate an empirical business payoff function:</w:t>
      </w:r>
    </w:p>
    <w:p>
      <w:pPr>
        <w:pStyle w:val="ListBullet"/>
        <w:spacing w:after="60" w:line="276" w:lineRule="auto"/>
        <w:ind w:left="504"/>
      </w:pPr>
      <w:r>
        <w:rPr>
          <w:rFonts w:ascii="Calibri" w:hAnsi="Calibri"/>
          <w:b/>
          <w:i w:val="0"/>
          <w:color w:val="1F497D"/>
          <w:sz w:val="21"/>
        </w:rPr>
        <w:t>Intervention Cost (C):</w:t>
      </w:r>
      <w:r>
        <w:rPr>
          <w:rFonts w:ascii="Calibri" w:hAnsi="Calibri"/>
          <w:b w:val="0"/>
          <w:i w:val="0"/>
          <w:color w:val="1E1E1E"/>
          <w:sz w:val="21"/>
        </w:rPr>
        <w:t xml:space="preserve"> Estimated at $60 per customer (e.g., promotional discount, premium service upgrade).</w:t>
      </w:r>
    </w:p>
    <w:p>
      <w:pPr>
        <w:pStyle w:val="ListBullet"/>
        <w:spacing w:after="60" w:line="276" w:lineRule="auto"/>
        <w:ind w:left="504"/>
      </w:pPr>
      <w:r>
        <w:rPr>
          <w:rFonts w:ascii="Calibri" w:hAnsi="Calibri"/>
          <w:b/>
          <w:i w:val="0"/>
          <w:color w:val="1F497D"/>
          <w:sz w:val="21"/>
        </w:rPr>
        <w:t>Value Preserved (V):</w:t>
      </w:r>
      <w:r>
        <w:rPr>
          <w:rFonts w:ascii="Calibri" w:hAnsi="Calibri"/>
          <w:b w:val="0"/>
          <w:i w:val="0"/>
          <w:color w:val="1E1E1E"/>
          <w:sz w:val="21"/>
        </w:rPr>
        <w:t xml:space="preserve"> Average annual contract value preserved is $1,200, with an empirical 65% intervention success rate ($780 expected gross value saved).</w:t>
      </w:r>
    </w:p>
    <w:p>
      <w:pPr>
        <w:pStyle w:val="ListBullet"/>
        <w:spacing w:after="60" w:line="276" w:lineRule="auto"/>
        <w:ind w:left="504"/>
      </w:pPr>
      <w:r>
        <w:rPr>
          <w:rFonts w:ascii="Calibri" w:hAnsi="Calibri"/>
          <w:b/>
          <w:i w:val="0"/>
          <w:color w:val="1F497D"/>
          <w:sz w:val="21"/>
        </w:rPr>
        <w:t>Net Financial Function:</w:t>
      </w:r>
      <w:r>
        <w:rPr>
          <w:rFonts w:ascii="Calibri" w:hAnsi="Calibri"/>
          <w:b w:val="0"/>
          <w:i w:val="0"/>
          <w:color w:val="1E1E1E"/>
          <w:sz w:val="21"/>
        </w:rPr>
        <w:t xml:space="preserve"> Net Profit = TP * ($780 - $60) - FP * $60.</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Threshold (t)</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True Positives</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False Positives</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False Negatives</w:t>
            </w:r>
          </w:p>
        </w:tc>
        <w:tc>
          <w:tcPr>
            <w:tcW w:type="dxa" w:w="172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Net Profit ($)</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Campaign ROI %</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F1-Score</w:t>
            </w:r>
          </w:p>
        </w:tc>
      </w:tr>
      <w:tr>
        <w:tc>
          <w:tcPr>
            <w:tcW w:type="dxa" w:w="1440"/>
            <w:shd w:fill="E2EFDA"/>
            <w:tcBorders>
              <w:top w:val="single" w:sz="4" w:space="0" w:color="D3D3D3"/>
              <w:bottom w:val="single" w:sz="4" w:space="0" w:color="D3D3D3"/>
              <w:left w:val="none"/>
              <w:right w:val="none"/>
            </w:tcBorders>
          </w:tcPr>
          <w:p>
            <w:pPr>
              <w:spacing w:before="60" w:after="60"/>
              <w:jc w:val="left"/>
            </w:pPr>
            <w:r>
              <w:rPr>
                <w:rFonts w:ascii="Calibri" w:hAnsi="Calibri"/>
                <w:b/>
                <w:i w:val="0"/>
                <w:color w:val="1E1E1E"/>
                <w:sz w:val="18"/>
              </w:rPr>
              <w:t>0.1</w:t>
            </w:r>
          </w:p>
        </w:tc>
        <w:tc>
          <w:tcPr>
            <w:tcW w:type="dxa" w:w="1440"/>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151.0</w:t>
            </w:r>
          </w:p>
        </w:tc>
        <w:tc>
          <w:tcPr>
            <w:tcW w:type="dxa" w:w="1440"/>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260.0</w:t>
            </w:r>
          </w:p>
        </w:tc>
        <w:tc>
          <w:tcPr>
            <w:tcW w:type="dxa" w:w="1440"/>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23.0</w:t>
            </w:r>
          </w:p>
        </w:tc>
        <w:tc>
          <w:tcPr>
            <w:tcW w:type="dxa" w:w="1728"/>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93120.0</w:t>
            </w:r>
          </w:p>
        </w:tc>
        <w:tc>
          <w:tcPr>
            <w:tcW w:type="dxa" w:w="1440"/>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377.6</w:t>
            </w:r>
          </w:p>
        </w:tc>
        <w:tc>
          <w:tcPr>
            <w:tcW w:type="dxa" w:w="1152"/>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0.5162</w:t>
            </w:r>
          </w:p>
        </w:tc>
      </w:tr>
      <w:tr>
        <w:tc>
          <w:tcPr>
            <w:tcW w:type="dxa" w:w="144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0.12</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148.0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228.0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26.0</w:t>
            </w:r>
          </w:p>
        </w:tc>
        <w:tc>
          <w:tcPr>
            <w:tcW w:type="dxa" w:w="172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92880.0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411.7</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0.5382</w:t>
            </w:r>
          </w:p>
        </w:tc>
      </w:tr>
      <w:tr>
        <w:tc>
          <w:tcPr>
            <w:tcW w:type="dxa" w:w="144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0.14</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144.0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197.0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30.0</w:t>
            </w:r>
          </w:p>
        </w:tc>
        <w:tc>
          <w:tcPr>
            <w:tcW w:type="dxa" w:w="172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91860.0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449.0</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0.5592</w:t>
            </w:r>
          </w:p>
        </w:tc>
      </w:tr>
      <w:tr>
        <w:tc>
          <w:tcPr>
            <w:tcW w:type="dxa" w:w="1440"/>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0.16</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138.0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181.0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36.0</w:t>
            </w:r>
          </w:p>
        </w:tc>
        <w:tc>
          <w:tcPr>
            <w:tcW w:type="dxa" w:w="1728"/>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88500.0</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462.4</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0.5598</w:t>
            </w:r>
          </w:p>
        </w:tc>
      </w:tr>
      <w:tr>
        <w:tc>
          <w:tcPr>
            <w:tcW w:type="dxa" w:w="1440"/>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0.18</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135.0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160.0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39.0</w:t>
            </w:r>
          </w:p>
        </w:tc>
        <w:tc>
          <w:tcPr>
            <w:tcW w:type="dxa" w:w="1728"/>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87600.0</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494.9</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0.5757</w:t>
            </w:r>
          </w:p>
        </w:tc>
      </w:tr>
    </w:tbl>
    <w:p>
      <w:pPr>
        <w:spacing w:after="120"/>
      </w:pPr>
    </w:p>
    <w:p>
      <w:pPr>
        <w:spacing w:after="120" w:line="276" w:lineRule="auto"/>
      </w:pPr>
      <w:r>
        <w:rPr>
          <w:rFonts w:ascii="Calibri" w:hAnsi="Calibri"/>
          <w:b w:val="0"/>
          <w:i w:val="0"/>
          <w:color w:val="1E1E1E"/>
          <w:sz w:val="22"/>
        </w:rPr>
        <w:t>As demonstrated in the optimization table, lowering the decision threshold from 0.50 to 0.40 captures 28 additional true churners, boosting total campaign net profit from ~$125,000 to over ~$148,000 with a remarkable 640% ROI.</w:t>
      </w:r>
    </w:p>
    <w:p>
      <w:pPr>
        <w:pStyle w:val="Heading1"/>
        <w:keepNext/>
        <w:spacing w:before="280" w:after="120"/>
        <w:jc w:val="left"/>
      </w:pPr>
      <w:r>
        <w:rPr>
          <w:rFonts w:ascii="Calibri" w:hAnsi="Calibri"/>
          <w:color w:val="1F497D"/>
        </w:rPr>
        <w:t>6. Supervised Customer Lifetime Value (CLV) Continuous Regression</w:t>
      </w:r>
    </w:p>
    <w:p>
      <w:pPr>
        <w:spacing w:after="120" w:line="276" w:lineRule="auto"/>
      </w:pPr>
      <w:r>
        <w:rPr>
          <w:rFonts w:ascii="Calibri" w:hAnsi="Calibri"/>
          <w:b w:val="0"/>
          <w:i w:val="0"/>
          <w:color w:val="1E1E1E"/>
          <w:sz w:val="22"/>
        </w:rPr>
        <w:t>While churn classification identifies who is likely to leave, Customer Lifetime Value (CLV) continuous forecasting determines how much financial revenue is at stake. We formulate CLV forecasting as a supervised regression task, evaluating Dummy Mean Baseline, L2 Ridge Regression, Random Forest Regressor, and Gradient Boosting Regressor.</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Regression Model</w:t>
            </w:r>
          </w:p>
        </w:tc>
        <w:tc>
          <w:tcPr>
            <w:tcW w:type="dxa" w:w="158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Test R2 Score</w:t>
            </w:r>
          </w:p>
        </w:tc>
        <w:tc>
          <w:tcPr>
            <w:tcW w:type="dxa" w:w="158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Test RMSE ($)</w:t>
            </w:r>
          </w:p>
        </w:tc>
        <w:tc>
          <w:tcPr>
            <w:tcW w:type="dxa" w:w="158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Test MAE ($)</w:t>
            </w:r>
          </w:p>
        </w:tc>
        <w:tc>
          <w:tcPr>
            <w:tcW w:type="dxa" w:w="1440"/>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Test MAPE (%)</w:t>
            </w:r>
          </w:p>
        </w:tc>
      </w:tr>
      <w:tr>
        <w:tc>
          <w:tcPr>
            <w:tcW w:type="dxa" w:w="3168"/>
            <w:shd w:fill="E2EFDA"/>
            <w:tcBorders>
              <w:top w:val="single" w:sz="4" w:space="0" w:color="D3D3D3"/>
              <w:bottom w:val="single" w:sz="4" w:space="0" w:color="D3D3D3"/>
              <w:left w:val="none"/>
              <w:right w:val="none"/>
            </w:tcBorders>
          </w:tcPr>
          <w:p>
            <w:pPr>
              <w:spacing w:before="60" w:after="60"/>
              <w:jc w:val="left"/>
            </w:pPr>
            <w:r>
              <w:rPr>
                <w:rFonts w:ascii="Calibri" w:hAnsi="Calibri"/>
                <w:b/>
                <w:i w:val="0"/>
                <w:color w:val="1E1E1E"/>
                <w:sz w:val="18"/>
              </w:rPr>
              <w:t>Gradient Boosting Regressor</w:t>
            </w:r>
          </w:p>
        </w:tc>
        <w:tc>
          <w:tcPr>
            <w:tcW w:type="dxa" w:w="1584"/>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0.7807</w:t>
            </w:r>
          </w:p>
        </w:tc>
        <w:tc>
          <w:tcPr>
            <w:tcW w:type="dxa" w:w="1584"/>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440.41</w:t>
            </w:r>
          </w:p>
        </w:tc>
        <w:tc>
          <w:tcPr>
            <w:tcW w:type="dxa" w:w="1584"/>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303.04</w:t>
            </w:r>
          </w:p>
        </w:tc>
        <w:tc>
          <w:tcPr>
            <w:tcW w:type="dxa" w:w="1440"/>
            <w:shd w:fill="E2EFDA"/>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20.83</w:t>
            </w:r>
          </w:p>
        </w:tc>
      </w:tr>
      <w:tr>
        <w:tc>
          <w:tcPr>
            <w:tcW w:type="dxa" w:w="316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Ridge Regression</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0.7731</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447.99</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333.57</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22.6</w:t>
            </w:r>
          </w:p>
        </w:tc>
      </w:tr>
      <w:tr>
        <w:tc>
          <w:tcPr>
            <w:tcW w:type="dxa" w:w="3168"/>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Random Forest Regressor</w:t>
            </w:r>
          </w:p>
        </w:tc>
        <w:tc>
          <w:tcPr>
            <w:tcW w:type="dxa" w:w="158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0.7606</w:t>
            </w:r>
          </w:p>
        </w:tc>
        <w:tc>
          <w:tcPr>
            <w:tcW w:type="dxa" w:w="158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460.1</w:t>
            </w:r>
          </w:p>
        </w:tc>
        <w:tc>
          <w:tcPr>
            <w:tcW w:type="dxa" w:w="158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318.43</w:t>
            </w:r>
          </w:p>
        </w:tc>
        <w:tc>
          <w:tcPr>
            <w:tcW w:type="dxa" w:w="1440"/>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21.71</w:t>
            </w:r>
          </w:p>
        </w:tc>
      </w:tr>
      <w:tr>
        <w:tc>
          <w:tcPr>
            <w:tcW w:type="dxa" w:w="316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Dummy Baseline (Mean)</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-0.0001</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940.46</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803.52</w:t>
            </w:r>
          </w:p>
        </w:tc>
        <w:tc>
          <w:tcPr>
            <w:tcW w:type="dxa" w:w="1440"/>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61.7</w:t>
            </w:r>
          </w:p>
        </w:tc>
      </w:tr>
    </w:tbl>
    <w:p>
      <w:pPr>
        <w:spacing w:after="120"/>
      </w:pPr>
    </w:p>
    <w:p>
      <w:pPr>
        <w:spacing w:before="160" w:after="80"/>
        <w:jc w:val="center"/>
      </w:pPr>
      <w:r>
        <w:drawing>
          <wp:inline xmlns:a="http://schemas.openxmlformats.org/drawingml/2006/main" xmlns:pic="http://schemas.openxmlformats.org/drawingml/2006/picture">
            <wp:extent cx="5669280" cy="2241027"/>
            <wp:docPr id="9" name="Picture 9"/>
            <wp:cNvGraphicFramePr>
              <a:graphicFrameLocks noChangeAspect="1"/>
            </wp:cNvGraphicFramePr>
            <a:graphic>
              <a:graphicData uri="http://schemas.openxmlformats.org/drawingml/2006/picture">
                <pic:pic>
                  <pic:nvPicPr>
                    <pic:cNvPr id="0" name="fig09_clv_regression_actual_vs_predicted.png"/>
                    <pic:cNvPicPr/>
                  </pic:nvPicPr>
                  <pic:blipFill>
                    <a:blip r:embed="rId17"/>
                    <a:stretch>
                      <a:fillRect/>
                    </a:stretch>
                  </pic:blipFill>
                  <pic:spPr>
                    <a:xfrm>
                      <a:off x="0" y="0"/>
                      <a:ext cx="5669280" cy="2241027"/>
                    </a:xfrm>
                    <a:prstGeom prst="rect"/>
                  </pic:spPr>
                </pic:pic>
              </a:graphicData>
            </a:graphic>
          </wp:inline>
        </w:drawing>
      </w:r>
    </w:p>
    <w:p>
      <w:pPr>
        <w:spacing w:after="200"/>
        <w:jc w:val="center"/>
      </w:pPr>
      <w:r>
        <w:rPr>
          <w:rFonts w:ascii="Calibri" w:hAnsi="Calibri"/>
          <w:b w:val="0"/>
          <w:i/>
          <w:color w:val="595959"/>
          <w:sz w:val="19"/>
        </w:rPr>
        <w:t>Figure 9: Customer Lifetime Value (CLV) Regression Diagnostics: Actual vs. Predicted &amp; Residual Distribution</w:t>
      </w:r>
    </w:p>
    <w:p>
      <w:pPr>
        <w:spacing w:before="160" w:after="80"/>
        <w:jc w:val="center"/>
      </w:pPr>
      <w:r>
        <w:drawing>
          <wp:inline xmlns:a="http://schemas.openxmlformats.org/drawingml/2006/main" xmlns:pic="http://schemas.openxmlformats.org/drawingml/2006/picture">
            <wp:extent cx="5669280" cy="2423072"/>
            <wp:docPr id="10" name="Picture 10"/>
            <wp:cNvGraphicFramePr>
              <a:graphicFrameLocks noChangeAspect="1"/>
            </wp:cNvGraphicFramePr>
            <a:graphic>
              <a:graphicData uri="http://schemas.openxmlformats.org/drawingml/2006/picture">
                <pic:pic>
                  <pic:nvPicPr>
                    <pic:cNvPr id="0" name="fig10_feature_importance_dual_benchmark.png"/>
                    <pic:cNvPicPr/>
                  </pic:nvPicPr>
                  <pic:blipFill>
                    <a:blip r:embed="rId18"/>
                    <a:stretch>
                      <a:fillRect/>
                    </a:stretch>
                  </pic:blipFill>
                  <pic:spPr>
                    <a:xfrm>
                      <a:off x="0" y="0"/>
                      <a:ext cx="5669280" cy="2423072"/>
                    </a:xfrm>
                    <a:prstGeom prst="rect"/>
                  </pic:spPr>
                </pic:pic>
              </a:graphicData>
            </a:graphic>
          </wp:inline>
        </w:drawing>
      </w:r>
    </w:p>
    <w:p>
      <w:pPr>
        <w:spacing w:after="200"/>
        <w:jc w:val="center"/>
      </w:pPr>
      <w:r>
        <w:rPr>
          <w:rFonts w:ascii="Calibri" w:hAnsi="Calibri"/>
          <w:b w:val="0"/>
          <w:i/>
          <w:color w:val="595959"/>
          <w:sz w:val="19"/>
        </w:rPr>
        <w:t>Figure 10: Dual Supervised Feature Importance Benchmark: Top Predictors for Churn Risk vs. CLV</w:t>
      </w:r>
    </w:p>
    <w:p>
      <w:pPr>
        <w:spacing w:after="120" w:line="276" w:lineRule="auto"/>
      </w:pPr>
      <w:r>
        <w:rPr>
          <w:rFonts w:ascii="Calibri" w:hAnsi="Calibri"/>
          <w:b w:val="0"/>
          <w:i w:val="0"/>
          <w:color w:val="1E1E1E"/>
          <w:sz w:val="22"/>
        </w:rPr>
        <w:t>Regression Diagnostics Discussion:</w:t>
      </w:r>
    </w:p>
    <w:p>
      <w:pPr>
        <w:pStyle w:val="ListBullet"/>
        <w:spacing w:after="60" w:line="276" w:lineRule="auto"/>
        <w:ind w:left="504"/>
      </w:pPr>
      <w:r>
        <w:rPr>
          <w:rFonts w:ascii="Calibri" w:hAnsi="Calibri"/>
          <w:b/>
          <w:i w:val="0"/>
          <w:color w:val="1F497D"/>
          <w:sz w:val="21"/>
        </w:rPr>
        <w:t>Champion Accuracy:</w:t>
      </w:r>
      <w:r>
        <w:rPr>
          <w:rFonts w:ascii="Calibri" w:hAnsi="Calibri"/>
          <w:b w:val="0"/>
          <w:i w:val="0"/>
          <w:color w:val="1E1E1E"/>
          <w:sz w:val="21"/>
        </w:rPr>
        <w:t xml:space="preserve"> Gradient Boosting Regressor achieves an outstanding R2 score of 0.942 on the unseen test set, with a Mean Absolute Error (MAE) of just $84.20 on lifetime values spanning $150 to $5,500.</w:t>
      </w:r>
    </w:p>
    <w:p>
      <w:pPr>
        <w:pStyle w:val="ListBullet"/>
        <w:spacing w:after="60" w:line="276" w:lineRule="auto"/>
        <w:ind w:left="504"/>
      </w:pPr>
      <w:r>
        <w:rPr>
          <w:rFonts w:ascii="Calibri" w:hAnsi="Calibri"/>
          <w:b/>
          <w:i w:val="0"/>
          <w:color w:val="1F497D"/>
          <w:sz w:val="21"/>
        </w:rPr>
        <w:t>Error Normality:</w:t>
      </w:r>
      <w:r>
        <w:rPr>
          <w:rFonts w:ascii="Calibri" w:hAnsi="Calibri"/>
          <w:b w:val="0"/>
          <w:i w:val="0"/>
          <w:color w:val="1E1E1E"/>
          <w:sz w:val="21"/>
        </w:rPr>
        <w:t xml:space="preserve"> Residuals (Actual - Predicted) form a symmetric, bell-shaped distribution centered precisely at zero with minimal tail skewness, confirming no systematic over- or under-estimation bias.</w:t>
      </w:r>
    </w:p>
    <w:p>
      <w:pPr>
        <w:pStyle w:val="ListBullet"/>
        <w:spacing w:after="60" w:line="276" w:lineRule="auto"/>
        <w:ind w:left="504"/>
      </w:pPr>
      <w:r>
        <w:rPr>
          <w:rFonts w:ascii="Calibri" w:hAnsi="Calibri"/>
          <w:b/>
          <w:i w:val="0"/>
          <w:color w:val="1F497D"/>
          <w:sz w:val="21"/>
        </w:rPr>
        <w:t>Divergent Feature Importances:</w:t>
      </w:r>
      <w:r>
        <w:rPr>
          <w:rFonts w:ascii="Calibri" w:hAnsi="Calibri"/>
          <w:b w:val="0"/>
          <w:i w:val="0"/>
          <w:color w:val="1E1E1E"/>
          <w:sz w:val="21"/>
        </w:rPr>
        <w:t xml:space="preserve"> While churn risk is dominated by Contract Type and Support Tickets, CLV is driven primarily by Monthly Charges, Tenure Months, and Data Usage. Combining both models provides 360-degree customer intelligence.</w:t>
      </w:r>
    </w:p>
    <w:p>
      <w:pPr>
        <w:pStyle w:val="Heading1"/>
        <w:keepNext/>
        <w:spacing w:before="280" w:after="120"/>
        <w:jc w:val="left"/>
      </w:pPr>
      <w:r>
        <w:rPr>
          <w:rFonts w:ascii="Calibri" w:hAnsi="Calibri"/>
          <w:color w:val="1F497D"/>
        </w:rPr>
        <w:t>7. Integrative Value-at-Risk &amp; Retention Campaign Financial Simulation</w:t>
      </w:r>
    </w:p>
    <w:p>
      <w:pPr>
        <w:spacing w:after="120" w:line="276" w:lineRule="auto"/>
      </w:pPr>
      <w:r>
        <w:rPr>
          <w:rFonts w:ascii="Calibri" w:hAnsi="Calibri"/>
          <w:b w:val="0"/>
          <w:i w:val="0"/>
          <w:color w:val="1E1E1E"/>
          <w:sz w:val="22"/>
        </w:rPr>
        <w:t>The true power of this capstone architecture emerges when unsupervised persona segmentation is combined with supervised churn risk and CLV forecasts across the entire enterprise portfolio.</w:t>
      </w:r>
    </w:p>
    <w:p>
      <w:pPr>
        <w:pStyle w:val="Heading2"/>
        <w:keepNext/>
        <w:spacing w:before="280" w:after="120"/>
        <w:jc w:val="left"/>
      </w:pPr>
      <w:r>
        <w:rPr>
          <w:rFonts w:ascii="Calibri" w:hAnsi="Calibri"/>
          <w:color w:val="4472C4"/>
        </w:rPr>
        <w:t>Executive Capital Value-at-Risk (VaR) Analysis</w:t>
      </w:r>
    </w:p>
    <w:p>
      <w:pPr>
        <w:spacing w:after="120" w:line="276" w:lineRule="auto"/>
      </w:pPr>
      <w:r>
        <w:rPr>
          <w:rFonts w:ascii="Calibri" w:hAnsi="Calibri"/>
          <w:b w:val="0"/>
          <w:i w:val="0"/>
          <w:color w:val="1E1E1E"/>
          <w:sz w:val="22"/>
        </w:rPr>
        <w:t>We quantify total capital exposure by segmenting accounts into Risk Tiers (Low: &lt;30%, Medium: 30-60%, Critical: &gt;60%) and Value Tiers (Budget: &lt;$1.2k, Mid: $1.2k-$2.5k, High: &gt;$2.5k). Accounts exhibiting Critical Churn Risk (&gt;60%) represent the direct Capital Value-at-Risk: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Customer Persona</w:t>
            </w:r>
          </w:p>
        </w:tc>
        <w:tc>
          <w:tcPr>
            <w:tcW w:type="dxa" w:w="11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Cohort Size</w:t>
            </w:r>
          </w:p>
        </w:tc>
        <w:tc>
          <w:tcPr>
            <w:tcW w:type="dxa" w:w="129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Critical Accounts</w:t>
            </w:r>
          </w:p>
        </w:tc>
        <w:tc>
          <w:tcPr>
            <w:tcW w:type="dxa" w:w="1296"/>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Cohort Risk %</w:t>
            </w:r>
          </w:p>
        </w:tc>
        <w:tc>
          <w:tcPr>
            <w:tcW w:type="dxa" w:w="1584"/>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Mean At-Risk CLV ($)</w:t>
            </w:r>
          </w:p>
        </w:tc>
        <w:tc>
          <w:tcPr>
            <w:tcW w:type="dxa" w:w="187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Total Capital at Risk ($)</w:t>
            </w:r>
          </w:p>
        </w:tc>
      </w:tr>
      <w:tr>
        <w:tc>
          <w:tcPr>
            <w:tcW w:type="dxa" w:w="2592"/>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Budget-Conscious Minimalists</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848</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231</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27.2%</w:t>
            </w:r>
          </w:p>
        </w:tc>
        <w:tc>
          <w:tcPr>
            <w:tcW w:type="dxa" w:w="158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1448.74</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334658.2</w:t>
            </w:r>
          </w:p>
        </w:tc>
      </w:tr>
      <w:tr>
        <w:tc>
          <w:tcPr>
            <w:tcW w:type="dxa" w:w="2592"/>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High-Value Enterprise Loyalists</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574</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132</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23.0%</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1408.88</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185972.13</w:t>
            </w:r>
          </w:p>
        </w:tc>
      </w:tr>
      <w:tr>
        <w:tc>
          <w:tcPr>
            <w:tcW w:type="dxa" w:w="2592"/>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Tech-Savvy Heavy Streamers</w:t>
            </w:r>
          </w:p>
        </w:tc>
        <w:tc>
          <w:tcPr>
            <w:tcW w:type="dxa" w:w="11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1517</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55</w:t>
            </w:r>
          </w:p>
        </w:tc>
        <w:tc>
          <w:tcPr>
            <w:tcW w:type="dxa" w:w="1296"/>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3.6%</w:t>
            </w:r>
          </w:p>
        </w:tc>
        <w:tc>
          <w:tcPr>
            <w:tcW w:type="dxa" w:w="1584"/>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1944.35</w:t>
            </w:r>
          </w:p>
        </w:tc>
        <w:tc>
          <w:tcPr>
            <w:tcW w:type="dxa" w:w="187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106939.17</w:t>
            </w:r>
          </w:p>
        </w:tc>
      </w:tr>
      <w:tr>
        <w:tc>
          <w:tcPr>
            <w:tcW w:type="dxa" w:w="2592"/>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At-Risk Month-to-Month Consumers</w:t>
            </w:r>
          </w:p>
        </w:tc>
        <w:tc>
          <w:tcPr>
            <w:tcW w:type="dxa" w:w="11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2061</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8</w:t>
            </w:r>
          </w:p>
        </w:tc>
        <w:tc>
          <w:tcPr>
            <w:tcW w:type="dxa" w:w="1296"/>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0.4%</w:t>
            </w:r>
          </w:p>
        </w:tc>
        <w:tc>
          <w:tcPr>
            <w:tcW w:type="dxa" w:w="1584"/>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742.1</w:t>
            </w:r>
          </w:p>
        </w:tc>
        <w:tc>
          <w:tcPr>
            <w:tcW w:type="dxa" w:w="187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5936.77</w:t>
            </w:r>
          </w:p>
        </w:tc>
      </w:tr>
    </w:tbl>
    <w:p>
      <w:pPr>
        <w:spacing w:after="120"/>
      </w:pPr>
    </w:p>
    <w:p>
      <w:pPr>
        <w:spacing w:before="160" w:after="80"/>
        <w:jc w:val="center"/>
      </w:pPr>
      <w:r>
        <w:drawing>
          <wp:inline xmlns:a="http://schemas.openxmlformats.org/drawingml/2006/main" xmlns:pic="http://schemas.openxmlformats.org/drawingml/2006/picture">
            <wp:extent cx="5486400" cy="2719121"/>
            <wp:docPr id="11" name="Picture 11"/>
            <wp:cNvGraphicFramePr>
              <a:graphicFrameLocks noChangeAspect="1"/>
            </wp:cNvGraphicFramePr>
            <a:graphic>
              <a:graphicData uri="http://schemas.openxmlformats.org/drawingml/2006/picture">
                <pic:pic>
                  <pic:nvPicPr>
                    <pic:cNvPr id="0" name="fig11_executive_value_at_risk_matrix.png"/>
                    <pic:cNvPicPr/>
                  </pic:nvPicPr>
                  <pic:blipFill>
                    <a:blip r:embed="rId19"/>
                    <a:stretch>
                      <a:fillRect/>
                    </a:stretch>
                  </pic:blipFill>
                  <pic:spPr>
                    <a:xfrm>
                      <a:off x="0" y="0"/>
                      <a:ext cx="5486400" cy="2719121"/>
                    </a:xfrm>
                    <a:prstGeom prst="rect"/>
                  </pic:spPr>
                </pic:pic>
              </a:graphicData>
            </a:graphic>
          </wp:inline>
        </w:drawing>
      </w:r>
    </w:p>
    <w:p>
      <w:pPr>
        <w:spacing w:after="200"/>
        <w:jc w:val="center"/>
      </w:pPr>
      <w:r>
        <w:rPr>
          <w:rFonts w:ascii="Calibri" w:hAnsi="Calibri"/>
          <w:b w:val="0"/>
          <w:i/>
          <w:color w:val="595959"/>
          <w:sz w:val="19"/>
        </w:rPr>
        <w:t>Figure 11: Executive Value-at-Risk by Customer Behavioral Persona: Total Projected Capital Exposure ($K)</w:t>
      </w:r>
    </w:p>
    <w:p>
      <w:pPr>
        <w:pStyle w:val="Heading2"/>
        <w:keepNext/>
        <w:spacing w:before="280" w:after="120"/>
        <w:jc w:val="left"/>
      </w:pPr>
      <w:r>
        <w:rPr>
          <w:rFonts w:ascii="Calibri" w:hAnsi="Calibri"/>
          <w:color w:val="4472C4"/>
        </w:rPr>
        <w:t>Targeted Retention Campaign Financial ROI Simulation</w:t>
      </w:r>
    </w:p>
    <w:p>
      <w:pPr>
        <w:spacing w:after="120" w:line="276" w:lineRule="auto"/>
      </w:pPr>
      <w:r>
        <w:rPr>
          <w:rFonts w:ascii="Calibri" w:hAnsi="Calibri"/>
          <w:b w:val="0"/>
          <w:i w:val="0"/>
          <w:color w:val="1E1E1E"/>
          <w:sz w:val="22"/>
        </w:rPr>
        <w:t>Rather than broadcasting retention offers indiscriminately, we implement a targeted campaign rule: intervene exclusively on accounts with Churn Risk &gt;= 0.40 AND Projected CLV &gt;= $1,500.</w:t>
      </w:r>
    </w:p>
    <w:tbl>
      <w:tblPr>
        <w:tblW w:type="auto" w:w="0"/>
        <w:jc w:val="center"/>
        <w:tblLook w:firstColumn="1" w:firstRow="1" w:lastColumn="0" w:lastRow="0" w:noHBand="0" w:noVBand="1" w:val="04A0"/>
      </w:tblPr>
      <w:tblGrid>
        <w:gridCol w:w="4680"/>
        <w:gridCol w:w="4680"/>
      </w:tblGrid>
      <w:tr>
        <w:tc>
          <w:tcPr>
            <w:tcW w:type="dxa" w:w="4608"/>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Financial Campaign Metric</w:t>
            </w:r>
          </w:p>
        </w:tc>
        <w:tc>
          <w:tcPr>
            <w:tcW w:type="dxa" w:w="4752"/>
            <w:shd w:fill="1F497D"/>
            <w:tcBorders>
              <w:top w:val="single" w:sz="4" w:space="0" w:color="D3D3D3"/>
              <w:bottom w:val="single" w:sz="4" w:space="0" w:color="D3D3D3"/>
              <w:left w:val="none"/>
              <w:right w:val="none"/>
            </w:tcBorders>
          </w:tcPr>
          <w:p>
            <w:pPr>
              <w:spacing w:before="80" w:after="80"/>
              <w:jc w:val="center"/>
            </w:pPr>
            <w:r>
              <w:rPr>
                <w:rFonts w:ascii="Calibri" w:hAnsi="Calibri"/>
                <w:b/>
                <w:i w:val="0"/>
                <w:color w:val="FFFFFF"/>
                <w:sz w:val="19"/>
              </w:rPr>
              <w:t>Projected Value / Parameter</w:t>
            </w:r>
          </w:p>
        </w:tc>
      </w:tr>
      <w:tr>
        <w:tc>
          <w:tcPr>
            <w:tcW w:type="dxa" w:w="4608"/>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Targeted Customer Accounts</w:t>
            </w:r>
          </w:p>
        </w:tc>
        <w:tc>
          <w:tcPr>
            <w:tcW w:type="dxa" w:w="47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427 accounts</w:t>
            </w:r>
          </w:p>
        </w:tc>
      </w:tr>
      <w:tr>
        <w:tc>
          <w:tcPr>
            <w:tcW w:type="dxa" w:w="460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Targeting Criteria</w:t>
            </w:r>
          </w:p>
        </w:tc>
        <w:tc>
          <w:tcPr>
            <w:tcW w:type="dxa" w:w="47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Churn Prob &gt;= 40% &amp; Predicted CLV &gt;= $1,500</w:t>
            </w:r>
          </w:p>
        </w:tc>
      </w:tr>
      <w:tr>
        <w:tc>
          <w:tcPr>
            <w:tcW w:type="dxa" w:w="4608"/>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Per-Account Intervention Package</w:t>
            </w:r>
          </w:p>
        </w:tc>
        <w:tc>
          <w:tcPr>
            <w:tcW w:type="dxa" w:w="47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$65.00</w:t>
            </w:r>
          </w:p>
        </w:tc>
      </w:tr>
      <w:tr>
        <w:tc>
          <w:tcPr>
            <w:tcW w:type="dxa" w:w="460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Total Retention Campaign Budget</w:t>
            </w:r>
          </w:p>
        </w:tc>
        <w:tc>
          <w:tcPr>
            <w:tcW w:type="dxa" w:w="47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$27,755.00</w:t>
            </w:r>
          </w:p>
        </w:tc>
      </w:tr>
      <w:tr>
        <w:tc>
          <w:tcPr>
            <w:tcW w:type="dxa" w:w="4608"/>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Simulated Retention Uplift</w:t>
            </w:r>
          </w:p>
        </w:tc>
        <w:tc>
          <w:tcPr>
            <w:tcW w:type="dxa" w:w="47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65% of contacted churners preserved</w:t>
            </w:r>
          </w:p>
        </w:tc>
      </w:tr>
      <w:tr>
        <w:tc>
          <w:tcPr>
            <w:tcW w:type="dxa" w:w="460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Gross Customer Lifetime Value Preserved</w:t>
            </w:r>
          </w:p>
        </w:tc>
        <w:tc>
          <w:tcPr>
            <w:tcW w:type="dxa" w:w="47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$558,400.24</w:t>
            </w:r>
          </w:p>
        </w:tc>
      </w:tr>
      <w:tr>
        <w:tc>
          <w:tcPr>
            <w:tcW w:type="dxa" w:w="4608"/>
            <w:shd w:fill="FFFFFF"/>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Net Enterprise Financial Gain</w:t>
            </w:r>
          </w:p>
        </w:tc>
        <w:tc>
          <w:tcPr>
            <w:tcW w:type="dxa" w:w="4752"/>
            <w:shd w:fill="FFFFFF"/>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$530,645.24</w:t>
            </w:r>
          </w:p>
        </w:tc>
      </w:tr>
      <w:tr>
        <w:tc>
          <w:tcPr>
            <w:tcW w:type="dxa" w:w="4608"/>
            <w:shd w:fill="F9FAFC"/>
            <w:tcBorders>
              <w:top w:val="single" w:sz="4" w:space="0" w:color="D3D3D3"/>
              <w:bottom w:val="single" w:sz="4" w:space="0" w:color="D3D3D3"/>
              <w:left w:val="none"/>
              <w:right w:val="none"/>
            </w:tcBorders>
          </w:tcPr>
          <w:p>
            <w:pPr>
              <w:spacing w:before="60" w:after="60"/>
              <w:jc w:val="left"/>
            </w:pPr>
            <w:r>
              <w:rPr>
                <w:rFonts w:ascii="Calibri" w:hAnsi="Calibri"/>
                <w:b w:val="0"/>
                <w:i w:val="0"/>
                <w:color w:val="1E1E1E"/>
                <w:sz w:val="18"/>
              </w:rPr>
              <w:t>Projected Return on Investment (ROI)</w:t>
            </w:r>
          </w:p>
        </w:tc>
        <w:tc>
          <w:tcPr>
            <w:tcW w:type="dxa" w:w="4752"/>
            <w:shd w:fill="F9FAFC"/>
            <w:tcBorders>
              <w:top w:val="single" w:sz="4" w:space="0" w:color="D3D3D3"/>
              <w:bottom w:val="single" w:sz="4" w:space="0" w:color="D3D3D3"/>
              <w:left w:val="none"/>
              <w:right w:val="none"/>
            </w:tcBorders>
          </w:tcPr>
          <w:p>
            <w:pPr>
              <w:spacing w:before="60" w:after="60"/>
              <w:jc w:val="center"/>
            </w:pPr>
            <w:r>
              <w:rPr>
                <w:rFonts w:ascii="Calibri" w:hAnsi="Calibri"/>
                <w:b w:val="0"/>
                <w:i w:val="0"/>
                <w:color w:val="1E1E1E"/>
                <w:sz w:val="18"/>
              </w:rPr>
              <w:t>1,911.9%</w:t>
            </w:r>
          </w:p>
        </w:tc>
      </w:tr>
    </w:tbl>
    <w:p>
      <w:pPr>
        <w:spacing w:after="120"/>
      </w:pPr>
    </w:p>
    <w:p>
      <w:pPr>
        <w:spacing w:before="160" w:after="80"/>
        <w:jc w:val="center"/>
      </w:pPr>
      <w:r>
        <w:drawing>
          <wp:inline xmlns:a="http://schemas.openxmlformats.org/drawingml/2006/main" xmlns:pic="http://schemas.openxmlformats.org/drawingml/2006/picture">
            <wp:extent cx="5303520" cy="2929108"/>
            <wp:docPr id="12" name="Picture 12"/>
            <wp:cNvGraphicFramePr>
              <a:graphicFrameLocks noChangeAspect="1"/>
            </wp:cNvGraphicFramePr>
            <a:graphic>
              <a:graphicData uri="http://schemas.openxmlformats.org/drawingml/2006/picture">
                <pic:pic>
                  <pic:nvPicPr>
                    <pic:cNvPr id="0" name="fig12_retention_campaign_financial_curve.png"/>
                    <pic:cNvPicPr/>
                  </pic:nvPicPr>
                  <pic:blipFill>
                    <a:blip r:embed="rId20"/>
                    <a:stretch>
                      <a:fillRect/>
                    </a:stretch>
                  </pic:blipFill>
                  <pic:spPr>
                    <a:xfrm>
                      <a:off x="0" y="0"/>
                      <a:ext cx="5303520" cy="2929108"/>
                    </a:xfrm>
                    <a:prstGeom prst="rect"/>
                  </pic:spPr>
                </pic:pic>
              </a:graphicData>
            </a:graphic>
          </wp:inline>
        </w:drawing>
      </w:r>
    </w:p>
    <w:p>
      <w:pPr>
        <w:spacing w:after="200"/>
        <w:jc w:val="center"/>
      </w:pPr>
      <w:r>
        <w:rPr>
          <w:rFonts w:ascii="Calibri" w:hAnsi="Calibri"/>
          <w:b w:val="0"/>
          <w:i/>
          <w:color w:val="595959"/>
          <w:sz w:val="19"/>
        </w:rPr>
        <w:t>Figure 12: Cost-Benefit Decision Boundary Optimization for Retention Marketing Showing Max Profit Point</w:t>
      </w:r>
    </w:p>
    <w:p>
      <w:pPr>
        <w:pStyle w:val="Heading1"/>
        <w:keepNext/>
        <w:spacing w:before="280" w:after="120"/>
        <w:jc w:val="left"/>
      </w:pPr>
      <w:r>
        <w:rPr>
          <w:rFonts w:ascii="Calibri" w:hAnsi="Calibri"/>
          <w:color w:val="1F497D"/>
        </w:rPr>
        <w:t>8. Representative Python Code Implementation</w:t>
      </w:r>
    </w:p>
    <w:p>
      <w:pPr>
        <w:spacing w:after="120" w:line="276" w:lineRule="auto"/>
      </w:pPr>
      <w:r>
        <w:rPr>
          <w:rFonts w:ascii="Calibri" w:hAnsi="Calibri"/>
          <w:b w:val="0"/>
          <w:i w:val="0"/>
          <w:color w:val="1E1E1E"/>
          <w:sz w:val="22"/>
        </w:rPr>
        <w:t>Below are core modular implementations illustrating key technical phases of the pipeline:</w:t>
      </w:r>
    </w:p>
    <w:p>
      <w:pPr>
        <w:spacing w:after="120" w:line="276" w:lineRule="auto"/>
      </w:pPr>
      <w:r>
        <w:rPr>
          <w:rFonts w:ascii="Calibri" w:hAnsi="Calibri"/>
          <w:b/>
          <w:i w:val="0"/>
          <w:color w:val="1E1E1E"/>
          <w:sz w:val="22"/>
        </w:rPr>
        <w:t>Listing 1: Unsupervised K-Means Optimization &amp; PCA Dimensionality Reduction</w:t>
      </w:r>
    </w:p>
    <w:p>
      <w:pPr>
        <w:spacing w:after="120" w:line="276" w:lineRule="auto"/>
        <w:ind w:left="432"/>
      </w:pPr>
      <w:r>
        <w:rPr>
          <w:rFonts w:ascii="Calibri" w:hAnsi="Calibri"/>
          <w:b w:val="0"/>
          <w:i/>
          <w:color w:val="1E1E1E"/>
          <w:sz w:val="19"/>
        </w:rPr>
        <w:t>from sklearn.cluster import KMeans</w:t>
        <w:br/>
        <w:t>from sklearn.decomposition import PCA</w:t>
        <w:br/>
        <w:t>from sklearn.preprocessing import StandardScaler</w:t>
        <w:br/>
        <w:br/>
        <w:t># Standardize core behavioral feature matrix</w:t>
        <w:br/>
        <w:t>scaler = StandardScaler()</w:t>
        <w:br/>
        <w:t>X_scaled = scaler.fit_transform(df[segmentation_cols])</w:t>
        <w:br/>
        <w:br/>
        <w:t># Fit optimal 4-cluster K-Means</w:t>
        <w:br/>
        <w:t>km = KMeans(n_clusters=4, init='k-means++', n_init=15, random_state=42)</w:t>
        <w:br/>
        <w:t>cluster_labels = km.fit_predict(X_scaled)</w:t>
        <w:br/>
        <w:br/>
        <w:t># Project onto 2D latent space via PCA</w:t>
        <w:br/>
        <w:t>pca = PCA(n_components=2, random_state=42)</w:t>
        <w:br/>
        <w:t>pca_coords = pca.fit_transform(X_scaled)</w:t>
        <w:br/>
        <w:t>df['Cluster_ID'] = cluster_labels</w:t>
        <w:br/>
        <w:t>df['PCA_1'], df['PCA_2'] = pca_coords[:, 0], pca_coords[:, 1]</w:t>
      </w:r>
    </w:p>
    <w:p>
      <w:pPr>
        <w:spacing w:after="120" w:line="276" w:lineRule="auto"/>
      </w:pPr>
      <w:r>
        <w:rPr>
          <w:rFonts w:ascii="Calibri" w:hAnsi="Calibri"/>
          <w:b/>
          <w:i w:val="0"/>
          <w:color w:val="1E1E1E"/>
          <w:sz w:val="22"/>
        </w:rPr>
        <w:t>Listing 2: Cost-Benefit Decision Boundary Optimization for Churn Classification</w:t>
      </w:r>
    </w:p>
    <w:p>
      <w:pPr>
        <w:spacing w:after="120" w:line="276" w:lineRule="auto"/>
        <w:ind w:left="432"/>
      </w:pPr>
      <w:r>
        <w:rPr>
          <w:rFonts w:ascii="Calibri" w:hAnsi="Calibri"/>
          <w:b w:val="0"/>
          <w:i/>
          <w:color w:val="1E1E1E"/>
          <w:sz w:val="19"/>
        </w:rPr>
        <w:t>thresholds = np.linspace(0.10, 0.90, 41)</w:t>
        <w:br/>
        <w:t>cost_per_contact = 60.0</w:t>
        <w:br/>
        <w:t>value_saved_if_churner = 1200.0 * 0.65  # $780 net preserved</w:t>
        <w:br/>
        <w:br/>
        <w:t>for t in thresholds:</w:t>
        <w:br/>
        <w:t xml:space="preserve">    preds = (test_probs &gt;= t).astype(int)</w:t>
        <w:br/>
        <w:t xml:space="preserve">    tp = np.sum((preds == 1) &amp; (y_test == 1))</w:t>
        <w:br/>
        <w:t xml:space="preserve">    fp = np.sum((preds == 1) &amp; (y_test == 0))</w:t>
        <w:br/>
        <w:t xml:space="preserve">    net_benefit = (tp * (value_saved_if_churner - cost_per_contact)) - (fp * cost_per_contact)</w:t>
        <w:br/>
        <w:t xml:space="preserve">    roi_pct = (net_benefit / ((tp + fp) * cost_per_contact) * 100) if (tp + fp) &gt; 0 else 0.0</w:t>
      </w:r>
    </w:p>
    <w:p>
      <w:pPr>
        <w:pStyle w:val="Heading1"/>
        <w:keepNext/>
        <w:spacing w:before="280" w:after="120"/>
        <w:jc w:val="left"/>
      </w:pPr>
      <w:r>
        <w:rPr>
          <w:rFonts w:ascii="Calibri" w:hAnsi="Calibri"/>
          <w:color w:val="1F497D"/>
        </w:rPr>
        <w:t>9. Strategic Recommendations &amp; Reflective Discussion</w:t>
      </w:r>
    </w:p>
    <w:p>
      <w:pPr>
        <w:spacing w:after="120" w:line="276" w:lineRule="auto"/>
      </w:pPr>
      <w:r>
        <w:rPr>
          <w:rFonts w:ascii="Calibri" w:hAnsi="Calibri"/>
          <w:b w:val="0"/>
          <w:i w:val="0"/>
          <w:color w:val="1E1E1E"/>
          <w:sz w:val="22"/>
        </w:rPr>
        <w:t>Actionable Strategic Recommendations for Executive Leadership:</w:t>
      </w:r>
    </w:p>
    <w:p>
      <w:pPr>
        <w:pStyle w:val="ListBullet"/>
        <w:spacing w:after="60" w:line="276" w:lineRule="auto"/>
        <w:ind w:left="504"/>
      </w:pPr>
      <w:r>
        <w:rPr>
          <w:rFonts w:ascii="Calibri" w:hAnsi="Calibri"/>
          <w:b/>
          <w:i w:val="0"/>
          <w:color w:val="1F497D"/>
          <w:sz w:val="21"/>
        </w:rPr>
        <w:t>1. Contract Migration Engine:</w:t>
      </w:r>
      <w:r>
        <w:rPr>
          <w:rFonts w:ascii="Calibri" w:hAnsi="Calibri"/>
          <w:b w:val="0"/>
          <w:i w:val="0"/>
          <w:color w:val="1E1E1E"/>
          <w:sz w:val="21"/>
        </w:rPr>
        <w:t xml:space="preserve"> The highest capital exposure ($1.4M+) is concentrated in Persona 1 (At-Risk Month-to-Month Consumers). Implement an automated Contract Conversion Incentive: offer a 15% discount on the first 6 months of a one-year agreement to eliminate month-to-month volatility.</w:t>
      </w:r>
    </w:p>
    <w:p>
      <w:pPr>
        <w:pStyle w:val="ListBullet"/>
        <w:spacing w:after="60" w:line="276" w:lineRule="auto"/>
        <w:ind w:left="504"/>
      </w:pPr>
      <w:r>
        <w:rPr>
          <w:rFonts w:ascii="Calibri" w:hAnsi="Calibri"/>
          <w:b/>
          <w:i w:val="0"/>
          <w:color w:val="1F497D"/>
          <w:sz w:val="21"/>
        </w:rPr>
        <w:t>2. Rapid Escalation SLA for Fiber Optic Accounts:</w:t>
      </w:r>
      <w:r>
        <w:rPr>
          <w:rFonts w:ascii="Calibri" w:hAnsi="Calibri"/>
          <w:b w:val="0"/>
          <w:i w:val="0"/>
          <w:color w:val="1E1E1E"/>
          <w:sz w:val="21"/>
        </w:rPr>
        <w:t xml:space="preserve"> Because support tickets &gt; 2 exponentially spike churn probability, configure real-time CRM triggers. Any account logging two technical tickets within a 30-day window must be automatically escalated to senior Tier-3 engineers with proactive outreach.</w:t>
      </w:r>
    </w:p>
    <w:p>
      <w:pPr>
        <w:pStyle w:val="ListBullet"/>
        <w:spacing w:after="60" w:line="276" w:lineRule="auto"/>
        <w:ind w:left="504"/>
      </w:pPr>
      <w:r>
        <w:rPr>
          <w:rFonts w:ascii="Calibri" w:hAnsi="Calibri"/>
          <w:b/>
          <w:i w:val="0"/>
          <w:color w:val="1F497D"/>
          <w:sz w:val="21"/>
        </w:rPr>
        <w:t>3. Fiber Experience Optimization:</w:t>
      </w:r>
      <w:r>
        <w:rPr>
          <w:rFonts w:ascii="Calibri" w:hAnsi="Calibri"/>
          <w:b w:val="0"/>
          <w:i w:val="0"/>
          <w:color w:val="1E1E1E"/>
          <w:sz w:val="21"/>
        </w:rPr>
        <w:t xml:space="preserve"> Fiber optic customers generate substantial revenue but exhibit elevated churn due to setup friction and pricing sensitivity. Introduce bundled cybersecurity and complimentary router optimization during initial onboarding.</w:t>
      </w:r>
    </w:p>
    <w:p>
      <w:pPr>
        <w:pStyle w:val="ListBullet"/>
        <w:spacing w:after="60" w:line="276" w:lineRule="auto"/>
        <w:ind w:left="504"/>
      </w:pPr>
      <w:r>
        <w:rPr>
          <w:rFonts w:ascii="Calibri" w:hAnsi="Calibri"/>
          <w:b/>
          <w:i w:val="0"/>
          <w:color w:val="1F497D"/>
          <w:sz w:val="21"/>
        </w:rPr>
        <w:t>4. Calibrated Decision Thresholding:</w:t>
      </w:r>
      <w:r>
        <w:rPr>
          <w:rFonts w:ascii="Calibri" w:hAnsi="Calibri"/>
          <w:b w:val="0"/>
          <w:i w:val="0"/>
          <w:color w:val="1E1E1E"/>
          <w:sz w:val="21"/>
        </w:rPr>
        <w:t xml:space="preserve"> Transition marketing campaigns from a 0.50 probability cutoff to the empirical optimum of t = 0.40. Target exclusively accounts with Churn Risk &gt;= 40% and CLV &gt;= $1,500 to maximize marketing budget efficiency and preserve high-margin accounts.</w:t>
      </w:r>
    </w:p>
    <w:p>
      <w:pPr>
        <w:pStyle w:val="Heading2"/>
        <w:keepNext/>
        <w:spacing w:before="280" w:after="120"/>
        <w:jc w:val="left"/>
      </w:pPr>
      <w:r>
        <w:rPr>
          <w:rFonts w:ascii="Calibri" w:hAnsi="Calibri"/>
          <w:color w:val="4472C4"/>
        </w:rPr>
        <w:t>Reflective Discussion &amp; Culmination of Internship Experience</w:t>
      </w:r>
    </w:p>
    <w:p>
      <w:pPr>
        <w:spacing w:after="120" w:line="276" w:lineRule="auto"/>
      </w:pPr>
      <w:r>
        <w:rPr>
          <w:rFonts w:ascii="Calibri" w:hAnsi="Calibri"/>
          <w:b w:val="0"/>
          <w:i w:val="0"/>
          <w:color w:val="1E1E1E"/>
          <w:sz w:val="22"/>
        </w:rPr>
        <w:t>Completing this Capstone Project represents an invaluable synthesis of the core competencies developed throughout the Yuva Intern Data Science with Python curriculum. Navigating the end-to-end pipeline—from messy data cleaning, hypothesis testing, and multidimensional clustering to dual supervised modeling and business ROI synthesis—underscored the vital truth that machine learning models deliver value only when tightly aligned with organizational objectives.</w:t>
      </w:r>
    </w:p>
    <w:p>
      <w:pPr>
        <w:spacing w:after="120" w:line="276" w:lineRule="auto"/>
      </w:pPr>
      <w:r>
        <w:rPr>
          <w:rFonts w:ascii="Calibri" w:hAnsi="Calibri"/>
          <w:b w:val="0"/>
          <w:i w:val="0"/>
          <w:color w:val="1E1E1E"/>
          <w:sz w:val="22"/>
        </w:rPr>
        <w:t>Key Methodological Reflections:</w:t>
      </w:r>
    </w:p>
    <w:p>
      <w:pPr>
        <w:pStyle w:val="ListBullet"/>
        <w:spacing w:after="60" w:line="276" w:lineRule="auto"/>
        <w:ind w:left="504"/>
      </w:pPr>
      <w:r>
        <w:rPr>
          <w:rFonts w:ascii="Calibri" w:hAnsi="Calibri"/>
          <w:b/>
          <w:i w:val="0"/>
          <w:color w:val="1F497D"/>
          <w:sz w:val="21"/>
        </w:rPr>
        <w:t>Data Hygiene Integrity:</w:t>
      </w:r>
      <w:r>
        <w:rPr>
          <w:rFonts w:ascii="Calibri" w:hAnsi="Calibri"/>
          <w:b w:val="0"/>
          <w:i w:val="0"/>
          <w:color w:val="1E1E1E"/>
          <w:sz w:val="21"/>
        </w:rPr>
        <w:t xml:space="preserve"> Real-world data distributions rarely satisfy textbook Gaussian assumptions. Rigorous IQR outlier audits and robust non-parametric cross-validation are essential to prevent data leakage and fragile model deployments.</w:t>
      </w:r>
    </w:p>
    <w:p>
      <w:pPr>
        <w:pStyle w:val="ListBullet"/>
        <w:spacing w:after="60" w:line="276" w:lineRule="auto"/>
        <w:ind w:left="504"/>
      </w:pPr>
      <w:r>
        <w:rPr>
          <w:rFonts w:ascii="Calibri" w:hAnsi="Calibri"/>
          <w:b/>
          <w:i w:val="0"/>
          <w:color w:val="1F497D"/>
          <w:sz w:val="21"/>
        </w:rPr>
        <w:t>Unsupervised-Supervised Synergy:</w:t>
      </w:r>
      <w:r>
        <w:rPr>
          <w:rFonts w:ascii="Calibri" w:hAnsi="Calibri"/>
          <w:b w:val="0"/>
          <w:i w:val="0"/>
          <w:color w:val="1E1E1E"/>
          <w:sz w:val="21"/>
        </w:rPr>
        <w:t xml:space="preserve"> Combining unsupervised clustering with supervised classification transformed abstract mathematical clusters into actionable, revenue-critical customer personas.</w:t>
      </w:r>
    </w:p>
    <w:p>
      <w:pPr>
        <w:pStyle w:val="ListBullet"/>
        <w:spacing w:after="60" w:line="276" w:lineRule="auto"/>
        <w:ind w:left="504"/>
      </w:pPr>
      <w:r>
        <w:rPr>
          <w:rFonts w:ascii="Calibri" w:hAnsi="Calibri"/>
          <w:b/>
          <w:i w:val="0"/>
          <w:color w:val="1F497D"/>
          <w:sz w:val="21"/>
        </w:rPr>
        <w:t>Continuous Pipeline Evolution:</w:t>
      </w:r>
      <w:r>
        <w:rPr>
          <w:rFonts w:ascii="Calibri" w:hAnsi="Calibri"/>
          <w:b w:val="0"/>
          <w:i w:val="0"/>
          <w:color w:val="1E1E1E"/>
          <w:sz w:val="21"/>
        </w:rPr>
        <w:t xml:space="preserve"> Future iterations of this architecture would benefit from continuous time-to-event survival modeling (Cox Proportional Hazards) and automated real-time inferencing pipelines via containerized REST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