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3B2AA" w14:textId="77777777" w:rsidR="009C71F4" w:rsidRDefault="009C71F4" w:rsidP="009C71F4">
      <w:pPr>
        <w:jc w:val="center"/>
        <w:rPr>
          <w:rFonts w:ascii="Times New Roman" w:hAnsi="Times New Roman" w:cs="Times New Roman"/>
          <w:b/>
          <w:bCs/>
        </w:rPr>
      </w:pPr>
    </w:p>
    <w:p w14:paraId="28E643E0" w14:textId="77777777" w:rsidR="00EC770F" w:rsidRDefault="00EC770F" w:rsidP="009C71F4">
      <w:pPr>
        <w:jc w:val="center"/>
        <w:rPr>
          <w:rFonts w:ascii="Times New Roman" w:hAnsi="Times New Roman" w:cs="Times New Roman"/>
          <w:b/>
          <w:bCs/>
        </w:rPr>
      </w:pPr>
    </w:p>
    <w:p w14:paraId="7569686E" w14:textId="77777777" w:rsidR="00EC770F" w:rsidRDefault="00EC770F" w:rsidP="009C71F4">
      <w:pPr>
        <w:jc w:val="center"/>
        <w:rPr>
          <w:rFonts w:ascii="Times New Roman" w:hAnsi="Times New Roman" w:cs="Times New Roman"/>
          <w:b/>
          <w:bCs/>
        </w:rPr>
      </w:pPr>
    </w:p>
    <w:p w14:paraId="0235AD7D" w14:textId="77777777" w:rsidR="009C71F4" w:rsidRDefault="009C71F4" w:rsidP="009C71F4">
      <w:pPr>
        <w:jc w:val="center"/>
        <w:rPr>
          <w:rFonts w:ascii="Times New Roman" w:hAnsi="Times New Roman" w:cs="Times New Roman"/>
          <w:b/>
          <w:bCs/>
        </w:rPr>
      </w:pPr>
    </w:p>
    <w:p w14:paraId="0E5EA890" w14:textId="77777777" w:rsidR="009C71F4" w:rsidRPr="00EC770F" w:rsidRDefault="009C71F4" w:rsidP="009C71F4">
      <w:pPr>
        <w:jc w:val="center"/>
        <w:rPr>
          <w:rFonts w:ascii="Times New Roman" w:hAnsi="Times New Roman" w:cs="Times New Roman"/>
          <w:b/>
          <w:bCs/>
          <w:sz w:val="32"/>
          <w:szCs w:val="32"/>
        </w:rPr>
      </w:pPr>
    </w:p>
    <w:p w14:paraId="5F46F271" w14:textId="45F8249B" w:rsidR="001317B9" w:rsidRPr="00EC770F" w:rsidRDefault="001317B9" w:rsidP="009C71F4">
      <w:pPr>
        <w:jc w:val="center"/>
        <w:rPr>
          <w:rFonts w:ascii="Times New Roman" w:hAnsi="Times New Roman" w:cs="Times New Roman"/>
          <w:b/>
          <w:bCs/>
          <w:sz w:val="32"/>
          <w:szCs w:val="32"/>
        </w:rPr>
      </w:pPr>
      <w:r w:rsidRPr="00EC770F">
        <w:rPr>
          <w:rFonts w:ascii="Times New Roman" w:hAnsi="Times New Roman" w:cs="Times New Roman"/>
          <w:b/>
          <w:bCs/>
          <w:sz w:val="32"/>
          <w:szCs w:val="32"/>
        </w:rPr>
        <w:t>Meeting the Moment: How Renewable Energy Affects Wholesale Electricity Prices in the Southwest Power Pool</w:t>
      </w:r>
    </w:p>
    <w:p w14:paraId="7FBD066C" w14:textId="77777777" w:rsidR="009C71F4" w:rsidRPr="00EC770F" w:rsidRDefault="009C71F4" w:rsidP="009C71F4">
      <w:pPr>
        <w:jc w:val="center"/>
        <w:rPr>
          <w:rFonts w:ascii="Times New Roman" w:hAnsi="Times New Roman" w:cs="Times New Roman"/>
          <w:b/>
          <w:bCs/>
          <w:sz w:val="32"/>
          <w:szCs w:val="32"/>
        </w:rPr>
      </w:pPr>
    </w:p>
    <w:p w14:paraId="19F72121" w14:textId="7A4FE851" w:rsidR="009C71F4" w:rsidRPr="00EC770F" w:rsidRDefault="009C71F4" w:rsidP="009C71F4">
      <w:pPr>
        <w:jc w:val="center"/>
        <w:rPr>
          <w:rFonts w:ascii="Times New Roman" w:hAnsi="Times New Roman" w:cs="Times New Roman"/>
          <w:b/>
          <w:bCs/>
          <w:sz w:val="32"/>
          <w:szCs w:val="32"/>
        </w:rPr>
      </w:pPr>
      <w:r w:rsidRPr="00EC770F">
        <w:rPr>
          <w:rFonts w:ascii="Times New Roman" w:hAnsi="Times New Roman" w:cs="Times New Roman"/>
          <w:b/>
          <w:bCs/>
          <w:sz w:val="32"/>
          <w:szCs w:val="32"/>
        </w:rPr>
        <w:t>Adam Nutt</w:t>
      </w:r>
    </w:p>
    <w:p w14:paraId="4AAF3191" w14:textId="77777777" w:rsidR="009C71F4" w:rsidRPr="00EC770F" w:rsidRDefault="009C71F4" w:rsidP="009C71F4">
      <w:pPr>
        <w:jc w:val="center"/>
        <w:rPr>
          <w:rFonts w:ascii="Times New Roman" w:hAnsi="Times New Roman" w:cs="Times New Roman"/>
          <w:b/>
          <w:bCs/>
          <w:sz w:val="32"/>
          <w:szCs w:val="32"/>
        </w:rPr>
      </w:pPr>
    </w:p>
    <w:p w14:paraId="45CCA1AA" w14:textId="77777777" w:rsidR="00EC770F" w:rsidRPr="00EC770F" w:rsidRDefault="00EC770F" w:rsidP="009C71F4">
      <w:pPr>
        <w:jc w:val="center"/>
        <w:rPr>
          <w:rFonts w:ascii="Times New Roman" w:hAnsi="Times New Roman" w:cs="Times New Roman"/>
          <w:b/>
          <w:bCs/>
          <w:sz w:val="32"/>
          <w:szCs w:val="32"/>
        </w:rPr>
      </w:pPr>
    </w:p>
    <w:p w14:paraId="228834F2" w14:textId="77777777" w:rsidR="009C71F4" w:rsidRPr="00EC770F" w:rsidRDefault="009C71F4" w:rsidP="009C71F4">
      <w:pPr>
        <w:jc w:val="center"/>
        <w:rPr>
          <w:rFonts w:ascii="Times New Roman" w:hAnsi="Times New Roman" w:cs="Times New Roman"/>
          <w:b/>
          <w:bCs/>
          <w:sz w:val="32"/>
          <w:szCs w:val="32"/>
        </w:rPr>
      </w:pPr>
    </w:p>
    <w:p w14:paraId="3B4B55D1" w14:textId="3C96D8B4" w:rsidR="009C71F4" w:rsidRDefault="009C71F4" w:rsidP="009C71F4">
      <w:pPr>
        <w:jc w:val="center"/>
        <w:rPr>
          <w:rFonts w:ascii="Times New Roman" w:hAnsi="Times New Roman" w:cs="Times New Roman"/>
          <w:b/>
          <w:bCs/>
          <w:sz w:val="32"/>
          <w:szCs w:val="32"/>
        </w:rPr>
      </w:pPr>
      <w:r w:rsidRPr="00EC770F">
        <w:rPr>
          <w:rFonts w:ascii="Times New Roman" w:hAnsi="Times New Roman" w:cs="Times New Roman"/>
          <w:b/>
          <w:bCs/>
          <w:sz w:val="32"/>
          <w:szCs w:val="32"/>
        </w:rPr>
        <w:t>Abstract</w:t>
      </w:r>
    </w:p>
    <w:p w14:paraId="06B97655" w14:textId="77777777" w:rsidR="00A83D5A" w:rsidRPr="00EC770F" w:rsidRDefault="00A83D5A" w:rsidP="009C71F4">
      <w:pPr>
        <w:jc w:val="center"/>
        <w:rPr>
          <w:rFonts w:ascii="Times New Roman" w:hAnsi="Times New Roman" w:cs="Times New Roman"/>
          <w:b/>
          <w:bCs/>
          <w:sz w:val="32"/>
          <w:szCs w:val="32"/>
        </w:rPr>
      </w:pPr>
    </w:p>
    <w:p w14:paraId="0CD1AE1A" w14:textId="5ECB53C1" w:rsidR="001317B9" w:rsidRDefault="00B21B90" w:rsidP="009C71F4">
      <w:pPr>
        <w:jc w:val="center"/>
        <w:rPr>
          <w:rFonts w:ascii="Times New Roman" w:hAnsi="Times New Roman" w:cs="Times New Roman"/>
        </w:rPr>
      </w:pPr>
      <w:r w:rsidRPr="00B21B90">
        <w:rPr>
          <w:rFonts w:ascii="Times New Roman" w:hAnsi="Times New Roman" w:cs="Times New Roman"/>
        </w:rPr>
        <w:t xml:space="preserve">This paper examines the relationship between renewable energy penetration and hourly wholesale electricity prices in the Southwest Power Pool. Using 51,143 hourly observations from 2020 to 2025, I estimate models that regress systemwide locational marginal prices on renewable share, system demand, natural gas prices, and structural break indicators for the COVID-19 period and the Russia–Ukraine war. A second </w:t>
      </w:r>
      <w:r w:rsidR="00E51631">
        <w:rPr>
          <w:rFonts w:ascii="Times New Roman" w:hAnsi="Times New Roman" w:cs="Times New Roman"/>
        </w:rPr>
        <w:t>model</w:t>
      </w:r>
      <w:r w:rsidRPr="00B21B90">
        <w:rPr>
          <w:rFonts w:ascii="Times New Roman" w:hAnsi="Times New Roman" w:cs="Times New Roman"/>
        </w:rPr>
        <w:t xml:space="preserve"> adds hour, day-of-week, and month fixed effects to account for predictable patterns in price formation. Across both models, renewable share exerts a statistically significant and economically meaningful downward effect on LMP, consistent with the merit order </w:t>
      </w:r>
      <w:r w:rsidR="00F9692F">
        <w:rPr>
          <w:rFonts w:ascii="Times New Roman" w:hAnsi="Times New Roman" w:cs="Times New Roman"/>
        </w:rPr>
        <w:t>effect</w:t>
      </w:r>
      <w:r w:rsidRPr="00B21B90">
        <w:rPr>
          <w:rFonts w:ascii="Times New Roman" w:hAnsi="Times New Roman" w:cs="Times New Roman"/>
        </w:rPr>
        <w:t xml:space="preserve"> documented in ERCOT, CAISO, and European markets. The coefficients imply that each percentage-point increase in renewable penetration lowers hourly LMP by roughly </w:t>
      </w:r>
      <w:r w:rsidR="000D34D3">
        <w:rPr>
          <w:rFonts w:ascii="Times New Roman" w:hAnsi="Times New Roman" w:cs="Times New Roman"/>
        </w:rPr>
        <w:t>$1.19-1.36/</w:t>
      </w:r>
      <w:r w:rsidRPr="00B21B90">
        <w:rPr>
          <w:rFonts w:ascii="Times New Roman" w:hAnsi="Times New Roman" w:cs="Times New Roman"/>
        </w:rPr>
        <w:t>MWh. These findings indicate that continued renewable deployment in SPP will contribute to lower wholesale energy costs and reshape procurement strategies for utilities such as Omaha Public Power District.</w:t>
      </w:r>
    </w:p>
    <w:p w14:paraId="5FB0E3EC" w14:textId="77777777" w:rsidR="000D34D3" w:rsidRPr="001317B9" w:rsidRDefault="000D34D3" w:rsidP="009C71F4">
      <w:pPr>
        <w:jc w:val="center"/>
        <w:rPr>
          <w:rFonts w:ascii="Times New Roman" w:hAnsi="Times New Roman" w:cs="Times New Roman"/>
          <w:b/>
          <w:bCs/>
        </w:rPr>
      </w:pPr>
    </w:p>
    <w:p w14:paraId="1740C103" w14:textId="77777777" w:rsidR="001317B9" w:rsidRPr="001317B9" w:rsidRDefault="001317B9" w:rsidP="009C71F4">
      <w:pPr>
        <w:jc w:val="center"/>
        <w:rPr>
          <w:rFonts w:ascii="Times New Roman" w:hAnsi="Times New Roman" w:cs="Times New Roman"/>
          <w:b/>
          <w:bCs/>
        </w:rPr>
      </w:pPr>
    </w:p>
    <w:p w14:paraId="476C270F" w14:textId="77777777" w:rsidR="00EC770F" w:rsidRDefault="00EC770F" w:rsidP="001317B9">
      <w:pPr>
        <w:spacing w:line="480" w:lineRule="auto"/>
        <w:rPr>
          <w:rFonts w:ascii="Times New Roman" w:hAnsi="Times New Roman" w:cs="Times New Roman"/>
          <w:b/>
          <w:bCs/>
        </w:rPr>
      </w:pPr>
    </w:p>
    <w:p w14:paraId="51066EDE" w14:textId="77777777" w:rsidR="00036D5C" w:rsidRPr="00C70DDC" w:rsidRDefault="00036D5C" w:rsidP="00036D5C">
      <w:pPr>
        <w:spacing w:line="480" w:lineRule="auto"/>
        <w:rPr>
          <w:rFonts w:ascii="Times New Roman" w:hAnsi="Times New Roman" w:cs="Times New Roman"/>
          <w:b/>
          <w:bCs/>
          <w:sz w:val="28"/>
          <w:szCs w:val="28"/>
        </w:rPr>
      </w:pPr>
      <w:r w:rsidRPr="00C70DDC">
        <w:rPr>
          <w:rFonts w:ascii="Times New Roman" w:hAnsi="Times New Roman" w:cs="Times New Roman"/>
          <w:b/>
          <w:bCs/>
          <w:sz w:val="28"/>
          <w:szCs w:val="28"/>
        </w:rPr>
        <w:lastRenderedPageBreak/>
        <w:t>Introduction</w:t>
      </w:r>
    </w:p>
    <w:p w14:paraId="7ED808B8" w14:textId="369253BF" w:rsidR="00036D5C" w:rsidRPr="001317B9" w:rsidRDefault="00036D5C" w:rsidP="00036D5C">
      <w:pPr>
        <w:spacing w:line="480" w:lineRule="auto"/>
        <w:ind w:firstLine="720"/>
        <w:rPr>
          <w:rFonts w:ascii="Times New Roman" w:hAnsi="Times New Roman" w:cs="Times New Roman"/>
        </w:rPr>
      </w:pPr>
      <w:r w:rsidRPr="001317B9">
        <w:rPr>
          <w:rFonts w:ascii="Times New Roman" w:hAnsi="Times New Roman" w:cs="Times New Roman"/>
        </w:rPr>
        <w:t xml:space="preserve">Wholesale electricity markets in the United States have undergone major structural change over the past fifteen years as renewable energy resources have expanded and increasingly </w:t>
      </w:r>
      <w:r w:rsidR="00424321">
        <w:rPr>
          <w:rFonts w:ascii="Times New Roman" w:hAnsi="Times New Roman" w:cs="Times New Roman"/>
        </w:rPr>
        <w:t>influence</w:t>
      </w:r>
      <w:r w:rsidRPr="001317B9">
        <w:rPr>
          <w:rFonts w:ascii="Times New Roman" w:hAnsi="Times New Roman" w:cs="Times New Roman"/>
        </w:rPr>
        <w:t xml:space="preserve"> marginal prices in regional markets. The Southwest Power Pool (SPP) exemplifies this transformation. Wind capacity in SPP has grown faster than in almost any other I</w:t>
      </w:r>
      <w:r>
        <w:rPr>
          <w:rFonts w:ascii="Times New Roman" w:hAnsi="Times New Roman" w:cs="Times New Roman"/>
        </w:rPr>
        <w:t>ndependent System Operator (ISO)</w:t>
      </w:r>
      <w:r w:rsidRPr="001317B9">
        <w:rPr>
          <w:rFonts w:ascii="Times New Roman" w:hAnsi="Times New Roman" w:cs="Times New Roman"/>
        </w:rPr>
        <w:t xml:space="preserve">, and the region now routinely experiences hours where renewable resources provide more than half of total generation. Because renewables have near-zero marginal operating costs, their increasing penetration alters the supply curve, displacing higher-cost </w:t>
      </w:r>
      <w:r>
        <w:rPr>
          <w:rFonts w:ascii="Times New Roman" w:hAnsi="Times New Roman" w:cs="Times New Roman"/>
        </w:rPr>
        <w:t xml:space="preserve">fuels </w:t>
      </w:r>
      <w:r w:rsidRPr="001317B9">
        <w:rPr>
          <w:rFonts w:ascii="Times New Roman" w:hAnsi="Times New Roman" w:cs="Times New Roman"/>
        </w:rPr>
        <w:t xml:space="preserve">and lowering the equilibrium marginal price. This </w:t>
      </w:r>
      <w:r>
        <w:rPr>
          <w:rFonts w:ascii="Times New Roman" w:hAnsi="Times New Roman" w:cs="Times New Roman"/>
        </w:rPr>
        <w:t>is</w:t>
      </w:r>
      <w:r w:rsidRPr="001317B9">
        <w:rPr>
          <w:rFonts w:ascii="Times New Roman" w:hAnsi="Times New Roman" w:cs="Times New Roman"/>
        </w:rPr>
        <w:t xml:space="preserve"> widely known as the merit order effect</w:t>
      </w:r>
      <w:r>
        <w:rPr>
          <w:rFonts w:ascii="Times New Roman" w:hAnsi="Times New Roman" w:cs="Times New Roman"/>
        </w:rPr>
        <w:t xml:space="preserve"> and</w:t>
      </w:r>
      <w:r w:rsidRPr="001317B9">
        <w:rPr>
          <w:rFonts w:ascii="Times New Roman" w:hAnsi="Times New Roman" w:cs="Times New Roman"/>
        </w:rPr>
        <w:t xml:space="preserve"> has been documented in several </w:t>
      </w:r>
      <w:proofErr w:type="gramStart"/>
      <w:r w:rsidRPr="001317B9">
        <w:rPr>
          <w:rFonts w:ascii="Times New Roman" w:hAnsi="Times New Roman" w:cs="Times New Roman"/>
        </w:rPr>
        <w:t>markets</w:t>
      </w:r>
      <w:r w:rsidR="00424321">
        <w:rPr>
          <w:rFonts w:ascii="Times New Roman" w:hAnsi="Times New Roman" w:cs="Times New Roman"/>
        </w:rPr>
        <w:t>,</w:t>
      </w:r>
      <w:r>
        <w:rPr>
          <w:rFonts w:ascii="Times New Roman" w:hAnsi="Times New Roman" w:cs="Times New Roman"/>
        </w:rPr>
        <w:t xml:space="preserve"> but</w:t>
      </w:r>
      <w:proofErr w:type="gramEnd"/>
      <w:r w:rsidRPr="001317B9">
        <w:rPr>
          <w:rFonts w:ascii="Times New Roman" w:hAnsi="Times New Roman" w:cs="Times New Roman"/>
        </w:rPr>
        <w:t xml:space="preserve"> has received relatively limited empirical attention in SPP despite its rapidly changing resource mix</w:t>
      </w:r>
      <w:r>
        <w:rPr>
          <w:rFonts w:ascii="Times New Roman" w:hAnsi="Times New Roman" w:cs="Times New Roman"/>
        </w:rPr>
        <w:t xml:space="preserve"> and broad service area</w:t>
      </w:r>
      <w:r w:rsidRPr="001317B9">
        <w:rPr>
          <w:rFonts w:ascii="Times New Roman" w:hAnsi="Times New Roman" w:cs="Times New Roman"/>
        </w:rPr>
        <w:t>.</w:t>
      </w:r>
    </w:p>
    <w:p w14:paraId="40D38563" w14:textId="0DEAFB4F" w:rsidR="00036D5C" w:rsidRPr="001317B9" w:rsidRDefault="00036D5C" w:rsidP="00036D5C">
      <w:pPr>
        <w:spacing w:line="480" w:lineRule="auto"/>
        <w:ind w:firstLine="720"/>
        <w:rPr>
          <w:rFonts w:ascii="Times New Roman" w:hAnsi="Times New Roman" w:cs="Times New Roman"/>
        </w:rPr>
      </w:pPr>
      <w:r w:rsidRPr="001317B9">
        <w:rPr>
          <w:rFonts w:ascii="Times New Roman" w:hAnsi="Times New Roman" w:cs="Times New Roman"/>
        </w:rPr>
        <w:t xml:space="preserve">Understanding this relationship is important for market participants such as my client, Omaha Public Power District (OPPD), which procures energy from SPP’s Integrated Marketplace and must continually adjust operational and investment decisions to evolving pricing dynamics. </w:t>
      </w:r>
      <w:r>
        <w:rPr>
          <w:rFonts w:ascii="Times New Roman" w:hAnsi="Times New Roman" w:cs="Times New Roman"/>
        </w:rPr>
        <w:t xml:space="preserve">This provides insight </w:t>
      </w:r>
      <w:proofErr w:type="gramStart"/>
      <w:r>
        <w:rPr>
          <w:rFonts w:ascii="Times New Roman" w:hAnsi="Times New Roman" w:cs="Times New Roman"/>
        </w:rPr>
        <w:t>for</w:t>
      </w:r>
      <w:proofErr w:type="gramEnd"/>
      <w:r>
        <w:rPr>
          <w:rFonts w:ascii="Times New Roman" w:hAnsi="Times New Roman" w:cs="Times New Roman"/>
        </w:rPr>
        <w:t xml:space="preserve"> OPPD as they continue to work towards their ambitious net-zero goals. It also comes at a time </w:t>
      </w:r>
      <w:proofErr w:type="gramStart"/>
      <w:r>
        <w:rPr>
          <w:rFonts w:ascii="Times New Roman" w:hAnsi="Times New Roman" w:cs="Times New Roman"/>
        </w:rPr>
        <w:t>where</w:t>
      </w:r>
      <w:proofErr w:type="gramEnd"/>
      <w:r>
        <w:rPr>
          <w:rFonts w:ascii="Times New Roman" w:hAnsi="Times New Roman" w:cs="Times New Roman"/>
        </w:rPr>
        <w:t xml:space="preserve"> energy prices are rising due to</w:t>
      </w:r>
      <w:r w:rsidR="00424321">
        <w:rPr>
          <w:rFonts w:ascii="Times New Roman" w:hAnsi="Times New Roman" w:cs="Times New Roman"/>
        </w:rPr>
        <w:t xml:space="preserve"> physically</w:t>
      </w:r>
      <w:r>
        <w:rPr>
          <w:rFonts w:ascii="Times New Roman" w:hAnsi="Times New Roman" w:cs="Times New Roman"/>
        </w:rPr>
        <w:t xml:space="preserve"> replacing aging infrastructure and data centers coming online, disrupting electricity markets. As a result, gas and electric utilities saw the largest price increases over the previous 12 months (Peters, 2025). </w:t>
      </w:r>
      <w:r w:rsidRPr="001317B9">
        <w:rPr>
          <w:rFonts w:ascii="Times New Roman" w:hAnsi="Times New Roman" w:cs="Times New Roman"/>
        </w:rPr>
        <w:t>Accurate knowledge of how renewable penetration affects wholesale prices helps utilities anticipate revenue adequacy, evaluate the cost-effectiveness of hedging strategies, plan fuel procurement, and assess long-run investment in generation and transmission assets.</w:t>
      </w:r>
    </w:p>
    <w:p w14:paraId="0DB0FB43" w14:textId="77777777" w:rsidR="00036D5C" w:rsidRPr="001317B9" w:rsidRDefault="00036D5C" w:rsidP="00036D5C">
      <w:pPr>
        <w:spacing w:line="480" w:lineRule="auto"/>
        <w:ind w:firstLine="720"/>
        <w:rPr>
          <w:rFonts w:ascii="Times New Roman" w:hAnsi="Times New Roman" w:cs="Times New Roman"/>
        </w:rPr>
      </w:pPr>
      <w:r w:rsidRPr="001317B9">
        <w:rPr>
          <w:rFonts w:ascii="Times New Roman" w:hAnsi="Times New Roman" w:cs="Times New Roman"/>
        </w:rPr>
        <w:lastRenderedPageBreak/>
        <w:t xml:space="preserve">This paper seeks to answer the following question: </w:t>
      </w:r>
      <w:r w:rsidRPr="001317B9">
        <w:rPr>
          <w:rFonts w:ascii="Times New Roman" w:hAnsi="Times New Roman" w:cs="Times New Roman"/>
          <w:i/>
          <w:iCs/>
        </w:rPr>
        <w:t>How does the share of renewable energy in the generation mix affect average wholesale electricity prices in SPP?</w:t>
      </w:r>
      <w:r w:rsidRPr="001317B9">
        <w:rPr>
          <w:rFonts w:ascii="Times New Roman" w:hAnsi="Times New Roman" w:cs="Times New Roman"/>
        </w:rPr>
        <w:t xml:space="preserve"> To address this, I construct two econometric models using over 51,000 hourly observations. The first provides a baseline estimate of the relationship between renewable share and LMP while controlling for demand, natural gas prices, and structural break indicators associated with the COVID-19 pandemic and the Russia-Ukraine war. The second introduces hour, day-of-week, and month fixed effects to capture systematic intraday and seasonal variation that strongly influences electricity prices.</w:t>
      </w:r>
    </w:p>
    <w:p w14:paraId="59A3FA14" w14:textId="14F2D122" w:rsidR="00036D5C" w:rsidRPr="001317B9" w:rsidRDefault="00036D5C" w:rsidP="00036D5C">
      <w:pPr>
        <w:spacing w:line="480" w:lineRule="auto"/>
        <w:ind w:firstLine="720"/>
        <w:rPr>
          <w:rFonts w:ascii="Times New Roman" w:hAnsi="Times New Roman" w:cs="Times New Roman"/>
        </w:rPr>
      </w:pPr>
      <w:r w:rsidRPr="001317B9">
        <w:rPr>
          <w:rFonts w:ascii="Times New Roman" w:hAnsi="Times New Roman" w:cs="Times New Roman"/>
        </w:rPr>
        <w:t xml:space="preserve">The results from both models show a large and statistically significant negative association between renewable share and LMP. These findings are consistent with merit order theory and comparable to estimated effects in </w:t>
      </w:r>
      <w:r>
        <w:rPr>
          <w:rFonts w:ascii="Times New Roman" w:hAnsi="Times New Roman" w:cs="Times New Roman"/>
        </w:rPr>
        <w:t xml:space="preserve">CAISO, </w:t>
      </w:r>
      <w:r w:rsidRPr="001317B9">
        <w:rPr>
          <w:rFonts w:ascii="Times New Roman" w:hAnsi="Times New Roman" w:cs="Times New Roman"/>
        </w:rPr>
        <w:t>ERCOT</w:t>
      </w:r>
      <w:r>
        <w:rPr>
          <w:rFonts w:ascii="Times New Roman" w:hAnsi="Times New Roman" w:cs="Times New Roman"/>
        </w:rPr>
        <w:t>,</w:t>
      </w:r>
      <w:r w:rsidRPr="001317B9">
        <w:rPr>
          <w:rFonts w:ascii="Times New Roman" w:hAnsi="Times New Roman" w:cs="Times New Roman"/>
        </w:rPr>
        <w:t xml:space="preserve"> and European electricity markets. The contribution of this paper is it supplies new empirical evidence on the merit order effect within SPP, a market where renewable penetration continues to rise and where price dynamics have direct implications for utilities such as OPPD. </w:t>
      </w:r>
      <w:r w:rsidR="00CA1782">
        <w:rPr>
          <w:rFonts w:ascii="Times New Roman" w:hAnsi="Times New Roman" w:cs="Times New Roman"/>
        </w:rPr>
        <w:t>I</w:t>
      </w:r>
      <w:r w:rsidRPr="001317B9">
        <w:rPr>
          <w:rFonts w:ascii="Times New Roman" w:hAnsi="Times New Roman" w:cs="Times New Roman"/>
        </w:rPr>
        <w:t xml:space="preserve">t </w:t>
      </w:r>
      <w:r>
        <w:rPr>
          <w:rFonts w:ascii="Times New Roman" w:hAnsi="Times New Roman" w:cs="Times New Roman"/>
        </w:rPr>
        <w:t>provides research on</w:t>
      </w:r>
      <w:r w:rsidRPr="001317B9">
        <w:rPr>
          <w:rFonts w:ascii="Times New Roman" w:hAnsi="Times New Roman" w:cs="Times New Roman"/>
        </w:rPr>
        <w:t xml:space="preserve"> SPP that uses high-frequency market data to examine how renewable resources reshape </w:t>
      </w:r>
      <w:r w:rsidR="00CA1782">
        <w:rPr>
          <w:rFonts w:ascii="Times New Roman" w:hAnsi="Times New Roman" w:cs="Times New Roman"/>
        </w:rPr>
        <w:t>prices</w:t>
      </w:r>
      <w:r w:rsidRPr="001317B9">
        <w:rPr>
          <w:rFonts w:ascii="Times New Roman" w:hAnsi="Times New Roman" w:cs="Times New Roman"/>
        </w:rPr>
        <w:t xml:space="preserve"> in wholesale markets.</w:t>
      </w:r>
    </w:p>
    <w:p w14:paraId="02BDA8B6" w14:textId="77777777" w:rsidR="00036D5C" w:rsidRPr="00C70DDC" w:rsidRDefault="00036D5C" w:rsidP="00036D5C">
      <w:pPr>
        <w:spacing w:line="480" w:lineRule="auto"/>
        <w:rPr>
          <w:rFonts w:ascii="Times New Roman" w:hAnsi="Times New Roman" w:cs="Times New Roman"/>
          <w:b/>
          <w:bCs/>
          <w:sz w:val="28"/>
          <w:szCs w:val="28"/>
        </w:rPr>
      </w:pPr>
      <w:r w:rsidRPr="00C70DDC">
        <w:rPr>
          <w:rFonts w:ascii="Times New Roman" w:hAnsi="Times New Roman" w:cs="Times New Roman"/>
          <w:b/>
          <w:bCs/>
          <w:sz w:val="28"/>
          <w:szCs w:val="28"/>
        </w:rPr>
        <w:t>Literature Review</w:t>
      </w:r>
    </w:p>
    <w:p w14:paraId="40FE009E" w14:textId="292645A2" w:rsidR="00036D5C" w:rsidRPr="00B12305" w:rsidRDefault="00036D5C" w:rsidP="00036D5C">
      <w:pPr>
        <w:spacing w:line="480" w:lineRule="auto"/>
        <w:ind w:firstLine="720"/>
        <w:rPr>
          <w:rFonts w:ascii="Times New Roman" w:hAnsi="Times New Roman" w:cs="Times New Roman"/>
        </w:rPr>
      </w:pPr>
      <w:r w:rsidRPr="00B12305">
        <w:rPr>
          <w:rFonts w:ascii="Times New Roman" w:hAnsi="Times New Roman" w:cs="Times New Roman"/>
        </w:rPr>
        <w:t xml:space="preserve">The studies reviewed collectively span different markets, data structures, and econometric approaches, but they </w:t>
      </w:r>
      <w:r w:rsidR="00CA1782">
        <w:rPr>
          <w:rFonts w:ascii="Times New Roman" w:hAnsi="Times New Roman" w:cs="Times New Roman"/>
        </w:rPr>
        <w:t>share</w:t>
      </w:r>
      <w:r w:rsidRPr="00B12305">
        <w:rPr>
          <w:rFonts w:ascii="Times New Roman" w:hAnsi="Times New Roman" w:cs="Times New Roman"/>
        </w:rPr>
        <w:t xml:space="preserve"> the </w:t>
      </w:r>
      <w:r w:rsidR="00CA1782">
        <w:rPr>
          <w:rFonts w:ascii="Times New Roman" w:hAnsi="Times New Roman" w:cs="Times New Roman"/>
        </w:rPr>
        <w:t>view that renewables exert downward pressure on marginal electricity prices through the merit-order</w:t>
      </w:r>
      <w:r w:rsidRPr="00B12305">
        <w:rPr>
          <w:rFonts w:ascii="Times New Roman" w:hAnsi="Times New Roman" w:cs="Times New Roman"/>
        </w:rPr>
        <w:t xml:space="preserve"> effect. Each study provides insights that inform the expectations, modeling choices, and interpretation of results in this paper. </w:t>
      </w:r>
    </w:p>
    <w:p w14:paraId="6B6A9792" w14:textId="71C496F7" w:rsidR="00036D5C" w:rsidRPr="00B12305" w:rsidRDefault="00036D5C" w:rsidP="00036D5C">
      <w:pPr>
        <w:spacing w:line="480" w:lineRule="auto"/>
        <w:ind w:firstLine="720"/>
        <w:rPr>
          <w:rFonts w:ascii="Times New Roman" w:hAnsi="Times New Roman" w:cs="Times New Roman"/>
        </w:rPr>
      </w:pPr>
      <w:r w:rsidRPr="00B12305">
        <w:rPr>
          <w:rFonts w:ascii="Times New Roman" w:hAnsi="Times New Roman" w:cs="Times New Roman"/>
        </w:rPr>
        <w:lastRenderedPageBreak/>
        <w:t xml:space="preserve">The first closely related study is Tsai and </w:t>
      </w:r>
      <w:proofErr w:type="spellStart"/>
      <w:r w:rsidRPr="00B12305">
        <w:rPr>
          <w:rFonts w:ascii="Times New Roman" w:hAnsi="Times New Roman" w:cs="Times New Roman"/>
        </w:rPr>
        <w:t>Eryilmaz</w:t>
      </w:r>
      <w:proofErr w:type="spellEnd"/>
      <w:r w:rsidRPr="00B12305">
        <w:rPr>
          <w:rFonts w:ascii="Times New Roman" w:hAnsi="Times New Roman" w:cs="Times New Roman"/>
        </w:rPr>
        <w:t xml:space="preserve"> (2018), which investigates the effect of wind generation on ERCOT nodal prices using a high-frequency panel dataset. They regress nodal settlement point prices on system load, wind generation, and natural gas prices, incorporating resource-node fixed effects and seasonal controls. Their results show that additional wind generation significantly reduces real-time prices, with estimated effects ranging from roughly −</w:t>
      </w:r>
      <w:r>
        <w:rPr>
          <w:rFonts w:ascii="Times New Roman" w:hAnsi="Times New Roman" w:cs="Times New Roman"/>
        </w:rPr>
        <w:t>$</w:t>
      </w:r>
      <w:r w:rsidRPr="00B12305">
        <w:rPr>
          <w:rFonts w:ascii="Times New Roman" w:hAnsi="Times New Roman" w:cs="Times New Roman"/>
        </w:rPr>
        <w:t>1.45 to −</w:t>
      </w:r>
      <w:r>
        <w:rPr>
          <w:rFonts w:ascii="Times New Roman" w:hAnsi="Times New Roman" w:cs="Times New Roman"/>
        </w:rPr>
        <w:t>$</w:t>
      </w:r>
      <w:r w:rsidRPr="00B12305">
        <w:rPr>
          <w:rFonts w:ascii="Times New Roman" w:hAnsi="Times New Roman" w:cs="Times New Roman"/>
        </w:rPr>
        <w:t>4.45 per MWh per additional 1000 MW of wind. Their approach is particularly relevant because ERCOT and SPP share similar characteristics, including high wind penetration and real-time LMP-based pricing. Their model structure, relian</w:t>
      </w:r>
      <w:r w:rsidR="00CA1782">
        <w:rPr>
          <w:rFonts w:ascii="Times New Roman" w:hAnsi="Times New Roman" w:cs="Times New Roman"/>
        </w:rPr>
        <w:t>t</w:t>
      </w:r>
      <w:r w:rsidRPr="00B12305">
        <w:rPr>
          <w:rFonts w:ascii="Times New Roman" w:hAnsi="Times New Roman" w:cs="Times New Roman"/>
        </w:rPr>
        <w:t xml:space="preserve"> on hourly</w:t>
      </w:r>
      <w:r w:rsidR="00CA1782">
        <w:rPr>
          <w:rFonts w:ascii="Times New Roman" w:hAnsi="Times New Roman" w:cs="Times New Roman"/>
        </w:rPr>
        <w:t xml:space="preserve"> </w:t>
      </w:r>
      <w:r w:rsidRPr="00B12305">
        <w:rPr>
          <w:rFonts w:ascii="Times New Roman" w:hAnsi="Times New Roman" w:cs="Times New Roman"/>
        </w:rPr>
        <w:t xml:space="preserve">price data, and interpretation of the </w:t>
      </w:r>
      <w:r w:rsidR="00CA1782">
        <w:rPr>
          <w:rFonts w:ascii="Times New Roman" w:hAnsi="Times New Roman" w:cs="Times New Roman"/>
        </w:rPr>
        <w:t xml:space="preserve">merit-order effect directly motivate </w:t>
      </w:r>
      <w:r w:rsidRPr="00B12305">
        <w:rPr>
          <w:rFonts w:ascii="Times New Roman" w:hAnsi="Times New Roman" w:cs="Times New Roman"/>
        </w:rPr>
        <w:t>the pricing models estimated in this paper.</w:t>
      </w:r>
    </w:p>
    <w:p w14:paraId="7345BBA4" w14:textId="77777777" w:rsidR="00036D5C" w:rsidRPr="00B12305" w:rsidRDefault="00036D5C" w:rsidP="00036D5C">
      <w:pPr>
        <w:spacing w:line="480" w:lineRule="auto"/>
        <w:ind w:firstLine="720"/>
        <w:rPr>
          <w:rFonts w:ascii="Times New Roman" w:hAnsi="Times New Roman" w:cs="Times New Roman"/>
        </w:rPr>
      </w:pPr>
      <w:r w:rsidRPr="00B12305">
        <w:rPr>
          <w:rFonts w:ascii="Times New Roman" w:hAnsi="Times New Roman" w:cs="Times New Roman"/>
        </w:rPr>
        <w:t>A second major contribution comes from Woo et al. (2016), who analyze the merit order effects of renewables in the California ISO. They estimate a system of price regressions for both day-ahead and real-time markets, incorporating forecasted load, renewable forecasts, fuel prices, and forecast errors. The</w:t>
      </w:r>
      <w:r>
        <w:rPr>
          <w:rFonts w:ascii="Times New Roman" w:hAnsi="Times New Roman" w:cs="Times New Roman"/>
        </w:rPr>
        <w:t>ir</w:t>
      </w:r>
      <w:r w:rsidRPr="00B12305">
        <w:rPr>
          <w:rFonts w:ascii="Times New Roman" w:hAnsi="Times New Roman" w:cs="Times New Roman"/>
        </w:rPr>
        <w:t xml:space="preserve"> study d</w:t>
      </w:r>
      <w:r>
        <w:rPr>
          <w:rFonts w:ascii="Times New Roman" w:hAnsi="Times New Roman" w:cs="Times New Roman"/>
        </w:rPr>
        <w:t>etermine</w:t>
      </w:r>
      <w:r w:rsidRPr="00B12305">
        <w:rPr>
          <w:rFonts w:ascii="Times New Roman" w:hAnsi="Times New Roman" w:cs="Times New Roman"/>
        </w:rPr>
        <w:t>s that renewable generation consistently depresses wholesale prices across intervals and forecast errors create</w:t>
      </w:r>
      <w:r>
        <w:rPr>
          <w:rFonts w:ascii="Times New Roman" w:hAnsi="Times New Roman" w:cs="Times New Roman"/>
        </w:rPr>
        <w:t xml:space="preserve"> a</w:t>
      </w:r>
      <w:r w:rsidRPr="00B12305">
        <w:rPr>
          <w:rFonts w:ascii="Times New Roman" w:hAnsi="Times New Roman" w:cs="Times New Roman"/>
        </w:rPr>
        <w:t xml:space="preserve"> divergence between markets. Their work reinforces the </w:t>
      </w:r>
      <w:r>
        <w:rPr>
          <w:rFonts w:ascii="Times New Roman" w:hAnsi="Times New Roman" w:cs="Times New Roman"/>
        </w:rPr>
        <w:t>notion</w:t>
      </w:r>
      <w:r w:rsidRPr="00B12305">
        <w:rPr>
          <w:rFonts w:ascii="Times New Roman" w:hAnsi="Times New Roman" w:cs="Times New Roman"/>
        </w:rPr>
        <w:t xml:space="preserve"> that renewable penetration should lower prices even after </w:t>
      </w:r>
      <w:proofErr w:type="gramStart"/>
      <w:r w:rsidRPr="00B12305">
        <w:rPr>
          <w:rFonts w:ascii="Times New Roman" w:hAnsi="Times New Roman" w:cs="Times New Roman"/>
        </w:rPr>
        <w:t>controlling for</w:t>
      </w:r>
      <w:proofErr w:type="gramEnd"/>
      <w:r w:rsidRPr="00B12305">
        <w:rPr>
          <w:rFonts w:ascii="Times New Roman" w:hAnsi="Times New Roman" w:cs="Times New Roman"/>
        </w:rPr>
        <w:t xml:space="preserve"> demand and fuel market conditions. While their </w:t>
      </w:r>
      <w:r>
        <w:rPr>
          <w:rFonts w:ascii="Times New Roman" w:hAnsi="Times New Roman" w:cs="Times New Roman"/>
        </w:rPr>
        <w:t>work has more breadth</w:t>
      </w:r>
      <w:r w:rsidRPr="00B12305">
        <w:rPr>
          <w:rFonts w:ascii="Times New Roman" w:hAnsi="Times New Roman" w:cs="Times New Roman"/>
        </w:rPr>
        <w:t xml:space="preserve"> in terms of forecast variables, the conceptual treatment of renewables as a supply-side driver aligns with the renewable share variable used in the SPP model. Their finding that real-time prices can fall sharply when renewable output is high provides context for the strong negative coefficient estimated in this paper.</w:t>
      </w:r>
    </w:p>
    <w:p w14:paraId="553C694E" w14:textId="0FD407EF" w:rsidR="00036D5C" w:rsidRPr="00B12305" w:rsidRDefault="00036D5C" w:rsidP="00036D5C">
      <w:pPr>
        <w:spacing w:line="480" w:lineRule="auto"/>
        <w:ind w:firstLine="720"/>
        <w:rPr>
          <w:rFonts w:ascii="Times New Roman" w:hAnsi="Times New Roman" w:cs="Times New Roman"/>
        </w:rPr>
      </w:pPr>
      <w:r w:rsidRPr="00B12305">
        <w:rPr>
          <w:rFonts w:ascii="Times New Roman" w:hAnsi="Times New Roman" w:cs="Times New Roman"/>
        </w:rPr>
        <w:t xml:space="preserve">A third relevant study is </w:t>
      </w:r>
      <w:proofErr w:type="spellStart"/>
      <w:r w:rsidRPr="00B12305">
        <w:rPr>
          <w:rFonts w:ascii="Times New Roman" w:hAnsi="Times New Roman" w:cs="Times New Roman"/>
        </w:rPr>
        <w:t>Benhmad</w:t>
      </w:r>
      <w:proofErr w:type="spellEnd"/>
      <w:r w:rsidRPr="00B12305">
        <w:rPr>
          <w:rFonts w:ascii="Times New Roman" w:hAnsi="Times New Roman" w:cs="Times New Roman"/>
        </w:rPr>
        <w:t xml:space="preserve"> and </w:t>
      </w:r>
      <w:proofErr w:type="spellStart"/>
      <w:r w:rsidRPr="00B12305">
        <w:rPr>
          <w:rFonts w:ascii="Times New Roman" w:hAnsi="Times New Roman" w:cs="Times New Roman"/>
        </w:rPr>
        <w:t>Percebois</w:t>
      </w:r>
      <w:proofErr w:type="spellEnd"/>
      <w:r w:rsidRPr="00B12305">
        <w:rPr>
          <w:rFonts w:ascii="Times New Roman" w:hAnsi="Times New Roman" w:cs="Times New Roman"/>
        </w:rPr>
        <w:t xml:space="preserve"> (2018), who investigate photovoltaic and wind feed-in effects on the German day-ahead market using a system of 24 simultaneous </w:t>
      </w:r>
      <w:r w:rsidRPr="00B12305">
        <w:rPr>
          <w:rFonts w:ascii="Times New Roman" w:hAnsi="Times New Roman" w:cs="Times New Roman"/>
        </w:rPr>
        <w:lastRenderedPageBreak/>
        <w:t>equations, one for each hour of the day. They find that both wind and solar significantly reduce hourly prices, with solar having especially strong effects during midday hours. Their attention to intraday patterns speaks directly to the need for hour fixed effects in electricity price models. Their finding that renewable impacts vary by hour suggests that failing to control for intraday structure could underestimate or distort the merit</w:t>
      </w:r>
      <w:r w:rsidR="00CA1782">
        <w:rPr>
          <w:rFonts w:ascii="Times New Roman" w:hAnsi="Times New Roman" w:cs="Times New Roman"/>
        </w:rPr>
        <w:t>-</w:t>
      </w:r>
      <w:r w:rsidRPr="00B12305">
        <w:rPr>
          <w:rFonts w:ascii="Times New Roman" w:hAnsi="Times New Roman" w:cs="Times New Roman"/>
        </w:rPr>
        <w:t>order effect. This motivates the extension of the baseline model in this paper to include hour, day-of-week, and month fixed effects.</w:t>
      </w:r>
    </w:p>
    <w:p w14:paraId="09A0B061" w14:textId="77777777" w:rsidR="00036D5C" w:rsidRPr="00B12305" w:rsidRDefault="00036D5C" w:rsidP="00036D5C">
      <w:pPr>
        <w:spacing w:line="480" w:lineRule="auto"/>
        <w:ind w:firstLine="720"/>
        <w:rPr>
          <w:rFonts w:ascii="Times New Roman" w:hAnsi="Times New Roman" w:cs="Times New Roman"/>
        </w:rPr>
      </w:pPr>
      <w:r w:rsidRPr="00B12305">
        <w:rPr>
          <w:rFonts w:ascii="Times New Roman" w:hAnsi="Times New Roman" w:cs="Times New Roman"/>
        </w:rPr>
        <w:t xml:space="preserve">While the first three studies focus on mean price effects, the fourth paper, </w:t>
      </w:r>
      <w:proofErr w:type="spellStart"/>
      <w:r w:rsidRPr="00B12305">
        <w:rPr>
          <w:rFonts w:ascii="Times New Roman" w:hAnsi="Times New Roman" w:cs="Times New Roman"/>
        </w:rPr>
        <w:t>Tselika</w:t>
      </w:r>
      <w:proofErr w:type="spellEnd"/>
      <w:r w:rsidRPr="00B12305">
        <w:rPr>
          <w:rFonts w:ascii="Times New Roman" w:hAnsi="Times New Roman" w:cs="Times New Roman"/>
        </w:rPr>
        <w:t xml:space="preserve"> (2022), emphasizes the distributional impact of renewables on hourly electricity prices. Using hourly day-ahead data for Denmark and Germany, </w:t>
      </w:r>
      <w:proofErr w:type="spellStart"/>
      <w:r w:rsidRPr="00B12305">
        <w:rPr>
          <w:rFonts w:ascii="Times New Roman" w:hAnsi="Times New Roman" w:cs="Times New Roman"/>
        </w:rPr>
        <w:t>Tselika</w:t>
      </w:r>
      <w:proofErr w:type="spellEnd"/>
      <w:r w:rsidRPr="00B12305">
        <w:rPr>
          <w:rFonts w:ascii="Times New Roman" w:hAnsi="Times New Roman" w:cs="Times New Roman"/>
        </w:rPr>
        <w:t xml:space="preserve"> applies a panel quantile regression framework that treats each hour as a cross-sectional unit and examines the effect of renewables across the entire price distribution. The study finds that wind most strongly reduces prices at lower quantiles, while solar has stronger effects on upper quantiles. It also shows that renewables can either increase or decrease price variability depending on demand conditions. This paper does not directly estimate mean price regressions like mine, but it provides compelling methodological justification for modeling electricity prices with hour fixed effects and for recognizing that renewable impacts may vary across time. </w:t>
      </w:r>
      <w:proofErr w:type="spellStart"/>
      <w:r w:rsidRPr="00B12305">
        <w:rPr>
          <w:rFonts w:ascii="Times New Roman" w:hAnsi="Times New Roman" w:cs="Times New Roman"/>
        </w:rPr>
        <w:t>Tselika’s</w:t>
      </w:r>
      <w:proofErr w:type="spellEnd"/>
      <w:r w:rsidRPr="00B12305">
        <w:rPr>
          <w:rFonts w:ascii="Times New Roman" w:hAnsi="Times New Roman" w:cs="Times New Roman"/>
        </w:rPr>
        <w:t xml:space="preserve"> argument that daily aggregation masks renewable effects </w:t>
      </w:r>
      <w:proofErr w:type="gramStart"/>
      <w:r w:rsidRPr="00B12305">
        <w:rPr>
          <w:rFonts w:ascii="Times New Roman" w:hAnsi="Times New Roman" w:cs="Times New Roman"/>
        </w:rPr>
        <w:t>reinforces</w:t>
      </w:r>
      <w:proofErr w:type="gramEnd"/>
      <w:r w:rsidRPr="00B12305">
        <w:rPr>
          <w:rFonts w:ascii="Times New Roman" w:hAnsi="Times New Roman" w:cs="Times New Roman"/>
        </w:rPr>
        <w:t xml:space="preserve"> the choice to use hourly SPP LMPs.</w:t>
      </w:r>
    </w:p>
    <w:p w14:paraId="749B20F3" w14:textId="77777777" w:rsidR="00036D5C" w:rsidRPr="00B12305" w:rsidRDefault="00036D5C" w:rsidP="00036D5C">
      <w:pPr>
        <w:spacing w:line="480" w:lineRule="auto"/>
        <w:ind w:firstLine="720"/>
        <w:rPr>
          <w:rFonts w:ascii="Times New Roman" w:hAnsi="Times New Roman" w:cs="Times New Roman"/>
        </w:rPr>
      </w:pPr>
      <w:r w:rsidRPr="00B12305">
        <w:rPr>
          <w:rFonts w:ascii="Times New Roman" w:hAnsi="Times New Roman" w:cs="Times New Roman"/>
        </w:rPr>
        <w:t xml:space="preserve">The fifth article, </w:t>
      </w:r>
      <w:proofErr w:type="spellStart"/>
      <w:r w:rsidRPr="00B12305">
        <w:rPr>
          <w:rFonts w:ascii="Times New Roman" w:hAnsi="Times New Roman" w:cs="Times New Roman"/>
        </w:rPr>
        <w:t>Khoshrou</w:t>
      </w:r>
      <w:proofErr w:type="spellEnd"/>
      <w:r w:rsidRPr="00B12305">
        <w:rPr>
          <w:rFonts w:ascii="Times New Roman" w:hAnsi="Times New Roman" w:cs="Times New Roman"/>
        </w:rPr>
        <w:t xml:space="preserve"> et al. (2019), investigates the evolution of German day-ahead electricity prices before and after major renewable policy shifts. Rather than running standard regressions, they apply singular value decomposition (SVD) and wavelet decomposition to analyze changes in daily price profiles and volatility. They show that while average prices declined substantially due to renewable growth, volatility did not necessarily increase and in some cases even declined. They also document changes in intraday pricing structure, including </w:t>
      </w:r>
      <w:r w:rsidRPr="00B12305">
        <w:rPr>
          <w:rFonts w:ascii="Times New Roman" w:hAnsi="Times New Roman" w:cs="Times New Roman"/>
        </w:rPr>
        <w:lastRenderedPageBreak/>
        <w:t>shifts in peak hours, which they attribute to solar generation effects. Although the paper uses a different empirical method than this study, its findings reinforce two key points. First, renewable expansion is associated with downward pressure on wholesale prices, consistent with the merit order effect. Second, routine intraday variation is structurally important, providing further justification for the use of time fixed effects in my regression model.</w:t>
      </w:r>
    </w:p>
    <w:p w14:paraId="7E4BEE74" w14:textId="77777777" w:rsidR="00036D5C" w:rsidRPr="00B12305" w:rsidRDefault="00036D5C" w:rsidP="00036D5C">
      <w:pPr>
        <w:spacing w:line="480" w:lineRule="auto"/>
        <w:ind w:firstLine="720"/>
        <w:rPr>
          <w:rFonts w:ascii="Times New Roman" w:hAnsi="Times New Roman" w:cs="Times New Roman"/>
        </w:rPr>
      </w:pPr>
      <w:r w:rsidRPr="00B12305">
        <w:rPr>
          <w:rFonts w:ascii="Times New Roman" w:hAnsi="Times New Roman" w:cs="Times New Roman"/>
        </w:rPr>
        <w:t xml:space="preserve">The final study, Woo et al. (2023), analyzes regional renewable revenues in ERCOT by estimating a system of regressions for 15-minute prices weighted by renewable output. They incorporate indicators for policy changes, demand, fuel prices, and renewable generation within each region. Their study confirms that renewable revenues vary widely by location and that renewable output exerts downward pressure on market prices. Although their dependent variable is renewable revenue rather than LMP, their methodological emphasis on regional heterogeneity, intraday variation, and the role of natural gas prices </w:t>
      </w:r>
      <w:r>
        <w:rPr>
          <w:rFonts w:ascii="Times New Roman" w:hAnsi="Times New Roman" w:cs="Times New Roman"/>
        </w:rPr>
        <w:t>is consistent with my</w:t>
      </w:r>
      <w:r w:rsidRPr="00B12305">
        <w:rPr>
          <w:rFonts w:ascii="Times New Roman" w:hAnsi="Times New Roman" w:cs="Times New Roman"/>
        </w:rPr>
        <w:t xml:space="preserve"> paper. Moreover, their findings highlight that fuel prices and system conditions can interact strongly with renewable output, which parallels the structural break effects captured by the COVID and WAR dummies in my model.</w:t>
      </w:r>
    </w:p>
    <w:p w14:paraId="4207D2CC" w14:textId="77777777" w:rsidR="00036D5C" w:rsidRPr="00B12305" w:rsidRDefault="00036D5C" w:rsidP="00036D5C">
      <w:pPr>
        <w:spacing w:line="480" w:lineRule="auto"/>
        <w:ind w:firstLine="720"/>
        <w:rPr>
          <w:rFonts w:ascii="Times New Roman" w:hAnsi="Times New Roman" w:cs="Times New Roman"/>
        </w:rPr>
      </w:pPr>
      <w:r w:rsidRPr="00B12305">
        <w:rPr>
          <w:rFonts w:ascii="Times New Roman" w:hAnsi="Times New Roman" w:cs="Times New Roman"/>
        </w:rPr>
        <w:t>Taken together, these six studies provide a comprehensive empirical foundation for understanding how renewable generation affects electricity prices. They collectively point to three core insights that shape the empirical strategy of this paper</w:t>
      </w:r>
      <w:r>
        <w:rPr>
          <w:rFonts w:ascii="Times New Roman" w:hAnsi="Times New Roman" w:cs="Times New Roman"/>
        </w:rPr>
        <w:t xml:space="preserve">: </w:t>
      </w:r>
      <w:r w:rsidRPr="00B12305">
        <w:rPr>
          <w:rFonts w:ascii="Times New Roman" w:hAnsi="Times New Roman" w:cs="Times New Roman"/>
        </w:rPr>
        <w:t>renewable energy consistently exerts downward pressure on wholesale electricity prices, intraday variation is fundamental to price formation,</w:t>
      </w:r>
      <w:r>
        <w:rPr>
          <w:rFonts w:ascii="Times New Roman" w:hAnsi="Times New Roman" w:cs="Times New Roman"/>
        </w:rPr>
        <w:t xml:space="preserve"> and</w:t>
      </w:r>
      <w:r w:rsidRPr="00B12305">
        <w:rPr>
          <w:rFonts w:ascii="Times New Roman" w:hAnsi="Times New Roman" w:cs="Times New Roman"/>
        </w:rPr>
        <w:t xml:space="preserve"> broader structural forces such as policy changes, fuel market disruptions, and demand shocks can strongly influence prices, underscoring the importance of including </w:t>
      </w:r>
      <w:r>
        <w:rPr>
          <w:rFonts w:ascii="Times New Roman" w:hAnsi="Times New Roman" w:cs="Times New Roman"/>
        </w:rPr>
        <w:t>dummy variables</w:t>
      </w:r>
      <w:r w:rsidRPr="00B12305">
        <w:rPr>
          <w:rFonts w:ascii="Times New Roman" w:hAnsi="Times New Roman" w:cs="Times New Roman"/>
        </w:rPr>
        <w:t>.</w:t>
      </w:r>
    </w:p>
    <w:p w14:paraId="412EC349" w14:textId="551B436C" w:rsidR="00036D5C" w:rsidRPr="001317B9" w:rsidRDefault="00036D5C" w:rsidP="00036D5C">
      <w:pPr>
        <w:spacing w:line="480" w:lineRule="auto"/>
        <w:ind w:firstLine="720"/>
        <w:rPr>
          <w:rFonts w:ascii="Times New Roman" w:hAnsi="Times New Roman" w:cs="Times New Roman"/>
        </w:rPr>
      </w:pPr>
      <w:r w:rsidRPr="00B12305">
        <w:rPr>
          <w:rFonts w:ascii="Times New Roman" w:hAnsi="Times New Roman" w:cs="Times New Roman"/>
        </w:rPr>
        <w:lastRenderedPageBreak/>
        <w:t xml:space="preserve">This literature not only supports the hypotheses tested here but also suggests that SPP’s rapid renewable </w:t>
      </w:r>
      <w:r w:rsidR="00CA1782">
        <w:rPr>
          <w:rFonts w:ascii="Times New Roman" w:hAnsi="Times New Roman" w:cs="Times New Roman"/>
        </w:rPr>
        <w:t>energy growth should produce merit-order</w:t>
      </w:r>
      <w:r w:rsidRPr="00B12305">
        <w:rPr>
          <w:rFonts w:ascii="Times New Roman" w:hAnsi="Times New Roman" w:cs="Times New Roman"/>
        </w:rPr>
        <w:t xml:space="preserve"> effects </w:t>
      </w:r>
      <w:r w:rsidR="00CA1782" w:rsidRPr="00B12305">
        <w:rPr>
          <w:rFonts w:ascii="Times New Roman" w:hAnsi="Times New Roman" w:cs="Times New Roman"/>
        </w:rPr>
        <w:t>like</w:t>
      </w:r>
      <w:r w:rsidRPr="00B12305">
        <w:rPr>
          <w:rFonts w:ascii="Times New Roman" w:hAnsi="Times New Roman" w:cs="Times New Roman"/>
        </w:rPr>
        <w:t xml:space="preserve"> those documented in ERCOT, CAISO, and Germany. My analysis contributes to this literature by applying these methods to SPP and by quantifying how </w:t>
      </w:r>
      <w:r w:rsidR="00CA1782">
        <w:rPr>
          <w:rFonts w:ascii="Times New Roman" w:hAnsi="Times New Roman" w:cs="Times New Roman"/>
        </w:rPr>
        <w:t xml:space="preserve">the </w:t>
      </w:r>
      <w:r w:rsidRPr="00B12305">
        <w:rPr>
          <w:rFonts w:ascii="Times New Roman" w:hAnsi="Times New Roman" w:cs="Times New Roman"/>
        </w:rPr>
        <w:t>renewable share affects hourly LMP in a market with rising renewable penetration and significant implications for utilities such as OPPD.</w:t>
      </w:r>
    </w:p>
    <w:p w14:paraId="3A06A5EE" w14:textId="77777777" w:rsidR="00036D5C" w:rsidRPr="00C70DDC" w:rsidRDefault="00036D5C" w:rsidP="00036D5C">
      <w:pPr>
        <w:spacing w:line="480" w:lineRule="auto"/>
        <w:rPr>
          <w:rFonts w:ascii="Times New Roman" w:hAnsi="Times New Roman" w:cs="Times New Roman"/>
          <w:b/>
          <w:bCs/>
          <w:sz w:val="28"/>
          <w:szCs w:val="28"/>
        </w:rPr>
      </w:pPr>
      <w:r w:rsidRPr="00C70DDC">
        <w:rPr>
          <w:rFonts w:ascii="Times New Roman" w:hAnsi="Times New Roman" w:cs="Times New Roman"/>
          <w:b/>
          <w:bCs/>
          <w:sz w:val="28"/>
          <w:szCs w:val="28"/>
        </w:rPr>
        <w:t>Data Description</w:t>
      </w:r>
    </w:p>
    <w:p w14:paraId="2C187035" w14:textId="34153024" w:rsidR="00036D5C" w:rsidRDefault="00036D5C" w:rsidP="00036D5C">
      <w:pPr>
        <w:spacing w:line="480" w:lineRule="auto"/>
        <w:ind w:firstLine="720"/>
        <w:rPr>
          <w:rFonts w:ascii="Times New Roman" w:hAnsi="Times New Roman" w:cs="Times New Roman"/>
        </w:rPr>
      </w:pPr>
      <w:r>
        <w:rPr>
          <w:rFonts w:ascii="Times New Roman" w:hAnsi="Times New Roman" w:cs="Times New Roman"/>
        </w:rPr>
        <w:t xml:space="preserve">This study uses a high-frequency dataset consisting of 51,143 hourly observations from SPP. The sample period spans January 1, 2020, through October 31, 2025, selected for both data availability and </w:t>
      </w:r>
      <w:r w:rsidR="00CA1782">
        <w:rPr>
          <w:rFonts w:ascii="Times New Roman" w:hAnsi="Times New Roman" w:cs="Times New Roman"/>
        </w:rPr>
        <w:t xml:space="preserve">for the period's major structural changes in electricity markets, such as the COVID-19 pandemic, extreme weather events, and </w:t>
      </w:r>
      <w:r>
        <w:rPr>
          <w:rFonts w:ascii="Times New Roman" w:hAnsi="Times New Roman" w:cs="Times New Roman"/>
        </w:rPr>
        <w:t>global fuel market disruptions associated with the Russia-Ukraine war. These conditions provide considerable variation in renewable generation and wholesale prices. This makes for an interesting period that is well-suited for evaluating the merit</w:t>
      </w:r>
      <w:r w:rsidR="00CA1782">
        <w:rPr>
          <w:rFonts w:ascii="Times New Roman" w:hAnsi="Times New Roman" w:cs="Times New Roman"/>
        </w:rPr>
        <w:t>-</w:t>
      </w:r>
      <w:r>
        <w:rPr>
          <w:rFonts w:ascii="Times New Roman" w:hAnsi="Times New Roman" w:cs="Times New Roman"/>
        </w:rPr>
        <w:t>order effect.</w:t>
      </w:r>
    </w:p>
    <w:p w14:paraId="40956570" w14:textId="7F95B959" w:rsidR="00036D5C" w:rsidRPr="001317B9" w:rsidRDefault="00036D5C" w:rsidP="00036D5C">
      <w:pPr>
        <w:spacing w:line="480" w:lineRule="auto"/>
        <w:ind w:firstLine="720"/>
        <w:rPr>
          <w:rFonts w:ascii="Times New Roman" w:hAnsi="Times New Roman" w:cs="Times New Roman"/>
        </w:rPr>
      </w:pPr>
      <w:r w:rsidRPr="001317B9">
        <w:rPr>
          <w:rFonts w:ascii="Times New Roman" w:hAnsi="Times New Roman" w:cs="Times New Roman"/>
        </w:rPr>
        <w:t xml:space="preserve"> The dependent variable is the hourly locational marginal price averaged across SPP’s </w:t>
      </w:r>
      <w:r>
        <w:rPr>
          <w:rFonts w:ascii="Times New Roman" w:hAnsi="Times New Roman" w:cs="Times New Roman"/>
        </w:rPr>
        <w:t>North and South hubs</w:t>
      </w:r>
      <w:r w:rsidRPr="001317B9">
        <w:rPr>
          <w:rFonts w:ascii="Times New Roman" w:hAnsi="Times New Roman" w:cs="Times New Roman"/>
        </w:rPr>
        <w:t xml:space="preserve">. The central independent variable, </w:t>
      </w:r>
      <w:proofErr w:type="spellStart"/>
      <w:proofErr w:type="gramStart"/>
      <w:r w:rsidRPr="001317B9">
        <w:rPr>
          <w:rFonts w:ascii="Times New Roman" w:hAnsi="Times New Roman" w:cs="Times New Roman"/>
        </w:rPr>
        <w:t>Renew</w:t>
      </w:r>
      <w:proofErr w:type="gramEnd"/>
      <w:r w:rsidRPr="001317B9">
        <w:rPr>
          <w:rFonts w:ascii="Times New Roman" w:hAnsi="Times New Roman" w:cs="Times New Roman"/>
        </w:rPr>
        <w:t>_Share</w:t>
      </w:r>
      <w:proofErr w:type="spellEnd"/>
      <w:r w:rsidRPr="001317B9">
        <w:rPr>
          <w:rFonts w:ascii="Times New Roman" w:hAnsi="Times New Roman" w:cs="Times New Roman"/>
        </w:rPr>
        <w:t xml:space="preserve">, measures the percentage of total hourly generation provided by renewable resources, primarily wind and utility-scale solar. </w:t>
      </w:r>
      <w:r>
        <w:rPr>
          <w:rFonts w:ascii="Times New Roman" w:hAnsi="Times New Roman" w:cs="Times New Roman"/>
        </w:rPr>
        <w:t xml:space="preserve">Expressing this variable in percentage points allows for </w:t>
      </w:r>
      <w:r w:rsidR="00CA1782">
        <w:rPr>
          <w:rFonts w:ascii="Times New Roman" w:hAnsi="Times New Roman" w:cs="Times New Roman"/>
        </w:rPr>
        <w:t>more straightforward</w:t>
      </w:r>
      <w:r>
        <w:rPr>
          <w:rFonts w:ascii="Times New Roman" w:hAnsi="Times New Roman" w:cs="Times New Roman"/>
        </w:rPr>
        <w:t xml:space="preserve"> interpretation, such as the effect of a 1% or 10% change in renewable penetration on LMP. Data for renewable generation and load come from the U.S. Energy Information Administration’s interactive grid monitor dashboard. </w:t>
      </w:r>
    </w:p>
    <w:p w14:paraId="3E615EC4" w14:textId="328FE59A" w:rsidR="00036D5C" w:rsidRPr="001317B9" w:rsidRDefault="00036D5C" w:rsidP="00036D5C">
      <w:pPr>
        <w:spacing w:line="480" w:lineRule="auto"/>
        <w:ind w:firstLine="720"/>
        <w:rPr>
          <w:rFonts w:ascii="Times New Roman" w:hAnsi="Times New Roman" w:cs="Times New Roman"/>
        </w:rPr>
      </w:pPr>
      <w:r w:rsidRPr="001317B9">
        <w:rPr>
          <w:rFonts w:ascii="Times New Roman" w:hAnsi="Times New Roman" w:cs="Times New Roman"/>
        </w:rPr>
        <w:t>System demand, measured in MWh, captures the level of load that must be served in each hour.</w:t>
      </w:r>
      <w:r>
        <w:rPr>
          <w:rFonts w:ascii="Times New Roman" w:hAnsi="Times New Roman" w:cs="Times New Roman"/>
        </w:rPr>
        <w:t xml:space="preserve"> Demand is central to dispatch economics and is expected to be positively related to LMP. </w:t>
      </w:r>
      <w:r w:rsidRPr="001317B9">
        <w:rPr>
          <w:rFonts w:ascii="Times New Roman" w:hAnsi="Times New Roman" w:cs="Times New Roman"/>
        </w:rPr>
        <w:t xml:space="preserve"> </w:t>
      </w:r>
      <w:r w:rsidRPr="001317B9">
        <w:rPr>
          <w:rFonts w:ascii="Times New Roman" w:hAnsi="Times New Roman" w:cs="Times New Roman"/>
        </w:rPr>
        <w:lastRenderedPageBreak/>
        <w:t xml:space="preserve">Natural gas prices are derived from Henry Hub daily spot prices and assigned uniformly across hours of each day. Although this is a standard choice in many electricity price studies, SPP’s marginal gas costs can deviate from Henry Hub </w:t>
      </w:r>
      <w:r w:rsidR="008C2AF4">
        <w:rPr>
          <w:rFonts w:ascii="Times New Roman" w:hAnsi="Times New Roman" w:cs="Times New Roman"/>
        </w:rPr>
        <w:t>prices due to basis pricing, pipeline constraints, and localized fuel procurement, which is</w:t>
      </w:r>
      <w:r w:rsidRPr="001317B9">
        <w:rPr>
          <w:rFonts w:ascii="Times New Roman" w:hAnsi="Times New Roman" w:cs="Times New Roman"/>
        </w:rPr>
        <w:t xml:space="preserve"> important when interpreting regression results.</w:t>
      </w:r>
    </w:p>
    <w:p w14:paraId="387D6051" w14:textId="77777777" w:rsidR="00036D5C" w:rsidRPr="001317B9" w:rsidRDefault="00036D5C" w:rsidP="00036D5C">
      <w:pPr>
        <w:spacing w:line="480" w:lineRule="auto"/>
        <w:ind w:firstLine="720"/>
        <w:rPr>
          <w:rFonts w:ascii="Times New Roman" w:hAnsi="Times New Roman" w:cs="Times New Roman"/>
        </w:rPr>
      </w:pPr>
      <w:r w:rsidRPr="001317B9">
        <w:rPr>
          <w:rFonts w:ascii="Times New Roman" w:hAnsi="Times New Roman" w:cs="Times New Roman"/>
        </w:rPr>
        <w:t xml:space="preserve">Two structural break dummies are included. The COVID dummy equals </w:t>
      </w:r>
      <w:r>
        <w:rPr>
          <w:rFonts w:ascii="Times New Roman" w:hAnsi="Times New Roman" w:cs="Times New Roman"/>
        </w:rPr>
        <w:t>1</w:t>
      </w:r>
      <w:r w:rsidRPr="001317B9">
        <w:rPr>
          <w:rFonts w:ascii="Times New Roman" w:hAnsi="Times New Roman" w:cs="Times New Roman"/>
        </w:rPr>
        <w:t xml:space="preserve"> for all hours during the COVID-19 period beginning in </w:t>
      </w:r>
      <w:r>
        <w:rPr>
          <w:rFonts w:ascii="Times New Roman" w:hAnsi="Times New Roman" w:cs="Times New Roman"/>
        </w:rPr>
        <w:t xml:space="preserve">March </w:t>
      </w:r>
      <w:r w:rsidRPr="001317B9">
        <w:rPr>
          <w:rFonts w:ascii="Times New Roman" w:hAnsi="Times New Roman" w:cs="Times New Roman"/>
        </w:rPr>
        <w:t>2020</w:t>
      </w:r>
      <w:r>
        <w:rPr>
          <w:rFonts w:ascii="Times New Roman" w:hAnsi="Times New Roman" w:cs="Times New Roman"/>
        </w:rPr>
        <w:t xml:space="preserve"> and continues through June 2021</w:t>
      </w:r>
      <w:r w:rsidRPr="001317B9">
        <w:rPr>
          <w:rFonts w:ascii="Times New Roman" w:hAnsi="Times New Roman" w:cs="Times New Roman"/>
        </w:rPr>
        <w:t xml:space="preserve">. The WAR dummy equals </w:t>
      </w:r>
      <w:r>
        <w:rPr>
          <w:rFonts w:ascii="Times New Roman" w:hAnsi="Times New Roman" w:cs="Times New Roman"/>
        </w:rPr>
        <w:t>1</w:t>
      </w:r>
      <w:r w:rsidRPr="001317B9">
        <w:rPr>
          <w:rFonts w:ascii="Times New Roman" w:hAnsi="Times New Roman" w:cs="Times New Roman"/>
        </w:rPr>
        <w:t xml:space="preserve"> starting in early 2022 to capture the effects of the Russia-Ukraine war on electricity markets. Both events had considerable influence on fuel markets, demand patterns, and supply chain conditions.</w:t>
      </w:r>
    </w:p>
    <w:p w14:paraId="3CE4D878" w14:textId="1FC2603F" w:rsidR="00036D5C" w:rsidRDefault="00036D5C" w:rsidP="00036D5C">
      <w:pPr>
        <w:spacing w:line="480" w:lineRule="auto"/>
        <w:ind w:firstLine="720"/>
        <w:rPr>
          <w:rFonts w:ascii="Times New Roman" w:hAnsi="Times New Roman" w:cs="Times New Roman"/>
        </w:rPr>
      </w:pPr>
      <w:r>
        <w:rPr>
          <w:rFonts w:ascii="Times New Roman" w:hAnsi="Times New Roman" w:cs="Times New Roman"/>
        </w:rPr>
        <w:t>Reviewing the data reveals a few key takeaways prior to running any regression</w:t>
      </w:r>
      <w:r w:rsidRPr="001317B9">
        <w:rPr>
          <w:rFonts w:ascii="Times New Roman" w:hAnsi="Times New Roman" w:cs="Times New Roman"/>
        </w:rPr>
        <w:t xml:space="preserve">. First, LMP exhibits strong intraday cycles, with lower prices occurring overnight and higher prices during morning and evening ramps. Second, </w:t>
      </w:r>
      <w:r w:rsidR="008C2AF4">
        <w:rPr>
          <w:rFonts w:ascii="Times New Roman" w:hAnsi="Times New Roman" w:cs="Times New Roman"/>
        </w:rPr>
        <w:t xml:space="preserve">the </w:t>
      </w:r>
      <w:r w:rsidRPr="001317B9">
        <w:rPr>
          <w:rFonts w:ascii="Times New Roman" w:hAnsi="Times New Roman" w:cs="Times New Roman"/>
        </w:rPr>
        <w:t>renewable share varies widely, frequently exceeding 50</w:t>
      </w:r>
      <w:r>
        <w:rPr>
          <w:rFonts w:ascii="Times New Roman" w:hAnsi="Times New Roman" w:cs="Times New Roman"/>
        </w:rPr>
        <w:t>%</w:t>
      </w:r>
      <w:r w:rsidRPr="001317B9">
        <w:rPr>
          <w:rFonts w:ascii="Times New Roman" w:hAnsi="Times New Roman" w:cs="Times New Roman"/>
        </w:rPr>
        <w:t xml:space="preserve"> during high-wind periods, especially in spring and fall. Third, natural gas prices experienced sharp increases during parts of the sample, particularly following the onset of the Russia-Ukraine war. These shifts motivate both the inclusion of structural break indicators and the use of </w:t>
      </w:r>
      <w:proofErr w:type="gramStart"/>
      <w:r w:rsidRPr="001317B9">
        <w:rPr>
          <w:rFonts w:ascii="Times New Roman" w:hAnsi="Times New Roman" w:cs="Times New Roman"/>
        </w:rPr>
        <w:t>time fixed</w:t>
      </w:r>
      <w:proofErr w:type="gramEnd"/>
      <w:r w:rsidRPr="001317B9">
        <w:rPr>
          <w:rFonts w:ascii="Times New Roman" w:hAnsi="Times New Roman" w:cs="Times New Roman"/>
        </w:rPr>
        <w:t xml:space="preserve"> effects.</w:t>
      </w:r>
    </w:p>
    <w:p w14:paraId="325153A7" w14:textId="633DF87E" w:rsidR="00036D5C" w:rsidRDefault="00036D5C" w:rsidP="00036D5C">
      <w:pPr>
        <w:spacing w:line="480" w:lineRule="auto"/>
        <w:ind w:firstLine="720"/>
        <w:rPr>
          <w:rFonts w:ascii="Times New Roman" w:hAnsi="Times New Roman" w:cs="Times New Roman"/>
        </w:rPr>
      </w:pPr>
      <w:r>
        <w:rPr>
          <w:rFonts w:ascii="Times New Roman" w:hAnsi="Times New Roman" w:cs="Times New Roman"/>
        </w:rPr>
        <w:t xml:space="preserve">Hourly frequency is essential to this study for three reasons. First, renewable generation is highly variable within the day, especially wind in SPP, and aggregating to daily or monthly averages would obscure this variation. Second, LMP is </w:t>
      </w:r>
      <w:r w:rsidR="008C2AF4">
        <w:rPr>
          <w:rFonts w:ascii="Times New Roman" w:hAnsi="Times New Roman" w:cs="Times New Roman"/>
        </w:rPr>
        <w:t>an intrinsically hourly product, and the merit-order</w:t>
      </w:r>
      <w:r>
        <w:rPr>
          <w:rFonts w:ascii="Times New Roman" w:hAnsi="Times New Roman" w:cs="Times New Roman"/>
        </w:rPr>
        <w:t xml:space="preserve"> effect operates at the hourly level. And lastly, as shown in studies such as Tsai and </w:t>
      </w:r>
      <w:proofErr w:type="spellStart"/>
      <w:r>
        <w:rPr>
          <w:rFonts w:ascii="Times New Roman" w:hAnsi="Times New Roman" w:cs="Times New Roman"/>
        </w:rPr>
        <w:t>Eryilmaz</w:t>
      </w:r>
      <w:proofErr w:type="spellEnd"/>
      <w:r>
        <w:rPr>
          <w:rFonts w:ascii="Times New Roman" w:hAnsi="Times New Roman" w:cs="Times New Roman"/>
        </w:rPr>
        <w:t xml:space="preserve"> (2018) and </w:t>
      </w:r>
      <w:proofErr w:type="spellStart"/>
      <w:r>
        <w:rPr>
          <w:rFonts w:ascii="Times New Roman" w:hAnsi="Times New Roman" w:cs="Times New Roman"/>
        </w:rPr>
        <w:t>Benhmad</w:t>
      </w:r>
      <w:proofErr w:type="spellEnd"/>
      <w:r>
        <w:rPr>
          <w:rFonts w:ascii="Times New Roman" w:hAnsi="Times New Roman" w:cs="Times New Roman"/>
        </w:rPr>
        <w:t xml:space="preserve"> and </w:t>
      </w:r>
      <w:proofErr w:type="spellStart"/>
      <w:r>
        <w:rPr>
          <w:rFonts w:ascii="Times New Roman" w:hAnsi="Times New Roman" w:cs="Times New Roman"/>
        </w:rPr>
        <w:t>Percebois</w:t>
      </w:r>
      <w:proofErr w:type="spellEnd"/>
      <w:r>
        <w:rPr>
          <w:rFonts w:ascii="Times New Roman" w:hAnsi="Times New Roman" w:cs="Times New Roman"/>
        </w:rPr>
        <w:t xml:space="preserve"> (2018), failing to account for intraday heterogeneity leads to biased estimates. Additionally, during this period</w:t>
      </w:r>
      <w:r w:rsidR="008C2AF4">
        <w:rPr>
          <w:rFonts w:ascii="Times New Roman" w:hAnsi="Times New Roman" w:cs="Times New Roman"/>
        </w:rPr>
        <w:t xml:space="preserve">, SPP experienced </w:t>
      </w:r>
      <w:r w:rsidR="008C2AF4">
        <w:rPr>
          <w:rFonts w:ascii="Times New Roman" w:hAnsi="Times New Roman" w:cs="Times New Roman"/>
        </w:rPr>
        <w:lastRenderedPageBreak/>
        <w:t xml:space="preserve">significant increases in renewable capacity, making the </w:t>
      </w:r>
      <w:r>
        <w:rPr>
          <w:rFonts w:ascii="Times New Roman" w:hAnsi="Times New Roman" w:cs="Times New Roman"/>
        </w:rPr>
        <w:t xml:space="preserve">renewable share more variable and providing greater identification. </w:t>
      </w:r>
    </w:p>
    <w:p w14:paraId="75030242" w14:textId="7E36E626" w:rsidR="00036D5C" w:rsidRDefault="00036D5C" w:rsidP="00036D5C">
      <w:pPr>
        <w:spacing w:line="480" w:lineRule="auto"/>
        <w:ind w:firstLine="720"/>
        <w:rPr>
          <w:rFonts w:ascii="Times New Roman" w:hAnsi="Times New Roman" w:cs="Times New Roman"/>
        </w:rPr>
      </w:pPr>
      <w:r w:rsidRPr="00751130">
        <w:rPr>
          <w:rFonts w:ascii="Times New Roman" w:hAnsi="Times New Roman" w:cs="Times New Roman"/>
        </w:rPr>
        <w:t xml:space="preserve">Raw data were downloaded directly from SPP and EIA and merged by timestamp. Several steps were taken to produce a clean hourly panel. First, hours with missing values for LMP or renewable share were removed. These represent </w:t>
      </w:r>
      <w:r w:rsidR="008C2AF4">
        <w:rPr>
          <w:rFonts w:ascii="Times New Roman" w:hAnsi="Times New Roman" w:cs="Times New Roman"/>
        </w:rPr>
        <w:t>a tiny</w:t>
      </w:r>
      <w:r w:rsidRPr="00751130">
        <w:rPr>
          <w:rFonts w:ascii="Times New Roman" w:hAnsi="Times New Roman" w:cs="Times New Roman"/>
        </w:rPr>
        <w:t xml:space="preserve"> portion of the dataset, typically associated with market reporting anomalies or outages in data feeds. Second, </w:t>
      </w:r>
      <w:r w:rsidR="008C2AF4">
        <w:rPr>
          <w:rFonts w:ascii="Times New Roman" w:hAnsi="Times New Roman" w:cs="Times New Roman"/>
        </w:rPr>
        <w:t xml:space="preserve">the </w:t>
      </w:r>
      <w:r w:rsidRPr="00751130">
        <w:rPr>
          <w:rFonts w:ascii="Times New Roman" w:hAnsi="Times New Roman" w:cs="Times New Roman"/>
        </w:rPr>
        <w:t xml:space="preserve">renewable share was computed as renewable generation divided by total generation for each hour. Third, daily Henry Hub prices were expanded to the hourly level. </w:t>
      </w:r>
      <w:r>
        <w:rPr>
          <w:rFonts w:ascii="Times New Roman" w:hAnsi="Times New Roman" w:cs="Times New Roman"/>
        </w:rPr>
        <w:t xml:space="preserve">Fourth, LMP data is the average taken from SPP North and South hubs for each hour. </w:t>
      </w:r>
      <w:r w:rsidRPr="00751130">
        <w:rPr>
          <w:rFonts w:ascii="Times New Roman" w:hAnsi="Times New Roman" w:cs="Times New Roman"/>
        </w:rPr>
        <w:t>Finally, all variables were checked for consistency in units and time alignment.</w:t>
      </w:r>
    </w:p>
    <w:p w14:paraId="0F7AA0F4" w14:textId="77777777" w:rsidR="00036D5C" w:rsidRDefault="00036D5C" w:rsidP="00036D5C">
      <w:pPr>
        <w:spacing w:line="480" w:lineRule="auto"/>
        <w:ind w:firstLine="720"/>
        <w:rPr>
          <w:rFonts w:ascii="Times New Roman" w:hAnsi="Times New Roman" w:cs="Times New Roman"/>
        </w:rPr>
      </w:pPr>
      <w:r w:rsidRPr="00CF206C">
        <w:rPr>
          <w:rFonts w:ascii="Times New Roman" w:hAnsi="Times New Roman" w:cs="Times New Roman"/>
        </w:rPr>
        <w:t xml:space="preserve">Summary statistics for all variables appear in Table 1. The mean LMP is </w:t>
      </w:r>
      <w:r>
        <w:rPr>
          <w:rFonts w:ascii="Times New Roman" w:hAnsi="Times New Roman" w:cs="Times New Roman"/>
        </w:rPr>
        <w:t>$34.99</w:t>
      </w:r>
      <w:r w:rsidRPr="00CF206C">
        <w:rPr>
          <w:rFonts w:ascii="Times New Roman" w:hAnsi="Times New Roman" w:cs="Times New Roman"/>
        </w:rPr>
        <w:t xml:space="preserve">, with a wide standard deviation reflecting the volatility common in wholesale power markets. The minimum LMP is negative, consistent with oversupply periods when renewable output exceeds demand. The maximum LMP is </w:t>
      </w:r>
      <w:r>
        <w:rPr>
          <w:rFonts w:ascii="Times New Roman" w:hAnsi="Times New Roman" w:cs="Times New Roman"/>
        </w:rPr>
        <w:t>nearly $4,400/</w:t>
      </w:r>
      <w:r w:rsidRPr="00CF206C">
        <w:rPr>
          <w:rFonts w:ascii="Times New Roman" w:hAnsi="Times New Roman" w:cs="Times New Roman"/>
        </w:rPr>
        <w:t xml:space="preserve">MWh, representing scarcity </w:t>
      </w:r>
      <w:r>
        <w:rPr>
          <w:rFonts w:ascii="Times New Roman" w:hAnsi="Times New Roman" w:cs="Times New Roman"/>
        </w:rPr>
        <w:t xml:space="preserve">during </w:t>
      </w:r>
      <w:r w:rsidRPr="00CF206C">
        <w:rPr>
          <w:rFonts w:ascii="Times New Roman" w:hAnsi="Times New Roman" w:cs="Times New Roman"/>
        </w:rPr>
        <w:t xml:space="preserve">extreme weather conditions. </w:t>
      </w:r>
    </w:p>
    <w:p w14:paraId="6E7D7798" w14:textId="6E1CF36D" w:rsidR="00036D5C" w:rsidRDefault="00036D5C" w:rsidP="00036D5C">
      <w:pPr>
        <w:spacing w:line="480" w:lineRule="auto"/>
        <w:ind w:firstLine="720"/>
        <w:rPr>
          <w:rFonts w:ascii="Times New Roman" w:hAnsi="Times New Roman" w:cs="Times New Roman"/>
        </w:rPr>
      </w:pPr>
      <w:r>
        <w:rPr>
          <w:rFonts w:ascii="Times New Roman" w:hAnsi="Times New Roman" w:cs="Times New Roman"/>
        </w:rPr>
        <w:t>Renewable share averages 40.12% with substantial variation across hours. This broad range is essential for estimating</w:t>
      </w:r>
      <w:r w:rsidR="008C2AF4">
        <w:rPr>
          <w:rFonts w:ascii="Times New Roman" w:hAnsi="Times New Roman" w:cs="Times New Roman"/>
        </w:rPr>
        <w:t>,</w:t>
      </w:r>
      <w:r>
        <w:rPr>
          <w:rFonts w:ascii="Times New Roman" w:hAnsi="Times New Roman" w:cs="Times New Roman"/>
        </w:rPr>
        <w:t xml:space="preserve"> as the model relies on within-period differences in renewable penetration. System demand exhibits predictable diurnal and seasonal patterns</w:t>
      </w:r>
      <w:r w:rsidR="008C2AF4">
        <w:rPr>
          <w:rFonts w:ascii="Times New Roman" w:hAnsi="Times New Roman" w:cs="Times New Roman"/>
        </w:rPr>
        <w:t>, ranging</w:t>
      </w:r>
      <w:r>
        <w:rPr>
          <w:rFonts w:ascii="Times New Roman" w:hAnsi="Times New Roman" w:cs="Times New Roman"/>
        </w:rPr>
        <w:t xml:space="preserve"> from low-demand overnight hours to peak summer conditions. </w:t>
      </w:r>
    </w:p>
    <w:p w14:paraId="5E6202F2" w14:textId="1E353388" w:rsidR="00036D5C" w:rsidRPr="001317B9" w:rsidRDefault="00036D5C" w:rsidP="00036D5C">
      <w:pPr>
        <w:spacing w:line="480" w:lineRule="auto"/>
        <w:ind w:firstLine="720"/>
        <w:rPr>
          <w:rFonts w:ascii="Times New Roman" w:hAnsi="Times New Roman" w:cs="Times New Roman"/>
        </w:rPr>
      </w:pPr>
      <w:r>
        <w:rPr>
          <w:rFonts w:ascii="Times New Roman" w:hAnsi="Times New Roman" w:cs="Times New Roman"/>
        </w:rPr>
        <w:t xml:space="preserve">Table 2 presents the correlation matrix among the main variables. </w:t>
      </w:r>
      <w:proofErr w:type="spellStart"/>
      <w:r>
        <w:rPr>
          <w:rFonts w:ascii="Times New Roman" w:hAnsi="Times New Roman" w:cs="Times New Roman"/>
        </w:rPr>
        <w:t>Renew_Share</w:t>
      </w:r>
      <w:proofErr w:type="spellEnd"/>
      <w:r>
        <w:rPr>
          <w:rFonts w:ascii="Times New Roman" w:hAnsi="Times New Roman" w:cs="Times New Roman"/>
        </w:rPr>
        <w:t xml:space="preserve"> and LMP are negatively correlated, consistent with the merit order effect</w:t>
      </w:r>
      <w:r w:rsidR="008C2AF4">
        <w:rPr>
          <w:rFonts w:ascii="Times New Roman" w:hAnsi="Times New Roman" w:cs="Times New Roman"/>
        </w:rPr>
        <w:t>, and provide</w:t>
      </w:r>
      <w:r>
        <w:rPr>
          <w:rFonts w:ascii="Times New Roman" w:hAnsi="Times New Roman" w:cs="Times New Roman"/>
        </w:rPr>
        <w:t xml:space="preserve"> preliminary </w:t>
      </w:r>
      <w:r>
        <w:rPr>
          <w:rFonts w:ascii="Times New Roman" w:hAnsi="Times New Roman" w:cs="Times New Roman"/>
        </w:rPr>
        <w:lastRenderedPageBreak/>
        <w:t xml:space="preserve">evidence of the relationship test in the regression model. Demand and LMP are positively correlated, reflecting the influence of higher load on generation costs and congestion risk. </w:t>
      </w:r>
    </w:p>
    <w:p w14:paraId="7117DA26" w14:textId="77777777" w:rsidR="00036D5C" w:rsidRPr="00C70DDC" w:rsidRDefault="00036D5C" w:rsidP="00036D5C">
      <w:pPr>
        <w:spacing w:line="480" w:lineRule="auto"/>
        <w:rPr>
          <w:rFonts w:ascii="Times New Roman" w:hAnsi="Times New Roman" w:cs="Times New Roman"/>
          <w:b/>
          <w:bCs/>
          <w:sz w:val="28"/>
          <w:szCs w:val="28"/>
        </w:rPr>
      </w:pPr>
      <w:r w:rsidRPr="00C70DDC">
        <w:rPr>
          <w:rFonts w:ascii="Times New Roman" w:hAnsi="Times New Roman" w:cs="Times New Roman"/>
          <w:b/>
          <w:bCs/>
          <w:sz w:val="28"/>
          <w:szCs w:val="28"/>
        </w:rPr>
        <w:t>Econometric Model</w:t>
      </w:r>
    </w:p>
    <w:p w14:paraId="3B18D4A6" w14:textId="77777777" w:rsidR="00036D5C" w:rsidRPr="00DF3FE0" w:rsidRDefault="00036D5C" w:rsidP="00036D5C">
      <w:pPr>
        <w:spacing w:line="480" w:lineRule="auto"/>
        <w:ind w:firstLine="720"/>
        <w:rPr>
          <w:rFonts w:ascii="Times New Roman" w:hAnsi="Times New Roman" w:cs="Times New Roman"/>
        </w:rPr>
      </w:pPr>
      <w:r w:rsidRPr="00DF3FE0">
        <w:rPr>
          <w:rFonts w:ascii="Times New Roman" w:hAnsi="Times New Roman" w:cs="Times New Roman"/>
        </w:rPr>
        <w:t xml:space="preserve">To quantify how renewable energy penetration affects wholesale electricity prices in the Southwest Power Pool, I estimate two econometric models using hourly LMP as the dependent variable. Both models are grounded in merit order theory and closely follow the empirical approaches used in studies such as Tsai and </w:t>
      </w:r>
      <w:proofErr w:type="spellStart"/>
      <w:r w:rsidRPr="00DF3FE0">
        <w:rPr>
          <w:rFonts w:ascii="Times New Roman" w:hAnsi="Times New Roman" w:cs="Times New Roman"/>
        </w:rPr>
        <w:t>Eryilmaz</w:t>
      </w:r>
      <w:proofErr w:type="spellEnd"/>
      <w:r w:rsidRPr="00DF3FE0">
        <w:rPr>
          <w:rFonts w:ascii="Times New Roman" w:hAnsi="Times New Roman" w:cs="Times New Roman"/>
        </w:rPr>
        <w:t xml:space="preserve"> (2018), Woo et al. (2016), and </w:t>
      </w:r>
      <w:proofErr w:type="spellStart"/>
      <w:r w:rsidRPr="00DF3FE0">
        <w:rPr>
          <w:rFonts w:ascii="Times New Roman" w:hAnsi="Times New Roman" w:cs="Times New Roman"/>
        </w:rPr>
        <w:t>Benhmad</w:t>
      </w:r>
      <w:proofErr w:type="spellEnd"/>
      <w:r w:rsidRPr="00DF3FE0">
        <w:rPr>
          <w:rFonts w:ascii="Times New Roman" w:hAnsi="Times New Roman" w:cs="Times New Roman"/>
        </w:rPr>
        <w:t xml:space="preserve"> and </w:t>
      </w:r>
      <w:proofErr w:type="spellStart"/>
      <w:r w:rsidRPr="00DF3FE0">
        <w:rPr>
          <w:rFonts w:ascii="Times New Roman" w:hAnsi="Times New Roman" w:cs="Times New Roman"/>
        </w:rPr>
        <w:t>Percebois</w:t>
      </w:r>
      <w:proofErr w:type="spellEnd"/>
      <w:r w:rsidRPr="00DF3FE0">
        <w:rPr>
          <w:rFonts w:ascii="Times New Roman" w:hAnsi="Times New Roman" w:cs="Times New Roman"/>
        </w:rPr>
        <w:t xml:space="preserve"> (2018). These studies demonstrate that renewable generation acts as a supply-side shifter with a predictable effect on marginal electricity prices, and they provide the theoretical and methodological foundation for the models estimated here.</w:t>
      </w:r>
    </w:p>
    <w:p w14:paraId="42A2AD0F" w14:textId="77777777" w:rsidR="00036D5C" w:rsidRPr="001317B9" w:rsidRDefault="00036D5C" w:rsidP="00036D5C">
      <w:pPr>
        <w:spacing w:line="480" w:lineRule="auto"/>
        <w:ind w:firstLine="720"/>
        <w:rPr>
          <w:rFonts w:ascii="Times New Roman" w:hAnsi="Times New Roman" w:cs="Times New Roman"/>
        </w:rPr>
      </w:pPr>
      <w:r w:rsidRPr="001317B9">
        <w:rPr>
          <w:rFonts w:ascii="Times New Roman" w:hAnsi="Times New Roman" w:cs="Times New Roman"/>
        </w:rPr>
        <w:t>The baseline model relates hourly LMP to renewable share, system demand, natural gas prices, and structural break indicators:</w:t>
      </w:r>
    </w:p>
    <w:p w14:paraId="75D60099" w14:textId="77777777" w:rsidR="00036D5C" w:rsidRDefault="00F90555" w:rsidP="00036D5C">
      <w:pPr>
        <w:spacing w:line="480" w:lineRule="auto"/>
        <w:ind w:firstLine="72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RenewShar</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r>
            <w:rPr>
              <w:rFonts w:ascii="Cambria Math" w:hAnsi="Cambria Math" w:cs="Times New Roman"/>
            </w:rPr>
            <m:t>Deman</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3</m:t>
              </m:r>
            </m:sub>
          </m:sSub>
          <m:r>
            <w:rPr>
              <w:rFonts w:ascii="Cambria Math" w:hAnsi="Cambria Math" w:cs="Times New Roman"/>
            </w:rPr>
            <m:t>GasPric</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r>
            <w:rPr>
              <w:rFonts w:ascii="Cambria Math" w:hAnsi="Cambria Math" w:cs="Times New Roman"/>
            </w:rPr>
            <m:t>+COVID+WAR</m:t>
          </m:r>
        </m:oMath>
      </m:oMathPara>
    </w:p>
    <w:p w14:paraId="2DE1D9DB" w14:textId="77777777" w:rsidR="00036D5C" w:rsidRDefault="00036D5C" w:rsidP="00036D5C">
      <w:pPr>
        <w:spacing w:line="480" w:lineRule="auto"/>
        <w:ind w:firstLine="720"/>
        <w:rPr>
          <w:rFonts w:ascii="Times New Roman" w:hAnsi="Times New Roman" w:cs="Times New Roman"/>
        </w:rPr>
      </w:pPr>
    </w:p>
    <w:p w14:paraId="4C6F6C2B" w14:textId="2D60422D" w:rsidR="00036D5C" w:rsidRPr="006B62C2" w:rsidRDefault="00036D5C" w:rsidP="00036D5C">
      <w:pPr>
        <w:spacing w:line="480" w:lineRule="auto"/>
        <w:rPr>
          <w:rFonts w:ascii="Times New Roman" w:hAnsi="Times New Roman" w:cs="Times New Roman"/>
        </w:rPr>
      </w:pPr>
      <w:r w:rsidRPr="006B62C2">
        <w:rPr>
          <w:rFonts w:ascii="Times New Roman" w:hAnsi="Times New Roman" w:cs="Times New Roman"/>
          <w:b/>
          <w:bCs/>
        </w:rPr>
        <w:t>Renewable Share (</w:t>
      </w:r>
      <m:oMath>
        <m:sSub>
          <m:sSubPr>
            <m:ctrlPr>
              <w:rPr>
                <w:rFonts w:ascii="Cambria Math" w:hAnsi="Cambria Math" w:cs="Times New Roman"/>
                <w:b/>
                <w:bCs/>
              </w:rPr>
            </m:ctrlPr>
          </m:sSubPr>
          <m:e>
            <m:r>
              <m:rPr>
                <m:sty m:val="bi"/>
              </m:rPr>
              <w:rPr>
                <w:rFonts w:ascii="Cambria Math" w:hAnsi="Cambria Math" w:cs="Times New Roman"/>
              </w:rPr>
              <m:t>β</m:t>
            </m:r>
          </m:e>
          <m:sub>
            <m:r>
              <m:rPr>
                <m:sty m:val="bi"/>
              </m:rPr>
              <w:rPr>
                <w:rFonts w:ascii="Cambria Math" w:hAnsi="Cambria Math" w:cs="Times New Roman"/>
              </w:rPr>
              <m:t>1</m:t>
            </m:r>
          </m:sub>
        </m:sSub>
        <m:r>
          <m:rPr>
            <m:sty m:val="bi"/>
          </m:rPr>
          <w:rPr>
            <w:rFonts w:ascii="Cambria Math" w:hAnsi="Cambria Math" w:cs="Times New Roman"/>
          </w:rPr>
          <m:t>&lt;0</m:t>
        </m:r>
      </m:oMath>
      <w:r w:rsidRPr="006B62C2">
        <w:rPr>
          <w:rFonts w:ascii="Times New Roman" w:hAnsi="Times New Roman" w:cs="Times New Roman"/>
          <w:b/>
          <w:bCs/>
        </w:rPr>
        <w:t>)</w:t>
      </w:r>
      <w:r w:rsidRPr="006B62C2">
        <w:rPr>
          <w:rFonts w:ascii="Times New Roman" w:hAnsi="Times New Roman" w:cs="Times New Roman"/>
        </w:rPr>
        <w:br/>
        <w:t>Merit</w:t>
      </w:r>
      <w:r w:rsidR="008C2AF4">
        <w:rPr>
          <w:rFonts w:ascii="Times New Roman" w:hAnsi="Times New Roman" w:cs="Times New Roman"/>
        </w:rPr>
        <w:t>-</w:t>
      </w:r>
      <w:r w:rsidRPr="006B62C2">
        <w:rPr>
          <w:rFonts w:ascii="Times New Roman" w:hAnsi="Times New Roman" w:cs="Times New Roman"/>
        </w:rPr>
        <w:t xml:space="preserve">order theory predicts a negative coefficient on renewable penetration. Because wind and solar have near-zero marginal costs, </w:t>
      </w:r>
      <w:r w:rsidR="008C2AF4">
        <w:rPr>
          <w:rFonts w:ascii="Times New Roman" w:hAnsi="Times New Roman" w:cs="Times New Roman"/>
        </w:rPr>
        <w:t xml:space="preserve">a </w:t>
      </w:r>
      <w:r w:rsidRPr="006B62C2">
        <w:rPr>
          <w:rFonts w:ascii="Times New Roman" w:hAnsi="Times New Roman" w:cs="Times New Roman"/>
        </w:rPr>
        <w:t xml:space="preserve">higher renewable share shifts the short-run supply curve outward, displacing higher-cost marginal units such as coal or natural gas. This effect lowers the equilibrium marginal price. Tsai and </w:t>
      </w:r>
      <w:proofErr w:type="spellStart"/>
      <w:r w:rsidRPr="006B62C2">
        <w:rPr>
          <w:rFonts w:ascii="Times New Roman" w:hAnsi="Times New Roman" w:cs="Times New Roman"/>
        </w:rPr>
        <w:t>Eryilmaz</w:t>
      </w:r>
      <w:proofErr w:type="spellEnd"/>
      <w:r w:rsidRPr="006B62C2">
        <w:rPr>
          <w:rFonts w:ascii="Times New Roman" w:hAnsi="Times New Roman" w:cs="Times New Roman"/>
        </w:rPr>
        <w:t xml:space="preserve"> (2018) and Woo et al. (2016) provide strong evidence for this relationship in ERCOT and CAISO, respectively, reinforcing the expectation that SPP should exhibit the same phenomenon.</w:t>
      </w:r>
    </w:p>
    <w:p w14:paraId="69957DA4" w14:textId="77777777" w:rsidR="00036D5C" w:rsidRPr="006B62C2" w:rsidRDefault="00036D5C" w:rsidP="00036D5C">
      <w:pPr>
        <w:spacing w:line="480" w:lineRule="auto"/>
        <w:rPr>
          <w:rFonts w:ascii="Times New Roman" w:hAnsi="Times New Roman" w:cs="Times New Roman"/>
        </w:rPr>
      </w:pPr>
      <w:r w:rsidRPr="006B62C2">
        <w:rPr>
          <w:rFonts w:ascii="Times New Roman" w:hAnsi="Times New Roman" w:cs="Times New Roman"/>
          <w:b/>
          <w:bCs/>
        </w:rPr>
        <w:lastRenderedPageBreak/>
        <w:t>Demand (</w:t>
      </w:r>
      <m:oMath>
        <m:sSub>
          <m:sSubPr>
            <m:ctrlPr>
              <w:rPr>
                <w:rFonts w:ascii="Cambria Math" w:hAnsi="Cambria Math" w:cs="Times New Roman"/>
                <w:b/>
                <w:bCs/>
              </w:rPr>
            </m:ctrlPr>
          </m:sSubPr>
          <m:e>
            <m:r>
              <m:rPr>
                <m:sty m:val="bi"/>
              </m:rPr>
              <w:rPr>
                <w:rFonts w:ascii="Cambria Math" w:hAnsi="Cambria Math" w:cs="Times New Roman"/>
              </w:rPr>
              <m:t>β</m:t>
            </m:r>
          </m:e>
          <m:sub>
            <m:r>
              <m:rPr>
                <m:sty m:val="bi"/>
              </m:rPr>
              <w:rPr>
                <w:rFonts w:ascii="Cambria Math" w:hAnsi="Cambria Math" w:cs="Times New Roman"/>
              </w:rPr>
              <m:t>2</m:t>
            </m:r>
          </m:sub>
        </m:sSub>
        <m:r>
          <m:rPr>
            <m:sty m:val="bi"/>
          </m:rPr>
          <w:rPr>
            <w:rFonts w:ascii="Cambria Math" w:hAnsi="Cambria Math" w:cs="Times New Roman"/>
          </w:rPr>
          <m:t>&gt;0</m:t>
        </m:r>
      </m:oMath>
      <w:r w:rsidRPr="006B62C2">
        <w:rPr>
          <w:rFonts w:ascii="Times New Roman" w:hAnsi="Times New Roman" w:cs="Times New Roman"/>
          <w:b/>
          <w:bCs/>
        </w:rPr>
        <w:t>)</w:t>
      </w:r>
      <w:r w:rsidRPr="006B62C2">
        <w:rPr>
          <w:rFonts w:ascii="Times New Roman" w:hAnsi="Times New Roman" w:cs="Times New Roman"/>
        </w:rPr>
        <w:br/>
        <w:t>Higher system load increases the likelihood that more expensive generating units set the marginal price. Demand also intensifies transmission congestion and scarcity conditions, which can further elevate LMP. In almost all wholesale markets, demand is positively correlated with price due to these operational realities.</w:t>
      </w:r>
    </w:p>
    <w:p w14:paraId="2701FC7C" w14:textId="4C9BBE84" w:rsidR="00036D5C" w:rsidRPr="006B62C2" w:rsidRDefault="00036D5C" w:rsidP="00036D5C">
      <w:pPr>
        <w:spacing w:line="480" w:lineRule="auto"/>
        <w:rPr>
          <w:rFonts w:ascii="Times New Roman" w:hAnsi="Times New Roman" w:cs="Times New Roman"/>
        </w:rPr>
      </w:pPr>
      <w:r w:rsidRPr="006B62C2">
        <w:rPr>
          <w:rFonts w:ascii="Times New Roman" w:hAnsi="Times New Roman" w:cs="Times New Roman"/>
          <w:b/>
          <w:bCs/>
        </w:rPr>
        <w:t>Gas Price (</w:t>
      </w:r>
      <m:oMath>
        <m:sSub>
          <m:sSubPr>
            <m:ctrlPr>
              <w:rPr>
                <w:rFonts w:ascii="Cambria Math" w:hAnsi="Cambria Math" w:cs="Times New Roman"/>
                <w:b/>
                <w:bCs/>
              </w:rPr>
            </m:ctrlPr>
          </m:sSubPr>
          <m:e>
            <m:r>
              <m:rPr>
                <m:sty m:val="bi"/>
              </m:rPr>
              <w:rPr>
                <w:rFonts w:ascii="Cambria Math" w:hAnsi="Cambria Math" w:cs="Times New Roman"/>
              </w:rPr>
              <m:t>β</m:t>
            </m:r>
          </m:e>
          <m:sub>
            <m:r>
              <m:rPr>
                <m:sty m:val="bi"/>
              </m:rPr>
              <w:rPr>
                <w:rFonts w:ascii="Cambria Math" w:hAnsi="Cambria Math" w:cs="Times New Roman"/>
              </w:rPr>
              <m:t>3</m:t>
            </m:r>
          </m:sub>
        </m:sSub>
        <m:r>
          <m:rPr>
            <m:sty m:val="bi"/>
          </m:rPr>
          <w:rPr>
            <w:rFonts w:ascii="Cambria Math" w:hAnsi="Cambria Math" w:cs="Times New Roman"/>
          </w:rPr>
          <m:t>&gt;0</m:t>
        </m:r>
      </m:oMath>
      <w:r w:rsidRPr="006B62C2">
        <w:rPr>
          <w:rFonts w:ascii="Times New Roman" w:hAnsi="Times New Roman" w:cs="Times New Roman"/>
          <w:b/>
          <w:bCs/>
        </w:rPr>
        <w:t>)</w:t>
      </w:r>
      <w:r w:rsidRPr="006B62C2">
        <w:rPr>
          <w:rFonts w:ascii="Times New Roman" w:hAnsi="Times New Roman" w:cs="Times New Roman"/>
        </w:rPr>
        <w:br/>
        <w:t xml:space="preserve">Natural gas prices influence the marginal cost of gas-fired generators, which frequently set the price in SPP, especially during moderate renewable output or peak load hours. An increase in Henry Hub prices should therefore raise LMP. This relationship is well documented in both U.S. and European markets, including studies by Woo et al. (2016) and </w:t>
      </w:r>
      <w:proofErr w:type="spellStart"/>
      <w:r w:rsidRPr="006B62C2">
        <w:rPr>
          <w:rFonts w:ascii="Times New Roman" w:hAnsi="Times New Roman" w:cs="Times New Roman"/>
        </w:rPr>
        <w:t>Khoshrou</w:t>
      </w:r>
      <w:proofErr w:type="spellEnd"/>
      <w:r w:rsidRPr="006B62C2">
        <w:rPr>
          <w:rFonts w:ascii="Times New Roman" w:hAnsi="Times New Roman" w:cs="Times New Roman"/>
        </w:rPr>
        <w:t xml:space="preserve"> et al. (2019). As discussed later, this theoretically positive relationship is not observed in the results, </w:t>
      </w:r>
      <w:r w:rsidR="008C2AF4">
        <w:rPr>
          <w:rFonts w:ascii="Times New Roman" w:hAnsi="Times New Roman" w:cs="Times New Roman"/>
        </w:rPr>
        <w:t>suggesting</w:t>
      </w:r>
      <w:r w:rsidRPr="006B62C2">
        <w:rPr>
          <w:rFonts w:ascii="Times New Roman" w:hAnsi="Times New Roman" w:cs="Times New Roman"/>
        </w:rPr>
        <w:t xml:space="preserve"> either model limitations or </w:t>
      </w:r>
      <w:r w:rsidR="008C2AF4">
        <w:rPr>
          <w:rFonts w:ascii="Times New Roman" w:hAnsi="Times New Roman" w:cs="Times New Roman"/>
        </w:rPr>
        <w:t xml:space="preserve">a </w:t>
      </w:r>
      <w:r w:rsidRPr="006B62C2">
        <w:rPr>
          <w:rFonts w:ascii="Times New Roman" w:hAnsi="Times New Roman" w:cs="Times New Roman"/>
        </w:rPr>
        <w:t>proxy mismatch.</w:t>
      </w:r>
    </w:p>
    <w:p w14:paraId="123FD6D9" w14:textId="77777777" w:rsidR="00036D5C" w:rsidRDefault="00036D5C" w:rsidP="00036D5C">
      <w:pPr>
        <w:spacing w:line="480" w:lineRule="auto"/>
        <w:rPr>
          <w:rFonts w:ascii="Times New Roman" w:hAnsi="Times New Roman" w:cs="Times New Roman"/>
        </w:rPr>
      </w:pPr>
      <w:r w:rsidRPr="006B62C2">
        <w:rPr>
          <w:rFonts w:ascii="Times New Roman" w:hAnsi="Times New Roman" w:cs="Times New Roman"/>
          <w:b/>
          <w:bCs/>
        </w:rPr>
        <w:t>Structural Break Dummies (</w:t>
      </w:r>
      <m:oMath>
        <m:r>
          <m:rPr>
            <m:sty m:val="bi"/>
          </m:rPr>
          <w:rPr>
            <w:rFonts w:ascii="Cambria Math" w:hAnsi="Cambria Math" w:cs="Times New Roman"/>
          </w:rPr>
          <m:t>COVI</m:t>
        </m:r>
        <m:sSub>
          <m:sSubPr>
            <m:ctrlPr>
              <w:rPr>
                <w:rFonts w:ascii="Cambria Math" w:hAnsi="Cambria Math" w:cs="Times New Roman"/>
                <w:b/>
                <w:bCs/>
              </w:rPr>
            </m:ctrlPr>
          </m:sSubPr>
          <m:e>
            <m:r>
              <m:rPr>
                <m:sty m:val="bi"/>
              </m:rPr>
              <w:rPr>
                <w:rFonts w:ascii="Cambria Math" w:hAnsi="Cambria Math" w:cs="Times New Roman"/>
              </w:rPr>
              <m:t>D</m:t>
            </m:r>
          </m:e>
          <m:sub>
            <m:r>
              <m:rPr>
                <m:sty m:val="bi"/>
              </m:rPr>
              <w:rPr>
                <w:rFonts w:ascii="Cambria Math" w:hAnsi="Cambria Math" w:cs="Times New Roman"/>
              </w:rPr>
              <m:t>t</m:t>
            </m:r>
          </m:sub>
        </m:sSub>
      </m:oMath>
      <w:r w:rsidRPr="006B62C2">
        <w:rPr>
          <w:rFonts w:ascii="Times New Roman" w:hAnsi="Times New Roman" w:cs="Times New Roman"/>
          <w:b/>
          <w:bCs/>
        </w:rPr>
        <w:t xml:space="preserve"> and </w:t>
      </w:r>
      <m:oMath>
        <m:r>
          <m:rPr>
            <m:sty m:val="bi"/>
          </m:rPr>
          <w:rPr>
            <w:rFonts w:ascii="Cambria Math" w:hAnsi="Cambria Math" w:cs="Times New Roman"/>
          </w:rPr>
          <m:t>WA</m:t>
        </m:r>
        <m:sSub>
          <m:sSubPr>
            <m:ctrlPr>
              <w:rPr>
                <w:rFonts w:ascii="Cambria Math" w:hAnsi="Cambria Math" w:cs="Times New Roman"/>
                <w:b/>
                <w:bCs/>
              </w:rPr>
            </m:ctrlPr>
          </m:sSubPr>
          <m:e>
            <m:r>
              <m:rPr>
                <m:sty m:val="bi"/>
              </m:rPr>
              <w:rPr>
                <w:rFonts w:ascii="Cambria Math" w:hAnsi="Cambria Math" w:cs="Times New Roman"/>
              </w:rPr>
              <m:t>R</m:t>
            </m:r>
          </m:e>
          <m:sub>
            <m:r>
              <m:rPr>
                <m:sty m:val="bi"/>
              </m:rPr>
              <w:rPr>
                <w:rFonts w:ascii="Cambria Math" w:hAnsi="Cambria Math" w:cs="Times New Roman"/>
              </w:rPr>
              <m:t>t</m:t>
            </m:r>
          </m:sub>
        </m:sSub>
      </m:oMath>
      <w:r w:rsidRPr="006B62C2">
        <w:rPr>
          <w:rFonts w:ascii="Times New Roman" w:hAnsi="Times New Roman" w:cs="Times New Roman"/>
          <w:b/>
          <w:bCs/>
        </w:rPr>
        <w:t>)</w:t>
      </w:r>
      <w:r w:rsidRPr="006B62C2">
        <w:rPr>
          <w:rFonts w:ascii="Times New Roman" w:hAnsi="Times New Roman" w:cs="Times New Roman"/>
        </w:rPr>
        <w:br/>
        <w:t>These indicator variables capture sustained shifts in price levels associated with major economic disruptions. COVID affected demand patterns, fuel markets, and infrastructure operations, while the Russia-Ukraine war triggered global volatility in natural gas markets. Including structural break indicators avoids forcing these shifts into the coefficients of renewable share or demand, improving interpretability.</w:t>
      </w:r>
    </w:p>
    <w:p w14:paraId="36220658" w14:textId="27095584" w:rsidR="00036D5C" w:rsidRPr="00873CC7" w:rsidRDefault="00036D5C" w:rsidP="00036D5C">
      <w:pPr>
        <w:spacing w:line="480" w:lineRule="auto"/>
        <w:ind w:firstLine="720"/>
        <w:rPr>
          <w:rFonts w:ascii="Times New Roman" w:hAnsi="Times New Roman" w:cs="Times New Roman"/>
        </w:rPr>
      </w:pPr>
      <w:r w:rsidRPr="00873CC7">
        <w:rPr>
          <w:rFonts w:ascii="Times New Roman" w:hAnsi="Times New Roman" w:cs="Times New Roman"/>
        </w:rPr>
        <w:t xml:space="preserve">The second model </w:t>
      </w:r>
      <w:r w:rsidR="00AD56F2">
        <w:rPr>
          <w:rFonts w:ascii="Times New Roman" w:hAnsi="Times New Roman" w:cs="Times New Roman"/>
        </w:rPr>
        <w:t>adds to</w:t>
      </w:r>
      <w:r w:rsidRPr="00873CC7">
        <w:rPr>
          <w:rFonts w:ascii="Times New Roman" w:hAnsi="Times New Roman" w:cs="Times New Roman"/>
        </w:rPr>
        <w:t xml:space="preserve"> the baseline by introducing hour, day-of-week, and month fixed effects:</w:t>
      </w:r>
    </w:p>
    <w:p w14:paraId="525A2AB2" w14:textId="77777777" w:rsidR="00036D5C" w:rsidRPr="00873CC7" w:rsidRDefault="00F90555" w:rsidP="00036D5C">
      <w:pPr>
        <w:spacing w:line="480" w:lineRule="auto"/>
        <w:ind w:firstLine="72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RenewShar</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r>
            <w:rPr>
              <w:rFonts w:ascii="Cambria Math" w:hAnsi="Cambria Math" w:cs="Times New Roman"/>
            </w:rPr>
            <m:t>Deman</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3</m:t>
              </m:r>
            </m:sub>
          </m:sSub>
          <m:r>
            <w:rPr>
              <w:rFonts w:ascii="Cambria Math" w:hAnsi="Cambria Math" w:cs="Times New Roman"/>
            </w:rPr>
            <m:t>GasPric</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r>
            <w:rPr>
              <w:rFonts w:ascii="Cambria Math" w:hAnsi="Cambria Math" w:cs="Times New Roman"/>
            </w:rPr>
            <m:t>+COVI</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r>
            <w:rPr>
              <w:rFonts w:ascii="Cambria Math" w:hAnsi="Cambria Math" w:cs="Times New Roman"/>
            </w:rPr>
            <m:t>+WA</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hour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dow</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month</m:t>
              </m:r>
            </m:sub>
          </m:sSub>
          <m:r>
            <m:rPr>
              <m:sty m:val="p"/>
            </m:rPr>
            <w:rPr>
              <w:rFonts w:ascii="Cambria Math" w:hAnsi="Cambria Math" w:cs="Times New Roman"/>
            </w:rPr>
            <w:br/>
          </m:r>
        </m:oMath>
      </m:oMathPara>
    </w:p>
    <w:p w14:paraId="6824C880" w14:textId="09643366" w:rsidR="00036D5C" w:rsidRPr="00873CC7" w:rsidRDefault="00036D5C" w:rsidP="00036D5C">
      <w:pPr>
        <w:spacing w:line="480" w:lineRule="auto"/>
        <w:ind w:firstLine="720"/>
        <w:rPr>
          <w:rFonts w:ascii="Times New Roman" w:hAnsi="Times New Roman" w:cs="Times New Roman"/>
        </w:rPr>
      </w:pPr>
      <w:proofErr w:type="gramStart"/>
      <w:r w:rsidRPr="00873CC7">
        <w:rPr>
          <w:rFonts w:ascii="Times New Roman" w:hAnsi="Times New Roman" w:cs="Times New Roman"/>
        </w:rPr>
        <w:t>These time</w:t>
      </w:r>
      <w:proofErr w:type="gramEnd"/>
      <w:r w:rsidRPr="00873CC7">
        <w:rPr>
          <w:rFonts w:ascii="Times New Roman" w:hAnsi="Times New Roman" w:cs="Times New Roman"/>
        </w:rPr>
        <w:t xml:space="preserve"> fixed effects absorb predictable patterns in electricity prices that do not reflect the causal effects of interest.</w:t>
      </w:r>
      <w:r>
        <w:rPr>
          <w:rFonts w:ascii="Times New Roman" w:hAnsi="Times New Roman" w:cs="Times New Roman"/>
        </w:rPr>
        <w:t xml:space="preserve"> </w:t>
      </w:r>
      <w:r w:rsidRPr="00873CC7">
        <w:rPr>
          <w:rFonts w:ascii="Times New Roman" w:hAnsi="Times New Roman" w:cs="Times New Roman"/>
        </w:rPr>
        <w:t xml:space="preserve">Electricity prices follow strong diurnal cycles tied to load patterns, generator availability, renewable output, and ramping constraints. </w:t>
      </w:r>
      <w:proofErr w:type="spellStart"/>
      <w:r w:rsidRPr="00873CC7">
        <w:rPr>
          <w:rFonts w:ascii="Times New Roman" w:hAnsi="Times New Roman" w:cs="Times New Roman"/>
        </w:rPr>
        <w:t>Benhmad</w:t>
      </w:r>
      <w:proofErr w:type="spellEnd"/>
      <w:r w:rsidRPr="00873CC7">
        <w:rPr>
          <w:rFonts w:ascii="Times New Roman" w:hAnsi="Times New Roman" w:cs="Times New Roman"/>
        </w:rPr>
        <w:t xml:space="preserve"> and </w:t>
      </w:r>
      <w:proofErr w:type="spellStart"/>
      <w:r w:rsidRPr="00873CC7">
        <w:rPr>
          <w:rFonts w:ascii="Times New Roman" w:hAnsi="Times New Roman" w:cs="Times New Roman"/>
        </w:rPr>
        <w:t>Percebois</w:t>
      </w:r>
      <w:proofErr w:type="spellEnd"/>
      <w:r w:rsidRPr="00873CC7">
        <w:rPr>
          <w:rFonts w:ascii="Times New Roman" w:hAnsi="Times New Roman" w:cs="Times New Roman"/>
        </w:rPr>
        <w:t xml:space="preserve"> (2018) demonstrate that renewable effects vary significantly by hour, and </w:t>
      </w:r>
      <w:proofErr w:type="spellStart"/>
      <w:r w:rsidRPr="00873CC7">
        <w:rPr>
          <w:rFonts w:ascii="Times New Roman" w:hAnsi="Times New Roman" w:cs="Times New Roman"/>
        </w:rPr>
        <w:t>Tselika</w:t>
      </w:r>
      <w:proofErr w:type="spellEnd"/>
      <w:r w:rsidRPr="00873CC7">
        <w:rPr>
          <w:rFonts w:ascii="Times New Roman" w:hAnsi="Times New Roman" w:cs="Times New Roman"/>
        </w:rPr>
        <w:t xml:space="preserve"> (2022) shows that failing to account for hourly heterogeneity biases estimates. Including hour fixed effects isolates within-hour variation in renewable share and demand, producing cleaner estimates of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oMath>
      <w:r w:rsidRPr="00873CC7">
        <w:rPr>
          <w:rFonts w:ascii="Times New Roman" w:hAnsi="Times New Roman" w:cs="Times New Roman"/>
        </w:rPr>
        <w:t>.</w:t>
      </w:r>
      <w:r w:rsidRPr="00873CC7">
        <w:rPr>
          <w:rFonts w:ascii="Times New Roman" w:hAnsi="Times New Roman" w:cs="Times New Roman"/>
        </w:rPr>
        <w:br/>
        <w:t>Market conditions differ between weekdays and weekends due to industrial load profiles. Seasonal variation is driven by temperature, wind patterns, heating and cooling demand, and generator maintenance schedules. Month effects absorb this recurring seasonality, preventing it from the estimated effect of renewables.</w:t>
      </w:r>
      <w:r>
        <w:rPr>
          <w:rFonts w:ascii="Times New Roman" w:hAnsi="Times New Roman" w:cs="Times New Roman"/>
        </w:rPr>
        <w:t xml:space="preserve"> </w:t>
      </w:r>
      <w:r w:rsidRPr="00873CC7">
        <w:rPr>
          <w:rFonts w:ascii="Times New Roman" w:hAnsi="Times New Roman" w:cs="Times New Roman"/>
        </w:rPr>
        <w:t xml:space="preserve">Once fixed effects are included, the renewable share coefficient reflects comparisons within the same hour of the day, same day of the week, and same month. This </w:t>
      </w:r>
      <w:proofErr w:type="gramStart"/>
      <w:r w:rsidRPr="00873CC7">
        <w:rPr>
          <w:rFonts w:ascii="Times New Roman" w:hAnsi="Times New Roman" w:cs="Times New Roman"/>
        </w:rPr>
        <w:t>controls for</w:t>
      </w:r>
      <w:proofErr w:type="gramEnd"/>
      <w:r w:rsidRPr="00873CC7">
        <w:rPr>
          <w:rFonts w:ascii="Times New Roman" w:hAnsi="Times New Roman" w:cs="Times New Roman"/>
        </w:rPr>
        <w:t xml:space="preserve"> baseline operational differences and strengthens the interpretation of the merit</w:t>
      </w:r>
      <w:r w:rsidR="002F1C68">
        <w:rPr>
          <w:rFonts w:ascii="Times New Roman" w:hAnsi="Times New Roman" w:cs="Times New Roman"/>
        </w:rPr>
        <w:t>-</w:t>
      </w:r>
      <w:r w:rsidRPr="00873CC7">
        <w:rPr>
          <w:rFonts w:ascii="Times New Roman" w:hAnsi="Times New Roman" w:cs="Times New Roman"/>
        </w:rPr>
        <w:t>order effect.</w:t>
      </w:r>
    </w:p>
    <w:p w14:paraId="662CCE88" w14:textId="010B2661" w:rsidR="00036D5C" w:rsidRPr="00810567" w:rsidRDefault="002F1C68" w:rsidP="00036D5C">
      <w:pPr>
        <w:spacing w:line="480" w:lineRule="auto"/>
        <w:ind w:firstLine="720"/>
        <w:rPr>
          <w:rFonts w:ascii="Times New Roman" w:hAnsi="Times New Roman" w:cs="Times New Roman"/>
        </w:rPr>
      </w:pPr>
      <w:r>
        <w:rPr>
          <w:rFonts w:ascii="Times New Roman" w:hAnsi="Times New Roman" w:cs="Times New Roman"/>
        </w:rPr>
        <w:t>This approach</w:t>
      </w:r>
      <w:r w:rsidR="00036D5C" w:rsidRPr="00810567">
        <w:rPr>
          <w:rFonts w:ascii="Times New Roman" w:hAnsi="Times New Roman" w:cs="Times New Roman"/>
        </w:rPr>
        <w:t xml:space="preserve"> relies on high-frequency variation in renewable penetration that is plausibly </w:t>
      </w:r>
      <w:r>
        <w:rPr>
          <w:rFonts w:ascii="Times New Roman" w:hAnsi="Times New Roman" w:cs="Times New Roman"/>
        </w:rPr>
        <w:t>independent</w:t>
      </w:r>
      <w:r w:rsidR="00036D5C" w:rsidRPr="00810567">
        <w:rPr>
          <w:rFonts w:ascii="Times New Roman" w:hAnsi="Times New Roman" w:cs="Times New Roman"/>
        </w:rPr>
        <w:t xml:space="preserve"> to short-run wholesale price movements. Hourly changes in wind and solar output are largely driven by weather patterns rather than market conditions. This exogeneity supports the interpretation of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oMath>
      <w:r w:rsidR="00036D5C" w:rsidRPr="00810567">
        <w:rPr>
          <w:rFonts w:ascii="Times New Roman" w:hAnsi="Times New Roman" w:cs="Times New Roman"/>
        </w:rPr>
        <w:t>as the causal effect of renewable penetration on LMP.</w:t>
      </w:r>
    </w:p>
    <w:p w14:paraId="5FFC3728" w14:textId="21BE2A80" w:rsidR="00036D5C" w:rsidRPr="00810567" w:rsidRDefault="00E51631" w:rsidP="00036D5C">
      <w:pPr>
        <w:spacing w:line="480" w:lineRule="auto"/>
        <w:ind w:firstLine="720"/>
        <w:rPr>
          <w:rFonts w:ascii="Times New Roman" w:hAnsi="Times New Roman" w:cs="Times New Roman"/>
        </w:rPr>
      </w:pPr>
      <w:r>
        <w:rPr>
          <w:rFonts w:ascii="Times New Roman" w:hAnsi="Times New Roman" w:cs="Times New Roman"/>
        </w:rPr>
        <w:t>There were a few limitations that</w:t>
      </w:r>
      <w:r w:rsidR="00036D5C" w:rsidRPr="00810567">
        <w:rPr>
          <w:rFonts w:ascii="Times New Roman" w:hAnsi="Times New Roman" w:cs="Times New Roman"/>
        </w:rPr>
        <w:t xml:space="preserve"> are worth noting:</w:t>
      </w:r>
    </w:p>
    <w:p w14:paraId="69DCEE1E" w14:textId="77777777" w:rsidR="00036D5C" w:rsidRPr="00810567" w:rsidRDefault="00036D5C" w:rsidP="00036D5C">
      <w:pPr>
        <w:spacing w:line="480" w:lineRule="auto"/>
        <w:rPr>
          <w:rFonts w:ascii="Times New Roman" w:hAnsi="Times New Roman" w:cs="Times New Roman"/>
        </w:rPr>
      </w:pPr>
      <w:r w:rsidRPr="00810567">
        <w:rPr>
          <w:rFonts w:ascii="Times New Roman" w:hAnsi="Times New Roman" w:cs="Times New Roman"/>
          <w:b/>
          <w:bCs/>
        </w:rPr>
        <w:t>Omitted Variable Bias</w:t>
      </w:r>
      <w:r w:rsidRPr="00810567">
        <w:rPr>
          <w:rFonts w:ascii="Times New Roman" w:hAnsi="Times New Roman" w:cs="Times New Roman"/>
        </w:rPr>
        <w:br/>
        <w:t xml:space="preserve">Congestion, outages, extreme weather events, and ancillary services can influence LMP. While </w:t>
      </w:r>
      <w:r w:rsidRPr="00810567">
        <w:rPr>
          <w:rFonts w:ascii="Times New Roman" w:hAnsi="Times New Roman" w:cs="Times New Roman"/>
        </w:rPr>
        <w:lastRenderedPageBreak/>
        <w:t>many of these factors are indirectly absorbed by time fixed effects, some residual may remain. Future work could include measures of net load, weather conditions, or congestion indicators.</w:t>
      </w:r>
    </w:p>
    <w:p w14:paraId="5BA7E703" w14:textId="77777777" w:rsidR="00036D5C" w:rsidRPr="00810567" w:rsidRDefault="00036D5C" w:rsidP="00036D5C">
      <w:pPr>
        <w:spacing w:line="480" w:lineRule="auto"/>
        <w:rPr>
          <w:rFonts w:ascii="Times New Roman" w:hAnsi="Times New Roman" w:cs="Times New Roman"/>
        </w:rPr>
      </w:pPr>
      <w:r w:rsidRPr="00810567">
        <w:rPr>
          <w:rFonts w:ascii="Times New Roman" w:hAnsi="Times New Roman" w:cs="Times New Roman"/>
          <w:b/>
          <w:bCs/>
        </w:rPr>
        <w:t>Gas Price Measurement Error</w:t>
      </w:r>
      <w:r w:rsidRPr="00810567">
        <w:rPr>
          <w:rFonts w:ascii="Times New Roman" w:hAnsi="Times New Roman" w:cs="Times New Roman"/>
        </w:rPr>
        <w:br/>
        <w:t xml:space="preserve">Henry Hub is not the actual marginal fuel cost in SPP. Basis differences, pipeline constraints, and procurement timing may weaken the relationship between Henry Hub prices and market prices in SPP. Measurement error in </w:t>
      </w:r>
      <w:proofErr w:type="spellStart"/>
      <w:r w:rsidRPr="00810567">
        <w:rPr>
          <w:rFonts w:ascii="Times New Roman" w:hAnsi="Times New Roman" w:cs="Times New Roman"/>
        </w:rPr>
        <w:t>Gas</w:t>
      </w:r>
      <w:r>
        <w:rPr>
          <w:rFonts w:ascii="Times New Roman" w:hAnsi="Times New Roman" w:cs="Times New Roman"/>
        </w:rPr>
        <w:t>_</w:t>
      </w:r>
      <w:r w:rsidRPr="00810567">
        <w:rPr>
          <w:rFonts w:ascii="Times New Roman" w:hAnsi="Times New Roman" w:cs="Times New Roman"/>
        </w:rPr>
        <w:t>Price</w:t>
      </w:r>
      <w:proofErr w:type="spellEnd"/>
      <w:r w:rsidRPr="00810567">
        <w:rPr>
          <w:rFonts w:ascii="Times New Roman" w:hAnsi="Times New Roman" w:cs="Times New Roman"/>
        </w:rPr>
        <w:t xml:space="preserve"> may bias its estimated coefficient and could spill over into other coefficients.</w:t>
      </w:r>
    </w:p>
    <w:p w14:paraId="5356506E" w14:textId="77777777" w:rsidR="00036D5C" w:rsidRPr="00810567" w:rsidRDefault="00036D5C" w:rsidP="00036D5C">
      <w:pPr>
        <w:spacing w:line="480" w:lineRule="auto"/>
        <w:rPr>
          <w:rFonts w:ascii="Times New Roman" w:hAnsi="Times New Roman" w:cs="Times New Roman"/>
        </w:rPr>
      </w:pPr>
      <w:r w:rsidRPr="00810567">
        <w:rPr>
          <w:rFonts w:ascii="Times New Roman" w:hAnsi="Times New Roman" w:cs="Times New Roman"/>
          <w:b/>
          <w:bCs/>
        </w:rPr>
        <w:t>Congestion Effects</w:t>
      </w:r>
      <w:r w:rsidRPr="00810567">
        <w:rPr>
          <w:rFonts w:ascii="Times New Roman" w:hAnsi="Times New Roman" w:cs="Times New Roman"/>
        </w:rPr>
        <w:br/>
        <w:t>While renewable output is largely exogenous, the effect of renewables on congestion patterns could complicate interpretation. High renewable output can both lower the marginal production cost and increase local congestion, sometimes producing counterintuitive price outcomes. This paper focuses on systemwide LMP averages, which reduces but does not eliminate this concern.</w:t>
      </w:r>
    </w:p>
    <w:p w14:paraId="31586CD8" w14:textId="77777777" w:rsidR="00036D5C" w:rsidRPr="00C70DDC" w:rsidRDefault="00036D5C" w:rsidP="00036D5C">
      <w:pPr>
        <w:spacing w:line="480" w:lineRule="auto"/>
        <w:rPr>
          <w:rFonts w:ascii="Times New Roman" w:hAnsi="Times New Roman" w:cs="Times New Roman"/>
          <w:b/>
          <w:bCs/>
          <w:sz w:val="28"/>
          <w:szCs w:val="28"/>
        </w:rPr>
      </w:pPr>
      <w:r w:rsidRPr="00C70DDC">
        <w:rPr>
          <w:rFonts w:ascii="Times New Roman" w:hAnsi="Times New Roman" w:cs="Times New Roman"/>
          <w:b/>
          <w:bCs/>
          <w:sz w:val="28"/>
          <w:szCs w:val="28"/>
        </w:rPr>
        <w:t>Empirical Results</w:t>
      </w:r>
    </w:p>
    <w:p w14:paraId="28546EFD" w14:textId="77777777" w:rsidR="00036D5C" w:rsidRPr="001317B9" w:rsidRDefault="00036D5C" w:rsidP="00036D5C">
      <w:pPr>
        <w:spacing w:line="480" w:lineRule="auto"/>
        <w:rPr>
          <w:rFonts w:ascii="Times New Roman" w:hAnsi="Times New Roman" w:cs="Times New Roman"/>
          <w:b/>
          <w:bCs/>
        </w:rPr>
      </w:pPr>
      <w:r w:rsidRPr="001317B9">
        <w:rPr>
          <w:rFonts w:ascii="Times New Roman" w:hAnsi="Times New Roman" w:cs="Times New Roman"/>
          <w:b/>
          <w:bCs/>
        </w:rPr>
        <w:t>Baseline Model</w:t>
      </w:r>
    </w:p>
    <w:p w14:paraId="4A32B58E" w14:textId="23CC1282" w:rsidR="00036D5C" w:rsidRPr="001317B9" w:rsidRDefault="00036D5C" w:rsidP="00036D5C">
      <w:pPr>
        <w:spacing w:line="480" w:lineRule="auto"/>
        <w:ind w:firstLine="720"/>
        <w:rPr>
          <w:rFonts w:ascii="Times New Roman" w:hAnsi="Times New Roman" w:cs="Times New Roman"/>
        </w:rPr>
      </w:pPr>
      <w:r>
        <w:rPr>
          <w:rFonts w:ascii="Times New Roman" w:hAnsi="Times New Roman" w:cs="Times New Roman"/>
        </w:rPr>
        <w:t xml:space="preserve">Table 3 presents the results of an OLS regression for the independent variables of the hourly day-ahead LMPs in the SPP market. </w:t>
      </w:r>
      <w:r w:rsidRPr="001317B9">
        <w:rPr>
          <w:rFonts w:ascii="Times New Roman" w:hAnsi="Times New Roman" w:cs="Times New Roman"/>
        </w:rPr>
        <w:t>The baseline model yields a renewable share coefficient of −1.189, which is statistically significant at conventional levels. This coefficient implies that a 1</w:t>
      </w:r>
      <w:r>
        <w:rPr>
          <w:rFonts w:ascii="Times New Roman" w:hAnsi="Times New Roman" w:cs="Times New Roman"/>
        </w:rPr>
        <w:t>%</w:t>
      </w:r>
      <w:r w:rsidRPr="001317B9">
        <w:rPr>
          <w:rFonts w:ascii="Times New Roman" w:hAnsi="Times New Roman" w:cs="Times New Roman"/>
        </w:rPr>
        <w:t xml:space="preserve"> increase in renewable penetration </w:t>
      </w:r>
      <w:r>
        <w:rPr>
          <w:rFonts w:ascii="Times New Roman" w:hAnsi="Times New Roman" w:cs="Times New Roman"/>
        </w:rPr>
        <w:t>relate</w:t>
      </w:r>
      <w:r w:rsidRPr="001317B9">
        <w:rPr>
          <w:rFonts w:ascii="Times New Roman" w:hAnsi="Times New Roman" w:cs="Times New Roman"/>
        </w:rPr>
        <w:t xml:space="preserve">s to a </w:t>
      </w:r>
      <w:r>
        <w:rPr>
          <w:rFonts w:ascii="Times New Roman" w:hAnsi="Times New Roman" w:cs="Times New Roman"/>
        </w:rPr>
        <w:t>$</w:t>
      </w:r>
      <w:r w:rsidRPr="001317B9">
        <w:rPr>
          <w:rFonts w:ascii="Times New Roman" w:hAnsi="Times New Roman" w:cs="Times New Roman"/>
        </w:rPr>
        <w:t>1</w:t>
      </w:r>
      <w:r>
        <w:rPr>
          <w:rFonts w:ascii="Times New Roman" w:hAnsi="Times New Roman" w:cs="Times New Roman"/>
        </w:rPr>
        <w:t>.19</w:t>
      </w:r>
      <w:r w:rsidRPr="001317B9">
        <w:rPr>
          <w:rFonts w:ascii="Times New Roman" w:hAnsi="Times New Roman" w:cs="Times New Roman"/>
        </w:rPr>
        <w:t xml:space="preserve"> decrease in hourly LMP</w:t>
      </w:r>
      <w:r>
        <w:rPr>
          <w:rFonts w:ascii="Times New Roman" w:hAnsi="Times New Roman" w:cs="Times New Roman"/>
        </w:rPr>
        <w:t>,</w:t>
      </w:r>
      <w:r w:rsidRPr="005920A2">
        <w:t xml:space="preserve"> </w:t>
      </w:r>
      <w:r w:rsidRPr="005920A2">
        <w:rPr>
          <w:rFonts w:ascii="Times New Roman" w:hAnsi="Times New Roman" w:cs="Times New Roman"/>
        </w:rPr>
        <w:t xml:space="preserve">holding constant demand, natural gas prices, and </w:t>
      </w:r>
      <w:r>
        <w:rPr>
          <w:rFonts w:ascii="Times New Roman" w:hAnsi="Times New Roman" w:cs="Times New Roman"/>
        </w:rPr>
        <w:t>dummies</w:t>
      </w:r>
      <w:r w:rsidRPr="005920A2">
        <w:rPr>
          <w:rFonts w:ascii="Times New Roman" w:hAnsi="Times New Roman" w:cs="Times New Roman"/>
        </w:rPr>
        <w:t xml:space="preserve">. In economic terms, this implies that a </w:t>
      </w:r>
      <w:r>
        <w:rPr>
          <w:rFonts w:ascii="Times New Roman" w:hAnsi="Times New Roman" w:cs="Times New Roman"/>
        </w:rPr>
        <w:t>10%</w:t>
      </w:r>
      <w:r w:rsidRPr="005920A2">
        <w:rPr>
          <w:rFonts w:ascii="Times New Roman" w:hAnsi="Times New Roman" w:cs="Times New Roman"/>
        </w:rPr>
        <w:t xml:space="preserve"> increase in renewable share lowers LMP by almost </w:t>
      </w:r>
      <w:r>
        <w:rPr>
          <w:rFonts w:ascii="Times New Roman" w:hAnsi="Times New Roman" w:cs="Times New Roman"/>
        </w:rPr>
        <w:t>$12</w:t>
      </w:r>
      <w:r w:rsidRPr="005920A2">
        <w:rPr>
          <w:rFonts w:ascii="Times New Roman" w:hAnsi="Times New Roman" w:cs="Times New Roman"/>
        </w:rPr>
        <w:t xml:space="preserve">. Given that average LMP in SPP hovers around </w:t>
      </w:r>
      <w:r>
        <w:rPr>
          <w:rFonts w:ascii="Times New Roman" w:hAnsi="Times New Roman" w:cs="Times New Roman"/>
        </w:rPr>
        <w:t>$34.99</w:t>
      </w:r>
      <w:r w:rsidRPr="005920A2">
        <w:rPr>
          <w:rFonts w:ascii="Times New Roman" w:hAnsi="Times New Roman" w:cs="Times New Roman"/>
        </w:rPr>
        <w:t xml:space="preserve">, this effect is substantial. It indicates that renewable penetration can </w:t>
      </w:r>
      <w:r w:rsidRPr="005920A2">
        <w:rPr>
          <w:rFonts w:ascii="Times New Roman" w:hAnsi="Times New Roman" w:cs="Times New Roman"/>
        </w:rPr>
        <w:lastRenderedPageBreak/>
        <w:t xml:space="preserve">influence price outcomes by a magnitude that is operationally meaningful for utilities and </w:t>
      </w:r>
      <w:r>
        <w:rPr>
          <w:rFonts w:ascii="Times New Roman" w:hAnsi="Times New Roman" w:cs="Times New Roman"/>
        </w:rPr>
        <w:t>customers</w:t>
      </w:r>
      <w:r w:rsidRPr="005920A2">
        <w:rPr>
          <w:rFonts w:ascii="Times New Roman" w:hAnsi="Times New Roman" w:cs="Times New Roman"/>
        </w:rPr>
        <w:t>.</w:t>
      </w:r>
      <w:r>
        <w:rPr>
          <w:rFonts w:ascii="Times New Roman" w:hAnsi="Times New Roman" w:cs="Times New Roman"/>
        </w:rPr>
        <w:t xml:space="preserve"> </w:t>
      </w:r>
    </w:p>
    <w:p w14:paraId="166BD3AB" w14:textId="34FE9E29" w:rsidR="00036D5C" w:rsidRPr="00144C83" w:rsidRDefault="00036D5C" w:rsidP="00036D5C">
      <w:pPr>
        <w:spacing w:line="480" w:lineRule="auto"/>
        <w:ind w:firstLine="720"/>
        <w:rPr>
          <w:rFonts w:ascii="Times New Roman" w:hAnsi="Times New Roman" w:cs="Times New Roman"/>
        </w:rPr>
      </w:pPr>
      <w:r w:rsidRPr="00144C83">
        <w:rPr>
          <w:rFonts w:ascii="Times New Roman" w:hAnsi="Times New Roman" w:cs="Times New Roman"/>
        </w:rPr>
        <w:t xml:space="preserve">The positive and significant coefficient on Demand is consistent with expectations. As demand rises, SPP must dispatch more expensive generators, often gas-fired units or coal plants operating on the upward portion of their marginal cost curves. The demand coefficient from the baseline model is 0.002, implying that a 1,000 MWh increase in system load raises price by </w:t>
      </w:r>
      <w:r>
        <w:rPr>
          <w:rFonts w:ascii="Times New Roman" w:hAnsi="Times New Roman" w:cs="Times New Roman"/>
        </w:rPr>
        <w:t>$2/</w:t>
      </w:r>
      <w:r w:rsidRPr="00144C83">
        <w:rPr>
          <w:rFonts w:ascii="Times New Roman" w:hAnsi="Times New Roman" w:cs="Times New Roman"/>
        </w:rPr>
        <w:t xml:space="preserve">MWh. This </w:t>
      </w:r>
      <w:r w:rsidR="00E51631">
        <w:rPr>
          <w:rFonts w:ascii="Times New Roman" w:hAnsi="Times New Roman" w:cs="Times New Roman"/>
        </w:rPr>
        <w:t>tracks with</w:t>
      </w:r>
      <w:r w:rsidRPr="00144C83">
        <w:rPr>
          <w:rFonts w:ascii="Times New Roman" w:hAnsi="Times New Roman" w:cs="Times New Roman"/>
        </w:rPr>
        <w:t xml:space="preserve"> market dynamics, where high-demand periods correspond with higher marginal costs and increased congestion.</w:t>
      </w:r>
    </w:p>
    <w:p w14:paraId="41A3FABF" w14:textId="77777777" w:rsidR="00036D5C" w:rsidRPr="00144C83" w:rsidRDefault="00036D5C" w:rsidP="00036D5C">
      <w:pPr>
        <w:spacing w:line="480" w:lineRule="auto"/>
        <w:ind w:firstLine="720"/>
        <w:rPr>
          <w:rFonts w:ascii="Times New Roman" w:hAnsi="Times New Roman" w:cs="Times New Roman"/>
        </w:rPr>
      </w:pPr>
      <w:r w:rsidRPr="00144C83">
        <w:rPr>
          <w:rFonts w:ascii="Times New Roman" w:hAnsi="Times New Roman" w:cs="Times New Roman"/>
        </w:rPr>
        <w:t xml:space="preserve">The coefficients on COVID and WAR are both large and positive, with magnitudes of </w:t>
      </w:r>
      <w:r>
        <w:rPr>
          <w:rFonts w:ascii="Times New Roman" w:hAnsi="Times New Roman" w:cs="Times New Roman"/>
        </w:rPr>
        <w:t>$</w:t>
      </w:r>
      <w:r w:rsidRPr="00144C83">
        <w:rPr>
          <w:rFonts w:ascii="Times New Roman" w:hAnsi="Times New Roman" w:cs="Times New Roman"/>
        </w:rPr>
        <w:t xml:space="preserve">19.02 and </w:t>
      </w:r>
      <w:r>
        <w:rPr>
          <w:rFonts w:ascii="Times New Roman" w:hAnsi="Times New Roman" w:cs="Times New Roman"/>
        </w:rPr>
        <w:t>$</w:t>
      </w:r>
      <w:r w:rsidRPr="00144C83">
        <w:rPr>
          <w:rFonts w:ascii="Times New Roman" w:hAnsi="Times New Roman" w:cs="Times New Roman"/>
        </w:rPr>
        <w:t>11.86, respectively. These results suggest that during the COVID period and following the onset of the Russia–Ukraine war, SPP experienced persistent upward shifts in average prices that are not explained by renewable penetration, demand, or gas prices. These structural shifts likely reflect broader economic disruptions, including fuel price volatility, supply chain constraints,</w:t>
      </w:r>
      <w:r>
        <w:rPr>
          <w:rFonts w:ascii="Times New Roman" w:hAnsi="Times New Roman" w:cs="Times New Roman"/>
        </w:rPr>
        <w:t xml:space="preserve"> and</w:t>
      </w:r>
      <w:r w:rsidRPr="00144C83">
        <w:rPr>
          <w:rFonts w:ascii="Times New Roman" w:hAnsi="Times New Roman" w:cs="Times New Roman"/>
        </w:rPr>
        <w:t xml:space="preserve"> changes in industrial load pattern</w:t>
      </w:r>
      <w:r>
        <w:rPr>
          <w:rFonts w:ascii="Times New Roman" w:hAnsi="Times New Roman" w:cs="Times New Roman"/>
        </w:rPr>
        <w:t>s</w:t>
      </w:r>
      <w:r w:rsidRPr="00144C83">
        <w:rPr>
          <w:rFonts w:ascii="Times New Roman" w:hAnsi="Times New Roman" w:cs="Times New Roman"/>
        </w:rPr>
        <w:t>. The positive signs are consistent with studies documenting price increases during crisis periods in other wholesale markets.</w:t>
      </w:r>
    </w:p>
    <w:p w14:paraId="4AD750FF" w14:textId="4D3FA20B" w:rsidR="00036D5C" w:rsidRPr="00144C83" w:rsidRDefault="00036D5C" w:rsidP="00036D5C">
      <w:pPr>
        <w:spacing w:line="480" w:lineRule="auto"/>
        <w:ind w:firstLine="720"/>
        <w:rPr>
          <w:rFonts w:ascii="Times New Roman" w:hAnsi="Times New Roman" w:cs="Times New Roman"/>
        </w:rPr>
      </w:pPr>
      <w:r w:rsidRPr="00144C83">
        <w:rPr>
          <w:rFonts w:ascii="Times New Roman" w:hAnsi="Times New Roman" w:cs="Times New Roman"/>
        </w:rPr>
        <w:t xml:space="preserve">The most unexpected result from the baseline </w:t>
      </w:r>
      <w:r w:rsidR="00E51631">
        <w:rPr>
          <w:rFonts w:ascii="Times New Roman" w:hAnsi="Times New Roman" w:cs="Times New Roman"/>
        </w:rPr>
        <w:t xml:space="preserve">model </w:t>
      </w:r>
      <w:r w:rsidRPr="00144C83">
        <w:rPr>
          <w:rFonts w:ascii="Times New Roman" w:hAnsi="Times New Roman" w:cs="Times New Roman"/>
        </w:rPr>
        <w:t xml:space="preserve">is the sign on </w:t>
      </w:r>
      <w:proofErr w:type="spellStart"/>
      <w:r w:rsidRPr="00144C83">
        <w:rPr>
          <w:rFonts w:ascii="Times New Roman" w:hAnsi="Times New Roman" w:cs="Times New Roman"/>
        </w:rPr>
        <w:t>Gas_Price</w:t>
      </w:r>
      <w:proofErr w:type="spellEnd"/>
      <w:r w:rsidRPr="00144C83">
        <w:rPr>
          <w:rFonts w:ascii="Times New Roman" w:hAnsi="Times New Roman" w:cs="Times New Roman"/>
        </w:rPr>
        <w:t xml:space="preserve">, which is negative (−2.63) and statistically significant. </w:t>
      </w:r>
      <w:r w:rsidR="00D64751">
        <w:rPr>
          <w:rFonts w:ascii="Times New Roman" w:hAnsi="Times New Roman" w:cs="Times New Roman"/>
        </w:rPr>
        <w:t xml:space="preserve">It should be a positive relationship as natural gas is often used as the baseload </w:t>
      </w:r>
      <w:r w:rsidR="002F1C68">
        <w:rPr>
          <w:rFonts w:ascii="Times New Roman" w:hAnsi="Times New Roman" w:cs="Times New Roman"/>
        </w:rPr>
        <w:t xml:space="preserve">fuel source </w:t>
      </w:r>
      <w:r w:rsidR="00D64751">
        <w:rPr>
          <w:rFonts w:ascii="Times New Roman" w:hAnsi="Times New Roman" w:cs="Times New Roman"/>
        </w:rPr>
        <w:t xml:space="preserve">and </w:t>
      </w:r>
      <w:r w:rsidR="00D64751" w:rsidRPr="00144C83">
        <w:rPr>
          <w:rFonts w:ascii="Times New Roman" w:hAnsi="Times New Roman" w:cs="Times New Roman"/>
        </w:rPr>
        <w:t xml:space="preserve">frequently </w:t>
      </w:r>
      <w:r w:rsidR="00D64751">
        <w:rPr>
          <w:rFonts w:ascii="Times New Roman" w:hAnsi="Times New Roman" w:cs="Times New Roman"/>
        </w:rPr>
        <w:t>sets the marginal price, so</w:t>
      </w:r>
      <w:r w:rsidR="00D64751" w:rsidRPr="00144C83">
        <w:rPr>
          <w:rFonts w:ascii="Times New Roman" w:hAnsi="Times New Roman" w:cs="Times New Roman"/>
        </w:rPr>
        <w:t xml:space="preserve"> an increase in natural gas cost should raise LMP. </w:t>
      </w:r>
      <w:r>
        <w:rPr>
          <w:rFonts w:ascii="Times New Roman" w:hAnsi="Times New Roman" w:cs="Times New Roman"/>
        </w:rPr>
        <w:t>Because</w:t>
      </w:r>
      <w:r w:rsidRPr="00144C83">
        <w:rPr>
          <w:rFonts w:ascii="Times New Roman" w:hAnsi="Times New Roman" w:cs="Times New Roman"/>
        </w:rPr>
        <w:t xml:space="preserve"> this relationship appears negative in the baseline model</w:t>
      </w:r>
      <w:r w:rsidR="00FA2B8E">
        <w:rPr>
          <w:rFonts w:ascii="Times New Roman" w:hAnsi="Times New Roman" w:cs="Times New Roman"/>
        </w:rPr>
        <w:t>, it</w:t>
      </w:r>
      <w:r w:rsidRPr="00144C83">
        <w:rPr>
          <w:rFonts w:ascii="Times New Roman" w:hAnsi="Times New Roman" w:cs="Times New Roman"/>
        </w:rPr>
        <w:t xml:space="preserve"> </w:t>
      </w:r>
      <w:r>
        <w:rPr>
          <w:rFonts w:ascii="Times New Roman" w:hAnsi="Times New Roman" w:cs="Times New Roman"/>
        </w:rPr>
        <w:t xml:space="preserve">might suggest </w:t>
      </w:r>
      <w:r w:rsidR="00E51631">
        <w:rPr>
          <w:rFonts w:ascii="Times New Roman" w:hAnsi="Times New Roman" w:cs="Times New Roman"/>
        </w:rPr>
        <w:t>that</w:t>
      </w:r>
      <w:r w:rsidRPr="00144C83">
        <w:rPr>
          <w:rFonts w:ascii="Times New Roman" w:hAnsi="Times New Roman" w:cs="Times New Roman"/>
        </w:rPr>
        <w:t xml:space="preserve"> multicollinearity between </w:t>
      </w:r>
      <w:proofErr w:type="spellStart"/>
      <w:r w:rsidRPr="00144C83">
        <w:rPr>
          <w:rFonts w:ascii="Times New Roman" w:hAnsi="Times New Roman" w:cs="Times New Roman"/>
        </w:rPr>
        <w:t>Gas_Price</w:t>
      </w:r>
      <w:proofErr w:type="spellEnd"/>
      <w:r w:rsidRPr="00144C83">
        <w:rPr>
          <w:rFonts w:ascii="Times New Roman" w:hAnsi="Times New Roman" w:cs="Times New Roman"/>
        </w:rPr>
        <w:t xml:space="preserve"> and the WAR dummy could distort the coefficient.</w:t>
      </w:r>
      <w:r>
        <w:rPr>
          <w:rFonts w:ascii="Times New Roman" w:hAnsi="Times New Roman" w:cs="Times New Roman"/>
        </w:rPr>
        <w:t xml:space="preserve"> This inconsistency does not undermine the main finding on renewable penetration but signals</w:t>
      </w:r>
      <w:r w:rsidRPr="00144C83">
        <w:rPr>
          <w:rFonts w:ascii="Times New Roman" w:hAnsi="Times New Roman" w:cs="Times New Roman"/>
        </w:rPr>
        <w:t xml:space="preserve"> a limitation of the data.</w:t>
      </w:r>
    </w:p>
    <w:p w14:paraId="414B17C9" w14:textId="77777777" w:rsidR="00036D5C" w:rsidRPr="00144C83" w:rsidRDefault="00036D5C" w:rsidP="00036D5C">
      <w:pPr>
        <w:spacing w:line="480" w:lineRule="auto"/>
        <w:ind w:firstLine="720"/>
        <w:rPr>
          <w:rFonts w:ascii="Times New Roman" w:hAnsi="Times New Roman" w:cs="Times New Roman"/>
        </w:rPr>
      </w:pPr>
      <w:r w:rsidRPr="00144C83">
        <w:rPr>
          <w:rFonts w:ascii="Times New Roman" w:hAnsi="Times New Roman" w:cs="Times New Roman"/>
        </w:rPr>
        <w:lastRenderedPageBreak/>
        <w:t xml:space="preserve">Model fit, as measured by R-squared, is 0.035, which is low but entirely typical for hourly wholesale electricity models. LMP is influenced by many short-run operational factors not captured here, such as congestion patterns, unit outages, ramping constraints, negative-price incentives, and scarcity pricing. Previous work, including Tsai and </w:t>
      </w:r>
      <w:proofErr w:type="spellStart"/>
      <w:r w:rsidRPr="00144C83">
        <w:rPr>
          <w:rFonts w:ascii="Times New Roman" w:hAnsi="Times New Roman" w:cs="Times New Roman"/>
        </w:rPr>
        <w:t>Eryilmaz</w:t>
      </w:r>
      <w:proofErr w:type="spellEnd"/>
      <w:r w:rsidRPr="00144C83">
        <w:rPr>
          <w:rFonts w:ascii="Times New Roman" w:hAnsi="Times New Roman" w:cs="Times New Roman"/>
        </w:rPr>
        <w:t xml:space="preserve"> (2018), acknowledges that high-frequency LMP variation is inherently noisy and difficult to fully explain with observable fundamentals. The low R-squared is not a concern and does not diminish the statistical or economic significance of the renewable share coefficient.</w:t>
      </w:r>
    </w:p>
    <w:p w14:paraId="78DC48FE" w14:textId="77777777" w:rsidR="00036D5C" w:rsidRDefault="00036D5C" w:rsidP="00036D5C">
      <w:pPr>
        <w:spacing w:line="480" w:lineRule="auto"/>
        <w:rPr>
          <w:rFonts w:ascii="Times New Roman" w:hAnsi="Times New Roman" w:cs="Times New Roman"/>
          <w:b/>
          <w:bCs/>
        </w:rPr>
      </w:pPr>
      <w:r w:rsidRPr="001317B9">
        <w:rPr>
          <w:rFonts w:ascii="Times New Roman" w:hAnsi="Times New Roman" w:cs="Times New Roman"/>
          <w:b/>
          <w:bCs/>
        </w:rPr>
        <w:t>Model with Time Fixed Effects</w:t>
      </w:r>
    </w:p>
    <w:p w14:paraId="35E92359" w14:textId="77777777" w:rsidR="00036D5C" w:rsidRPr="00725765" w:rsidRDefault="00036D5C" w:rsidP="00036D5C">
      <w:pPr>
        <w:spacing w:line="480" w:lineRule="auto"/>
        <w:ind w:firstLine="720"/>
        <w:rPr>
          <w:rFonts w:ascii="Times New Roman" w:hAnsi="Times New Roman" w:cs="Times New Roman"/>
        </w:rPr>
      </w:pPr>
      <w:r w:rsidRPr="00725765">
        <w:rPr>
          <w:rFonts w:ascii="Times New Roman" w:hAnsi="Times New Roman" w:cs="Times New Roman"/>
        </w:rPr>
        <w:t>The second model introduces hour, day-of-week, and month fixed effects to capture predictable intraday and seasonal patterns in electricity prices. These fixed effects absorb much of the systematic variation in prices, allowing the model to identify the effect of renewable share from within-hour fluctuations.</w:t>
      </w:r>
    </w:p>
    <w:p w14:paraId="4BFDD689" w14:textId="75BE1BF6" w:rsidR="00036D5C" w:rsidRPr="00725765" w:rsidRDefault="00036D5C" w:rsidP="00036D5C">
      <w:pPr>
        <w:spacing w:line="480" w:lineRule="auto"/>
        <w:ind w:firstLine="720"/>
        <w:rPr>
          <w:rFonts w:ascii="Times New Roman" w:hAnsi="Times New Roman" w:cs="Times New Roman"/>
        </w:rPr>
      </w:pPr>
      <w:r w:rsidRPr="00725765">
        <w:rPr>
          <w:rFonts w:ascii="Times New Roman" w:hAnsi="Times New Roman" w:cs="Times New Roman"/>
        </w:rPr>
        <w:t xml:space="preserve">The key result is that the coefficient on </w:t>
      </w:r>
      <w:proofErr w:type="spellStart"/>
      <w:r w:rsidRPr="00725765">
        <w:rPr>
          <w:rFonts w:ascii="Times New Roman" w:hAnsi="Times New Roman" w:cs="Times New Roman"/>
        </w:rPr>
        <w:t>Renew_Share</w:t>
      </w:r>
      <w:proofErr w:type="spellEnd"/>
      <w:r w:rsidRPr="00725765">
        <w:rPr>
          <w:rFonts w:ascii="Times New Roman" w:hAnsi="Times New Roman" w:cs="Times New Roman"/>
        </w:rPr>
        <w:t xml:space="preserve"> becomes more negative, −1.364, while remaining highly significant. This suggests that failing to control for intraday variation leads to a slight understatement of the merit</w:t>
      </w:r>
      <w:r w:rsidR="0079116A">
        <w:rPr>
          <w:rFonts w:ascii="Times New Roman" w:hAnsi="Times New Roman" w:cs="Times New Roman"/>
        </w:rPr>
        <w:t>-</w:t>
      </w:r>
      <w:r w:rsidRPr="00725765">
        <w:rPr>
          <w:rFonts w:ascii="Times New Roman" w:hAnsi="Times New Roman" w:cs="Times New Roman"/>
        </w:rPr>
        <w:t xml:space="preserve">order effect. In other words, once prices are compared within the same hour of the day, same day of the week, and same month, the downward pressure exerted by renewables is even stronger. This finding aligns with the results of </w:t>
      </w:r>
      <w:proofErr w:type="spellStart"/>
      <w:r w:rsidRPr="00725765">
        <w:rPr>
          <w:rFonts w:ascii="Times New Roman" w:hAnsi="Times New Roman" w:cs="Times New Roman"/>
        </w:rPr>
        <w:t>Benhmad</w:t>
      </w:r>
      <w:proofErr w:type="spellEnd"/>
      <w:r w:rsidRPr="00725765">
        <w:rPr>
          <w:rFonts w:ascii="Times New Roman" w:hAnsi="Times New Roman" w:cs="Times New Roman"/>
        </w:rPr>
        <w:t xml:space="preserve"> and </w:t>
      </w:r>
      <w:proofErr w:type="spellStart"/>
      <w:r w:rsidRPr="00725765">
        <w:rPr>
          <w:rFonts w:ascii="Times New Roman" w:hAnsi="Times New Roman" w:cs="Times New Roman"/>
        </w:rPr>
        <w:t>Percebois</w:t>
      </w:r>
      <w:proofErr w:type="spellEnd"/>
      <w:r w:rsidRPr="00725765">
        <w:rPr>
          <w:rFonts w:ascii="Times New Roman" w:hAnsi="Times New Roman" w:cs="Times New Roman"/>
        </w:rPr>
        <w:t xml:space="preserve"> (2018), who show that renewable impacts vary by hour and that hourly controls improve identification, and with </w:t>
      </w:r>
      <w:proofErr w:type="spellStart"/>
      <w:r w:rsidRPr="00725765">
        <w:rPr>
          <w:rFonts w:ascii="Times New Roman" w:hAnsi="Times New Roman" w:cs="Times New Roman"/>
        </w:rPr>
        <w:t>Tselika</w:t>
      </w:r>
      <w:proofErr w:type="spellEnd"/>
      <w:r w:rsidRPr="00725765">
        <w:rPr>
          <w:rFonts w:ascii="Times New Roman" w:hAnsi="Times New Roman" w:cs="Times New Roman"/>
        </w:rPr>
        <w:t xml:space="preserve"> (2022), who demonstrates that failing to model intraday structure can bias estimated effects.</w:t>
      </w:r>
    </w:p>
    <w:p w14:paraId="641C315D" w14:textId="77777777" w:rsidR="00036D5C" w:rsidRPr="00725765" w:rsidRDefault="00036D5C" w:rsidP="00036D5C">
      <w:pPr>
        <w:spacing w:line="480" w:lineRule="auto"/>
        <w:ind w:firstLine="720"/>
        <w:rPr>
          <w:rFonts w:ascii="Times New Roman" w:hAnsi="Times New Roman" w:cs="Times New Roman"/>
        </w:rPr>
      </w:pPr>
      <w:r w:rsidRPr="00725765">
        <w:rPr>
          <w:rFonts w:ascii="Times New Roman" w:hAnsi="Times New Roman" w:cs="Times New Roman"/>
        </w:rPr>
        <w:t xml:space="preserve">The Demand coefficient increases in magnitude to 0.0035, implying that higher demand has a stronger marginal effect on price once seasonal patterns are controlled. This makes intuitive </w:t>
      </w:r>
      <w:r w:rsidRPr="00725765">
        <w:rPr>
          <w:rFonts w:ascii="Times New Roman" w:hAnsi="Times New Roman" w:cs="Times New Roman"/>
        </w:rPr>
        <w:lastRenderedPageBreak/>
        <w:t>sense: hour fixed effects remove the typical diurnal load cycle,</w:t>
      </w:r>
      <w:r>
        <w:rPr>
          <w:rFonts w:ascii="Times New Roman" w:hAnsi="Times New Roman" w:cs="Times New Roman"/>
        </w:rPr>
        <w:t xml:space="preserve"> only</w:t>
      </w:r>
      <w:r w:rsidRPr="00725765">
        <w:rPr>
          <w:rFonts w:ascii="Times New Roman" w:hAnsi="Times New Roman" w:cs="Times New Roman"/>
        </w:rPr>
        <w:t xml:space="preserve"> leaving </w:t>
      </w:r>
      <w:r>
        <w:rPr>
          <w:rFonts w:ascii="Times New Roman" w:hAnsi="Times New Roman" w:cs="Times New Roman"/>
        </w:rPr>
        <w:t xml:space="preserve">the </w:t>
      </w:r>
      <w:r w:rsidRPr="00725765">
        <w:rPr>
          <w:rFonts w:ascii="Times New Roman" w:hAnsi="Times New Roman" w:cs="Times New Roman"/>
        </w:rPr>
        <w:t xml:space="preserve">variation that reflects </w:t>
      </w:r>
      <w:r>
        <w:rPr>
          <w:rFonts w:ascii="Times New Roman" w:hAnsi="Times New Roman" w:cs="Times New Roman"/>
        </w:rPr>
        <w:t>other</w:t>
      </w:r>
      <w:r w:rsidRPr="00725765">
        <w:rPr>
          <w:rFonts w:ascii="Times New Roman" w:hAnsi="Times New Roman" w:cs="Times New Roman"/>
        </w:rPr>
        <w:t xml:space="preserve"> demand conditions.</w:t>
      </w:r>
      <w:r>
        <w:rPr>
          <w:rFonts w:ascii="Times New Roman" w:hAnsi="Times New Roman" w:cs="Times New Roman"/>
        </w:rPr>
        <w:t xml:space="preserve"> </w:t>
      </w:r>
      <w:r w:rsidRPr="00725765">
        <w:rPr>
          <w:rFonts w:ascii="Times New Roman" w:hAnsi="Times New Roman" w:cs="Times New Roman"/>
        </w:rPr>
        <w:t xml:space="preserve">The COVID and WAR coefficients remain positive and large, with estimated effects of </w:t>
      </w:r>
      <w:r>
        <w:rPr>
          <w:rFonts w:ascii="Times New Roman" w:hAnsi="Times New Roman" w:cs="Times New Roman"/>
        </w:rPr>
        <w:t>$</w:t>
      </w:r>
      <w:r w:rsidRPr="00725765">
        <w:rPr>
          <w:rFonts w:ascii="Times New Roman" w:hAnsi="Times New Roman" w:cs="Times New Roman"/>
        </w:rPr>
        <w:t>21.8</w:t>
      </w:r>
      <w:r>
        <w:rPr>
          <w:rFonts w:ascii="Times New Roman" w:hAnsi="Times New Roman" w:cs="Times New Roman"/>
        </w:rPr>
        <w:t>0</w:t>
      </w:r>
      <w:r w:rsidRPr="00725765">
        <w:rPr>
          <w:rFonts w:ascii="Times New Roman" w:hAnsi="Times New Roman" w:cs="Times New Roman"/>
        </w:rPr>
        <w:t xml:space="preserve"> and </w:t>
      </w:r>
      <w:r>
        <w:rPr>
          <w:rFonts w:ascii="Times New Roman" w:hAnsi="Times New Roman" w:cs="Times New Roman"/>
        </w:rPr>
        <w:t>$</w:t>
      </w:r>
      <w:r w:rsidRPr="00725765">
        <w:rPr>
          <w:rFonts w:ascii="Times New Roman" w:hAnsi="Times New Roman" w:cs="Times New Roman"/>
        </w:rPr>
        <w:t>12.8</w:t>
      </w:r>
      <w:r>
        <w:rPr>
          <w:rFonts w:ascii="Times New Roman" w:hAnsi="Times New Roman" w:cs="Times New Roman"/>
        </w:rPr>
        <w:t>0</w:t>
      </w:r>
      <w:r w:rsidRPr="00725765">
        <w:rPr>
          <w:rFonts w:ascii="Times New Roman" w:hAnsi="Times New Roman" w:cs="Times New Roman"/>
        </w:rPr>
        <w:t>, respectively. Their persistence after the introduction of fixed effects indicates that these periods involved structural changes that went beyond typical seasonal or intraday variation. These shifts reflect broad macroeconomic and systemic disruptions affecting fuel supply, demand patterns, and generation mix.</w:t>
      </w:r>
    </w:p>
    <w:p w14:paraId="289EB6B2" w14:textId="77777777" w:rsidR="00036D5C" w:rsidRPr="00725765" w:rsidRDefault="00036D5C" w:rsidP="00036D5C">
      <w:pPr>
        <w:spacing w:line="480" w:lineRule="auto"/>
        <w:ind w:firstLine="720"/>
        <w:rPr>
          <w:rFonts w:ascii="Times New Roman" w:hAnsi="Times New Roman" w:cs="Times New Roman"/>
        </w:rPr>
      </w:pPr>
      <w:r w:rsidRPr="00725765">
        <w:rPr>
          <w:rFonts w:ascii="Times New Roman" w:hAnsi="Times New Roman" w:cs="Times New Roman"/>
        </w:rPr>
        <w:t xml:space="preserve">The </w:t>
      </w:r>
      <w:proofErr w:type="spellStart"/>
      <w:r w:rsidRPr="00725765">
        <w:rPr>
          <w:rFonts w:ascii="Times New Roman" w:hAnsi="Times New Roman" w:cs="Times New Roman"/>
        </w:rPr>
        <w:t>Gas_Price</w:t>
      </w:r>
      <w:proofErr w:type="spellEnd"/>
      <w:r w:rsidRPr="00725765">
        <w:rPr>
          <w:rFonts w:ascii="Times New Roman" w:hAnsi="Times New Roman" w:cs="Times New Roman"/>
        </w:rPr>
        <w:t xml:space="preserve"> coefficient becomes even more negative (−8.60), which reinforces the earlier interpretation that Henry Hub is a poor proxy for SPP marginal gas costs during this period, and that the structural breaks absorb much of the variance that would otherwise be attributed to gas prices. The worsening magnitude when fixed effects are included suggests that remaining within-hour variation in gas prices is negatively correlated with price in ways unrelated to cost causality. This does not affect the interpretation of the renewable share coefficient but highlights an area for improvement in future work.</w:t>
      </w:r>
    </w:p>
    <w:p w14:paraId="6BD39271" w14:textId="77777777" w:rsidR="00036D5C" w:rsidRDefault="00036D5C" w:rsidP="00036D5C">
      <w:pPr>
        <w:spacing w:line="480" w:lineRule="auto"/>
        <w:ind w:firstLine="720"/>
        <w:rPr>
          <w:rFonts w:ascii="Times New Roman" w:hAnsi="Times New Roman" w:cs="Times New Roman"/>
        </w:rPr>
      </w:pPr>
      <w:r w:rsidRPr="00725765">
        <w:rPr>
          <w:rFonts w:ascii="Times New Roman" w:hAnsi="Times New Roman" w:cs="Times New Roman"/>
        </w:rPr>
        <w:t xml:space="preserve">The R-squared increases to 0.071, and </w:t>
      </w:r>
      <w:proofErr w:type="gramStart"/>
      <w:r w:rsidRPr="00725765">
        <w:rPr>
          <w:rFonts w:ascii="Times New Roman" w:hAnsi="Times New Roman" w:cs="Times New Roman"/>
        </w:rPr>
        <w:t>the within</w:t>
      </w:r>
      <w:proofErr w:type="gramEnd"/>
      <w:r w:rsidRPr="00725765">
        <w:rPr>
          <w:rFonts w:ascii="Times New Roman" w:hAnsi="Times New Roman" w:cs="Times New Roman"/>
        </w:rPr>
        <w:t xml:space="preserve"> R-squared</w:t>
      </w:r>
      <w:r>
        <w:rPr>
          <w:rFonts w:ascii="Times New Roman" w:hAnsi="Times New Roman" w:cs="Times New Roman"/>
        </w:rPr>
        <w:t xml:space="preserve"> </w:t>
      </w:r>
      <w:r w:rsidRPr="00725765">
        <w:rPr>
          <w:rFonts w:ascii="Times New Roman" w:hAnsi="Times New Roman" w:cs="Times New Roman"/>
        </w:rPr>
        <w:t>is around 4%. Again, these values are typical for hourly price models. Time fixed effects alone explain a substantial portion of variation, confirming the importance of controlling for structural and cyclical patterns in electricity markets</w:t>
      </w:r>
      <w:r>
        <w:rPr>
          <w:rFonts w:ascii="Times New Roman" w:hAnsi="Times New Roman" w:cs="Times New Roman"/>
        </w:rPr>
        <w:t>.</w:t>
      </w:r>
    </w:p>
    <w:p w14:paraId="2EA5F9B4" w14:textId="77777777" w:rsidR="00036D5C" w:rsidRPr="00725765" w:rsidRDefault="00036D5C" w:rsidP="00036D5C">
      <w:pPr>
        <w:spacing w:line="480" w:lineRule="auto"/>
        <w:ind w:firstLine="720"/>
        <w:rPr>
          <w:rFonts w:ascii="Times New Roman" w:hAnsi="Times New Roman" w:cs="Times New Roman"/>
        </w:rPr>
      </w:pPr>
      <w:r w:rsidRPr="004935E4">
        <w:rPr>
          <w:rFonts w:ascii="Times New Roman" w:hAnsi="Times New Roman" w:cs="Times New Roman"/>
        </w:rPr>
        <w:t>For OPPD and other SPP utilities, these results imply that increases in renewable penetration meaningfully reduce wholesale prices. For example, a 20</w:t>
      </w:r>
      <w:r>
        <w:rPr>
          <w:rFonts w:ascii="Times New Roman" w:hAnsi="Times New Roman" w:cs="Times New Roman"/>
        </w:rPr>
        <w:t>%</w:t>
      </w:r>
      <w:r w:rsidRPr="004935E4">
        <w:rPr>
          <w:rFonts w:ascii="Times New Roman" w:hAnsi="Times New Roman" w:cs="Times New Roman"/>
        </w:rPr>
        <w:t xml:space="preserve"> increase in renewable share</w:t>
      </w:r>
      <w:r>
        <w:rPr>
          <w:rFonts w:ascii="Times New Roman" w:hAnsi="Times New Roman" w:cs="Times New Roman"/>
        </w:rPr>
        <w:t xml:space="preserve"> </w:t>
      </w:r>
      <w:r w:rsidRPr="004935E4">
        <w:rPr>
          <w:rFonts w:ascii="Times New Roman" w:hAnsi="Times New Roman" w:cs="Times New Roman"/>
        </w:rPr>
        <w:t xml:space="preserve">would reduce LMP by roughly </w:t>
      </w:r>
      <w:r>
        <w:rPr>
          <w:rFonts w:ascii="Times New Roman" w:hAnsi="Times New Roman" w:cs="Times New Roman"/>
        </w:rPr>
        <w:t>$</w:t>
      </w:r>
      <w:r w:rsidRPr="004935E4">
        <w:rPr>
          <w:rFonts w:ascii="Times New Roman" w:hAnsi="Times New Roman" w:cs="Times New Roman"/>
        </w:rPr>
        <w:t>27</w:t>
      </w:r>
      <w:r>
        <w:rPr>
          <w:rFonts w:ascii="Times New Roman" w:hAnsi="Times New Roman" w:cs="Times New Roman"/>
        </w:rPr>
        <w:t>/</w:t>
      </w:r>
      <w:r w:rsidRPr="004935E4">
        <w:rPr>
          <w:rFonts w:ascii="Times New Roman" w:hAnsi="Times New Roman" w:cs="Times New Roman"/>
        </w:rPr>
        <w:t>MWh. This is 60</w:t>
      </w:r>
      <w:r>
        <w:rPr>
          <w:rFonts w:ascii="Times New Roman" w:hAnsi="Times New Roman" w:cs="Times New Roman"/>
        </w:rPr>
        <w:t>-</w:t>
      </w:r>
      <w:r w:rsidRPr="004935E4">
        <w:rPr>
          <w:rFonts w:ascii="Times New Roman" w:hAnsi="Times New Roman" w:cs="Times New Roman"/>
        </w:rPr>
        <w:t>80</w:t>
      </w:r>
      <w:r>
        <w:rPr>
          <w:rFonts w:ascii="Times New Roman" w:hAnsi="Times New Roman" w:cs="Times New Roman"/>
        </w:rPr>
        <w:t>%</w:t>
      </w:r>
      <w:r w:rsidRPr="004935E4">
        <w:rPr>
          <w:rFonts w:ascii="Times New Roman" w:hAnsi="Times New Roman" w:cs="Times New Roman"/>
        </w:rPr>
        <w:t xml:space="preserve"> of the long-run average price, </w:t>
      </w:r>
      <w:r>
        <w:rPr>
          <w:rFonts w:ascii="Times New Roman" w:hAnsi="Times New Roman" w:cs="Times New Roman"/>
        </w:rPr>
        <w:t>presenting</w:t>
      </w:r>
      <w:r w:rsidRPr="004935E4">
        <w:rPr>
          <w:rFonts w:ascii="Times New Roman" w:hAnsi="Times New Roman" w:cs="Times New Roman"/>
        </w:rPr>
        <w:t xml:space="preserve"> significant implications for procurement costs, generator profitability, and resource planning.</w:t>
      </w:r>
      <w:r>
        <w:rPr>
          <w:rFonts w:ascii="Times New Roman" w:hAnsi="Times New Roman" w:cs="Times New Roman"/>
        </w:rPr>
        <w:t xml:space="preserve"> Additional considerations should be made with respect to the mass deployment of AI </w:t>
      </w:r>
      <w:r>
        <w:rPr>
          <w:rFonts w:ascii="Times New Roman" w:hAnsi="Times New Roman" w:cs="Times New Roman"/>
        </w:rPr>
        <w:lastRenderedPageBreak/>
        <w:t xml:space="preserve">data centers and increased electrification and decarbonization efforts, providing further strain and complexity to grid management. </w:t>
      </w:r>
    </w:p>
    <w:p w14:paraId="30694396" w14:textId="77777777" w:rsidR="00036D5C" w:rsidRPr="0038474D" w:rsidRDefault="00036D5C" w:rsidP="00036D5C">
      <w:pPr>
        <w:spacing w:line="480" w:lineRule="auto"/>
        <w:rPr>
          <w:rFonts w:ascii="Times New Roman" w:hAnsi="Times New Roman" w:cs="Times New Roman"/>
          <w:b/>
          <w:bCs/>
          <w:sz w:val="28"/>
          <w:szCs w:val="28"/>
        </w:rPr>
      </w:pPr>
      <w:r w:rsidRPr="0038474D">
        <w:rPr>
          <w:rFonts w:ascii="Times New Roman" w:hAnsi="Times New Roman" w:cs="Times New Roman"/>
          <w:b/>
          <w:bCs/>
          <w:sz w:val="28"/>
          <w:szCs w:val="28"/>
        </w:rPr>
        <w:t>Conclusion</w:t>
      </w:r>
    </w:p>
    <w:p w14:paraId="5152991F" w14:textId="3F8A8735" w:rsidR="00036D5C" w:rsidRPr="005E54EF" w:rsidRDefault="00036D5C" w:rsidP="00036D5C">
      <w:pPr>
        <w:spacing w:line="480" w:lineRule="auto"/>
        <w:ind w:firstLine="720"/>
        <w:rPr>
          <w:rFonts w:ascii="Times New Roman" w:hAnsi="Times New Roman" w:cs="Times New Roman"/>
        </w:rPr>
      </w:pPr>
      <w:r w:rsidRPr="005E54EF">
        <w:rPr>
          <w:rFonts w:ascii="Times New Roman" w:hAnsi="Times New Roman" w:cs="Times New Roman"/>
        </w:rPr>
        <w:t xml:space="preserve">This paper examined how renewable energy penetration affects hourly wholesale electricity prices in the Southwest Power Pool. Using more than 51,000 hourly observations from 2020 through 2025, the analysis provides clear and consistent evidence of a significant merit order effect. In both the baseline and fixed effects models, </w:t>
      </w:r>
      <w:r w:rsidR="00F90555">
        <w:rPr>
          <w:rFonts w:ascii="Times New Roman" w:hAnsi="Times New Roman" w:cs="Times New Roman"/>
        </w:rPr>
        <w:t xml:space="preserve">a </w:t>
      </w:r>
      <w:r w:rsidRPr="005E54EF">
        <w:rPr>
          <w:rFonts w:ascii="Times New Roman" w:hAnsi="Times New Roman" w:cs="Times New Roman"/>
        </w:rPr>
        <w:t>higher renewable share is associated with lower LMP. The negative coefficients, ranging from −</w:t>
      </w:r>
      <w:r>
        <w:rPr>
          <w:rFonts w:ascii="Times New Roman" w:hAnsi="Times New Roman" w:cs="Times New Roman"/>
        </w:rPr>
        <w:t>$</w:t>
      </w:r>
      <w:r w:rsidRPr="005E54EF">
        <w:rPr>
          <w:rFonts w:ascii="Times New Roman" w:hAnsi="Times New Roman" w:cs="Times New Roman"/>
        </w:rPr>
        <w:t>1.19 to −</w:t>
      </w:r>
      <w:r>
        <w:rPr>
          <w:rFonts w:ascii="Times New Roman" w:hAnsi="Times New Roman" w:cs="Times New Roman"/>
        </w:rPr>
        <w:t>$</w:t>
      </w:r>
      <w:r w:rsidRPr="005E54EF">
        <w:rPr>
          <w:rFonts w:ascii="Times New Roman" w:hAnsi="Times New Roman" w:cs="Times New Roman"/>
        </w:rPr>
        <w:t>1.36</w:t>
      </w:r>
      <w:r>
        <w:rPr>
          <w:rFonts w:ascii="Times New Roman" w:hAnsi="Times New Roman" w:cs="Times New Roman"/>
        </w:rPr>
        <w:t>/</w:t>
      </w:r>
      <w:r w:rsidRPr="005E54EF">
        <w:rPr>
          <w:rFonts w:ascii="Times New Roman" w:hAnsi="Times New Roman" w:cs="Times New Roman"/>
        </w:rPr>
        <w:t>MWh per percentage point of renewable penetration, imply that renewable generation materially alters the marginal cost of serving load in SPP. These results are consistent with findings in ERCOT, CAISO, and European markets, and they reinforce the conclusion that renewables structurally lower wholesale electricity prices across a wide range of system conditions.</w:t>
      </w:r>
    </w:p>
    <w:p w14:paraId="68C92CFA" w14:textId="77777777" w:rsidR="00036D5C" w:rsidRPr="005E54EF" w:rsidRDefault="00036D5C" w:rsidP="00036D5C">
      <w:pPr>
        <w:spacing w:line="480" w:lineRule="auto"/>
        <w:ind w:firstLine="720"/>
        <w:rPr>
          <w:rFonts w:ascii="Times New Roman" w:hAnsi="Times New Roman" w:cs="Times New Roman"/>
        </w:rPr>
      </w:pPr>
      <w:r w:rsidRPr="005E54EF">
        <w:rPr>
          <w:rFonts w:ascii="Times New Roman" w:hAnsi="Times New Roman" w:cs="Times New Roman"/>
        </w:rPr>
        <w:t xml:space="preserve">For OPPD, these findings have important implications. As a load-serving entity with a growing share of renewables in its own portfolio, OPPD operates in a market where increased renewable penetration tends to reduce procurement costs. The magnitude of the effect suggests that continued expansion of wind and solar in SPP will place downward pressure on average market prices, especially in hours of high renewable output. Lower LMPs benefit customers through reduced energy costs but also create financial challenges for </w:t>
      </w:r>
      <w:r>
        <w:rPr>
          <w:rFonts w:ascii="Times New Roman" w:hAnsi="Times New Roman" w:cs="Times New Roman"/>
        </w:rPr>
        <w:t xml:space="preserve">other fuel sources </w:t>
      </w:r>
      <w:r w:rsidRPr="005E54EF">
        <w:rPr>
          <w:rFonts w:ascii="Times New Roman" w:hAnsi="Times New Roman" w:cs="Times New Roman"/>
        </w:rPr>
        <w:t xml:space="preserve">facing shrinking margins. </w:t>
      </w:r>
      <w:r>
        <w:rPr>
          <w:rFonts w:ascii="Times New Roman" w:hAnsi="Times New Roman" w:cs="Times New Roman"/>
        </w:rPr>
        <w:t>Being able to navigate this</w:t>
      </w:r>
      <w:r w:rsidRPr="005E54EF">
        <w:rPr>
          <w:rFonts w:ascii="Times New Roman" w:hAnsi="Times New Roman" w:cs="Times New Roman"/>
        </w:rPr>
        <w:t xml:space="preserve"> is essential for long-run resource planning, hedging strategies, and evaluating investments in flexible resources such as storage or demand response programs. OPPD’s planning horizon should account for the possibility that high-</w:t>
      </w:r>
      <w:r w:rsidRPr="005E54EF">
        <w:rPr>
          <w:rFonts w:ascii="Times New Roman" w:hAnsi="Times New Roman" w:cs="Times New Roman"/>
        </w:rPr>
        <w:lastRenderedPageBreak/>
        <w:t>renewable hours may increasingly define market conditions, especially as transmission expansion and federal incentives accelerate renewable growth.</w:t>
      </w:r>
    </w:p>
    <w:p w14:paraId="08CF502F" w14:textId="2DE4D838" w:rsidR="00036D5C" w:rsidRPr="005E54EF" w:rsidRDefault="00036D5C" w:rsidP="00036D5C">
      <w:pPr>
        <w:spacing w:line="480" w:lineRule="auto"/>
        <w:ind w:firstLine="720"/>
        <w:rPr>
          <w:rFonts w:ascii="Times New Roman" w:hAnsi="Times New Roman" w:cs="Times New Roman"/>
        </w:rPr>
      </w:pPr>
      <w:r w:rsidRPr="005E54EF">
        <w:rPr>
          <w:rFonts w:ascii="Times New Roman" w:hAnsi="Times New Roman" w:cs="Times New Roman"/>
        </w:rPr>
        <w:t>The results also highlight the role of large-scale systemic disruptions. The COVID period and the Russia-Ukraine war both contributed to substantial upward shifts in average LMP, even after controlling for load, renewables, and gas prices. Th</w:t>
      </w:r>
      <w:r w:rsidR="00E51631">
        <w:rPr>
          <w:rFonts w:ascii="Times New Roman" w:hAnsi="Times New Roman" w:cs="Times New Roman"/>
        </w:rPr>
        <w:t>is</w:t>
      </w:r>
      <w:r w:rsidRPr="005E54EF">
        <w:rPr>
          <w:rFonts w:ascii="Times New Roman" w:hAnsi="Times New Roman" w:cs="Times New Roman"/>
        </w:rPr>
        <w:t xml:space="preserve"> suggest</w:t>
      </w:r>
      <w:r w:rsidR="00E51631">
        <w:rPr>
          <w:rFonts w:ascii="Times New Roman" w:hAnsi="Times New Roman" w:cs="Times New Roman"/>
        </w:rPr>
        <w:t>s</w:t>
      </w:r>
      <w:r w:rsidRPr="005E54EF">
        <w:rPr>
          <w:rFonts w:ascii="Times New Roman" w:hAnsi="Times New Roman" w:cs="Times New Roman"/>
        </w:rPr>
        <w:t xml:space="preserve"> that utilities must be prepared for volatility driven by global events and supply chain dynamics, and that price outcomes in wholesale markets can diverge sharply from their long-run expectations during periods of economic instability. Incorporating scenario analysis and stress testing into planning exercises may help utilities better understand and prepare for such deviations.</w:t>
      </w:r>
    </w:p>
    <w:p w14:paraId="1443DAFE" w14:textId="667D479B" w:rsidR="00036D5C" w:rsidRPr="005E54EF" w:rsidRDefault="00036D5C" w:rsidP="00036D5C">
      <w:pPr>
        <w:spacing w:line="480" w:lineRule="auto"/>
        <w:ind w:firstLine="720"/>
        <w:rPr>
          <w:rFonts w:ascii="Times New Roman" w:hAnsi="Times New Roman" w:cs="Times New Roman"/>
        </w:rPr>
      </w:pPr>
      <w:r w:rsidRPr="005E54EF">
        <w:rPr>
          <w:rFonts w:ascii="Times New Roman" w:hAnsi="Times New Roman" w:cs="Times New Roman"/>
        </w:rPr>
        <w:t xml:space="preserve">While the paper provides strong evidence of a </w:t>
      </w:r>
      <w:r w:rsidR="00F90555">
        <w:rPr>
          <w:rFonts w:ascii="Times New Roman" w:hAnsi="Times New Roman" w:cs="Times New Roman"/>
        </w:rPr>
        <w:t>merit-order effect in SPP, several limitations emerged during</w:t>
      </w:r>
      <w:r>
        <w:rPr>
          <w:rFonts w:ascii="Times New Roman" w:hAnsi="Times New Roman" w:cs="Times New Roman"/>
        </w:rPr>
        <w:t xml:space="preserve"> the process</w:t>
      </w:r>
      <w:r w:rsidRPr="005E54EF">
        <w:rPr>
          <w:rFonts w:ascii="Times New Roman" w:hAnsi="Times New Roman" w:cs="Times New Roman"/>
        </w:rPr>
        <w:t xml:space="preserve">. </w:t>
      </w:r>
      <w:r w:rsidR="00F90555">
        <w:rPr>
          <w:rFonts w:ascii="Times New Roman" w:hAnsi="Times New Roman" w:cs="Times New Roman"/>
        </w:rPr>
        <w:t xml:space="preserve">Using Henry Hub as a proxy for natural gas prices introduces </w:t>
      </w:r>
      <w:r w:rsidRPr="005E54EF">
        <w:rPr>
          <w:rFonts w:ascii="Times New Roman" w:hAnsi="Times New Roman" w:cs="Times New Roman"/>
        </w:rPr>
        <w:t xml:space="preserve">measurement </w:t>
      </w:r>
      <w:proofErr w:type="gramStart"/>
      <w:r w:rsidRPr="005E54EF">
        <w:rPr>
          <w:rFonts w:ascii="Times New Roman" w:hAnsi="Times New Roman" w:cs="Times New Roman"/>
        </w:rPr>
        <w:t>error</w:t>
      </w:r>
      <w:proofErr w:type="gramEnd"/>
      <w:r w:rsidRPr="005E54EF">
        <w:rPr>
          <w:rFonts w:ascii="Times New Roman" w:hAnsi="Times New Roman" w:cs="Times New Roman"/>
        </w:rPr>
        <w:t xml:space="preserve"> that likely </w:t>
      </w:r>
      <w:proofErr w:type="gramStart"/>
      <w:r w:rsidRPr="005E54EF">
        <w:rPr>
          <w:rFonts w:ascii="Times New Roman" w:hAnsi="Times New Roman" w:cs="Times New Roman"/>
        </w:rPr>
        <w:t>weakens</w:t>
      </w:r>
      <w:proofErr w:type="gramEnd"/>
      <w:r w:rsidRPr="005E54EF">
        <w:rPr>
          <w:rFonts w:ascii="Times New Roman" w:hAnsi="Times New Roman" w:cs="Times New Roman"/>
        </w:rPr>
        <w:t xml:space="preserve"> or distorts the estimated relationship between fuel costs and LMP. </w:t>
      </w:r>
      <w:r w:rsidR="00F90555">
        <w:rPr>
          <w:rFonts w:ascii="Times New Roman" w:hAnsi="Times New Roman" w:cs="Times New Roman"/>
        </w:rPr>
        <w:t>Reliance on systemwide average LMPs fails to</w:t>
      </w:r>
      <w:r w:rsidRPr="005E54EF">
        <w:rPr>
          <w:rFonts w:ascii="Times New Roman" w:hAnsi="Times New Roman" w:cs="Times New Roman"/>
        </w:rPr>
        <w:t xml:space="preserve"> capture congestion patterns or nodal heterogeneity, which could either amplify or offset renewable-driven price declines in specific regions. The model also does not incorporate net load, weather conditions, </w:t>
      </w:r>
      <w:r w:rsidR="00F90555">
        <w:rPr>
          <w:rFonts w:ascii="Times New Roman" w:hAnsi="Times New Roman" w:cs="Times New Roman"/>
        </w:rPr>
        <w:t>forecast errors for renewable sources</w:t>
      </w:r>
      <w:r w:rsidRPr="005E54EF">
        <w:rPr>
          <w:rFonts w:ascii="Times New Roman" w:hAnsi="Times New Roman" w:cs="Times New Roman"/>
        </w:rPr>
        <w:t xml:space="preserve">, or transmission constraints, all of which influence real-time price formation. </w:t>
      </w:r>
    </w:p>
    <w:p w14:paraId="0A34F36E" w14:textId="11A66337" w:rsidR="00036D5C" w:rsidRPr="005E54EF" w:rsidRDefault="00036D5C" w:rsidP="00036D5C">
      <w:pPr>
        <w:spacing w:line="480" w:lineRule="auto"/>
        <w:ind w:firstLine="720"/>
        <w:rPr>
          <w:rFonts w:ascii="Times New Roman" w:hAnsi="Times New Roman" w:cs="Times New Roman"/>
        </w:rPr>
      </w:pPr>
      <w:r w:rsidRPr="005E54EF">
        <w:rPr>
          <w:rFonts w:ascii="Times New Roman" w:hAnsi="Times New Roman" w:cs="Times New Roman"/>
        </w:rPr>
        <w:t xml:space="preserve">There are several avenues for future research. First, analyzing node-level LMPs would </w:t>
      </w:r>
      <w:r w:rsidR="00F90555">
        <w:rPr>
          <w:rFonts w:ascii="Times New Roman" w:hAnsi="Times New Roman" w:cs="Times New Roman"/>
        </w:rPr>
        <w:t xml:space="preserve">enable a deeper examination of congestion effects and the spatial distribution of renewable energy </w:t>
      </w:r>
      <w:r w:rsidRPr="005E54EF">
        <w:rPr>
          <w:rFonts w:ascii="Times New Roman" w:hAnsi="Times New Roman" w:cs="Times New Roman"/>
        </w:rPr>
        <w:t xml:space="preserve">impacts. Second, replacing Henry Hub with SPP-specific basis-adjusted gas prices would improve the accuracy of the fuel cost controls. Third, incorporating net load and renewable forecast variables would more directly capture operational conditions that drive LMP. Finally, </w:t>
      </w:r>
      <w:r w:rsidRPr="005E54EF">
        <w:rPr>
          <w:rFonts w:ascii="Times New Roman" w:hAnsi="Times New Roman" w:cs="Times New Roman"/>
        </w:rPr>
        <w:lastRenderedPageBreak/>
        <w:t xml:space="preserve">comparing SPP to other ISO/RTOs over the same period could shed light on how </w:t>
      </w:r>
      <w:r w:rsidR="00F90555">
        <w:rPr>
          <w:rFonts w:ascii="Times New Roman" w:hAnsi="Times New Roman" w:cs="Times New Roman"/>
        </w:rPr>
        <w:t>differences in market design influence the magnitude of the merit-order</w:t>
      </w:r>
      <w:r w:rsidRPr="005E54EF">
        <w:rPr>
          <w:rFonts w:ascii="Times New Roman" w:hAnsi="Times New Roman" w:cs="Times New Roman"/>
        </w:rPr>
        <w:t xml:space="preserve"> effect.</w:t>
      </w:r>
    </w:p>
    <w:p w14:paraId="2C6B7C6F" w14:textId="74FAA64A" w:rsidR="00036D5C" w:rsidRPr="005E54EF" w:rsidRDefault="00036D5C" w:rsidP="00036D5C">
      <w:pPr>
        <w:spacing w:line="480" w:lineRule="auto"/>
        <w:ind w:firstLine="720"/>
        <w:rPr>
          <w:rFonts w:ascii="Times New Roman" w:hAnsi="Times New Roman" w:cs="Times New Roman"/>
        </w:rPr>
      </w:pPr>
      <w:r w:rsidRPr="005E54EF">
        <w:rPr>
          <w:rFonts w:ascii="Times New Roman" w:hAnsi="Times New Roman" w:cs="Times New Roman"/>
        </w:rPr>
        <w:t xml:space="preserve">Despite these limitations, the evidence presented in this paper strongly supports the conclusion that renewable </w:t>
      </w:r>
      <w:r>
        <w:rPr>
          <w:rFonts w:ascii="Times New Roman" w:hAnsi="Times New Roman" w:cs="Times New Roman"/>
        </w:rPr>
        <w:t>deployment</w:t>
      </w:r>
      <w:r w:rsidRPr="005E54EF">
        <w:rPr>
          <w:rFonts w:ascii="Times New Roman" w:hAnsi="Times New Roman" w:cs="Times New Roman"/>
        </w:rPr>
        <w:t xml:space="preserve"> lowers wholesale electricity prices in SPP. The estimated effects are </w:t>
      </w:r>
      <w:r w:rsidR="00F90555">
        <w:rPr>
          <w:rFonts w:ascii="Times New Roman" w:hAnsi="Times New Roman" w:cs="Times New Roman"/>
        </w:rPr>
        <w:t>significant</w:t>
      </w:r>
      <w:r w:rsidR="007C24AF">
        <w:rPr>
          <w:rFonts w:ascii="Times New Roman" w:hAnsi="Times New Roman" w:cs="Times New Roman"/>
        </w:rPr>
        <w:t xml:space="preserve"> </w:t>
      </w:r>
      <w:r w:rsidRPr="005E54EF">
        <w:rPr>
          <w:rFonts w:ascii="Times New Roman" w:hAnsi="Times New Roman" w:cs="Times New Roman"/>
        </w:rPr>
        <w:t xml:space="preserve">and consistent across </w:t>
      </w:r>
      <w:r>
        <w:rPr>
          <w:rFonts w:ascii="Times New Roman" w:hAnsi="Times New Roman" w:cs="Times New Roman"/>
        </w:rPr>
        <w:t>both models</w:t>
      </w:r>
      <w:r w:rsidRPr="005E54EF">
        <w:rPr>
          <w:rFonts w:ascii="Times New Roman" w:hAnsi="Times New Roman" w:cs="Times New Roman"/>
        </w:rPr>
        <w:t>. As renewable capacity continues to expand, utilities such as OPPD will increasingly operate in an environment shaped by these dynamics. Understanding how renewable share interacts with demand, fuel markets, and structural disruptions is essential for designing resilient procurement strategies and planning a cost-effective, reliable generation portfolio for the future.</w:t>
      </w:r>
    </w:p>
    <w:p w14:paraId="3733CC6B" w14:textId="77777777" w:rsidR="00CC684C" w:rsidRDefault="00CC684C" w:rsidP="001317B9">
      <w:pPr>
        <w:spacing w:line="480" w:lineRule="auto"/>
        <w:rPr>
          <w:rFonts w:ascii="Times New Roman" w:hAnsi="Times New Roman" w:cs="Times New Roman"/>
        </w:rPr>
      </w:pPr>
    </w:p>
    <w:p w14:paraId="1EB4F16C" w14:textId="77777777" w:rsidR="007001D5" w:rsidRDefault="007001D5" w:rsidP="001317B9">
      <w:pPr>
        <w:spacing w:line="480" w:lineRule="auto"/>
        <w:rPr>
          <w:rFonts w:ascii="Times New Roman" w:hAnsi="Times New Roman" w:cs="Times New Roman"/>
        </w:rPr>
      </w:pPr>
    </w:p>
    <w:p w14:paraId="0614EDD4" w14:textId="77777777" w:rsidR="00CC684C" w:rsidRDefault="00CC684C" w:rsidP="001317B9">
      <w:pPr>
        <w:spacing w:line="480" w:lineRule="auto"/>
        <w:rPr>
          <w:rFonts w:ascii="Times New Roman" w:hAnsi="Times New Roman" w:cs="Times New Roman"/>
        </w:rPr>
      </w:pPr>
    </w:p>
    <w:p w14:paraId="22448C04" w14:textId="77777777" w:rsidR="00CC684C" w:rsidRDefault="00CC684C" w:rsidP="001317B9">
      <w:pPr>
        <w:spacing w:line="480" w:lineRule="auto"/>
        <w:rPr>
          <w:rFonts w:ascii="Times New Roman" w:hAnsi="Times New Roman" w:cs="Times New Roman"/>
        </w:rPr>
      </w:pPr>
    </w:p>
    <w:p w14:paraId="5F920319" w14:textId="77777777" w:rsidR="00CC684C" w:rsidRDefault="00CC684C" w:rsidP="001317B9">
      <w:pPr>
        <w:spacing w:line="480" w:lineRule="auto"/>
        <w:rPr>
          <w:rFonts w:ascii="Times New Roman" w:hAnsi="Times New Roman" w:cs="Times New Roman"/>
        </w:rPr>
      </w:pPr>
    </w:p>
    <w:p w14:paraId="1AFAF7D9" w14:textId="77777777" w:rsidR="00717110" w:rsidRDefault="00717110" w:rsidP="001317B9">
      <w:pPr>
        <w:spacing w:line="480" w:lineRule="auto"/>
        <w:rPr>
          <w:rFonts w:ascii="Times New Roman" w:hAnsi="Times New Roman" w:cs="Times New Roman"/>
        </w:rPr>
      </w:pPr>
    </w:p>
    <w:p w14:paraId="71680D6E" w14:textId="77777777" w:rsidR="00717110" w:rsidRDefault="00717110" w:rsidP="001317B9">
      <w:pPr>
        <w:spacing w:line="480" w:lineRule="auto"/>
        <w:rPr>
          <w:rFonts w:ascii="Times New Roman" w:hAnsi="Times New Roman" w:cs="Times New Roman"/>
        </w:rPr>
      </w:pPr>
    </w:p>
    <w:p w14:paraId="60E7672F" w14:textId="77777777" w:rsidR="00717110" w:rsidRDefault="00717110" w:rsidP="001317B9">
      <w:pPr>
        <w:spacing w:line="480" w:lineRule="auto"/>
        <w:rPr>
          <w:rFonts w:ascii="Times New Roman" w:hAnsi="Times New Roman" w:cs="Times New Roman"/>
        </w:rPr>
      </w:pPr>
    </w:p>
    <w:p w14:paraId="2C7524BD" w14:textId="77777777" w:rsidR="00717110" w:rsidRDefault="00717110" w:rsidP="001317B9">
      <w:pPr>
        <w:spacing w:line="480" w:lineRule="auto"/>
        <w:rPr>
          <w:rFonts w:ascii="Times New Roman" w:hAnsi="Times New Roman" w:cs="Times New Roman"/>
        </w:rPr>
      </w:pPr>
    </w:p>
    <w:p w14:paraId="54AEA5BB" w14:textId="77777777" w:rsidR="00717110" w:rsidRDefault="00717110" w:rsidP="001317B9">
      <w:pPr>
        <w:spacing w:line="480" w:lineRule="auto"/>
        <w:rPr>
          <w:rFonts w:ascii="Times New Roman" w:hAnsi="Times New Roman" w:cs="Times New Roman"/>
        </w:rPr>
      </w:pPr>
    </w:p>
    <w:p w14:paraId="70BA5EE4" w14:textId="77777777" w:rsidR="00F90555" w:rsidRDefault="00F90555" w:rsidP="001317B9">
      <w:pPr>
        <w:spacing w:line="480" w:lineRule="auto"/>
        <w:rPr>
          <w:rFonts w:ascii="Times New Roman" w:hAnsi="Times New Roman" w:cs="Times New Roman"/>
        </w:rPr>
      </w:pPr>
    </w:p>
    <w:p w14:paraId="061C9D27" w14:textId="23117B78" w:rsidR="000E62F2" w:rsidRDefault="000E62F2" w:rsidP="001317B9">
      <w:pPr>
        <w:spacing w:line="480" w:lineRule="auto"/>
        <w:rPr>
          <w:rFonts w:ascii="Times New Roman" w:hAnsi="Times New Roman" w:cs="Times New Roman"/>
          <w:b/>
          <w:bCs/>
        </w:rPr>
      </w:pPr>
      <w:r>
        <w:rPr>
          <w:rFonts w:ascii="Times New Roman" w:hAnsi="Times New Roman" w:cs="Times New Roman"/>
          <w:b/>
          <w:bCs/>
        </w:rPr>
        <w:lastRenderedPageBreak/>
        <w:t>Data Appendix</w:t>
      </w:r>
    </w:p>
    <w:tbl>
      <w:tblPr>
        <w:tblStyle w:val="TableGrid"/>
        <w:tblW w:w="0" w:type="auto"/>
        <w:tblLayout w:type="fixed"/>
        <w:tblLook w:val="04A0" w:firstRow="1" w:lastRow="0" w:firstColumn="1" w:lastColumn="0" w:noHBand="0" w:noVBand="1"/>
      </w:tblPr>
      <w:tblGrid>
        <w:gridCol w:w="2065"/>
        <w:gridCol w:w="2430"/>
        <w:gridCol w:w="1530"/>
        <w:gridCol w:w="3325"/>
      </w:tblGrid>
      <w:tr w:rsidR="003A6871" w14:paraId="57BA8FF1" w14:textId="77777777" w:rsidTr="001C3CB6">
        <w:tc>
          <w:tcPr>
            <w:tcW w:w="2065" w:type="dxa"/>
          </w:tcPr>
          <w:p w14:paraId="285890D6" w14:textId="44EB4484" w:rsidR="003A6871" w:rsidRDefault="003A6871" w:rsidP="001317B9">
            <w:pPr>
              <w:spacing w:line="480" w:lineRule="auto"/>
              <w:rPr>
                <w:rFonts w:ascii="Times New Roman" w:hAnsi="Times New Roman" w:cs="Times New Roman"/>
                <w:b/>
                <w:bCs/>
              </w:rPr>
            </w:pPr>
            <w:r>
              <w:rPr>
                <w:rFonts w:ascii="Times New Roman" w:hAnsi="Times New Roman" w:cs="Times New Roman"/>
                <w:b/>
                <w:bCs/>
              </w:rPr>
              <w:t>Variable Name</w:t>
            </w:r>
          </w:p>
        </w:tc>
        <w:tc>
          <w:tcPr>
            <w:tcW w:w="2430" w:type="dxa"/>
          </w:tcPr>
          <w:p w14:paraId="68B93C7A" w14:textId="2EF3BEFC" w:rsidR="003A6871" w:rsidRDefault="003A6871" w:rsidP="001317B9">
            <w:pPr>
              <w:spacing w:line="480" w:lineRule="auto"/>
              <w:rPr>
                <w:rFonts w:ascii="Times New Roman" w:hAnsi="Times New Roman" w:cs="Times New Roman"/>
                <w:b/>
                <w:bCs/>
              </w:rPr>
            </w:pPr>
            <w:r>
              <w:rPr>
                <w:rFonts w:ascii="Times New Roman" w:hAnsi="Times New Roman" w:cs="Times New Roman"/>
                <w:b/>
                <w:bCs/>
              </w:rPr>
              <w:t>Description</w:t>
            </w:r>
          </w:p>
        </w:tc>
        <w:tc>
          <w:tcPr>
            <w:tcW w:w="1530" w:type="dxa"/>
          </w:tcPr>
          <w:p w14:paraId="25521340" w14:textId="5231290F" w:rsidR="003A6871" w:rsidRDefault="003A6871" w:rsidP="001317B9">
            <w:pPr>
              <w:spacing w:line="480" w:lineRule="auto"/>
              <w:rPr>
                <w:rFonts w:ascii="Times New Roman" w:hAnsi="Times New Roman" w:cs="Times New Roman"/>
                <w:b/>
                <w:bCs/>
              </w:rPr>
            </w:pPr>
            <w:r>
              <w:rPr>
                <w:rFonts w:ascii="Times New Roman" w:hAnsi="Times New Roman" w:cs="Times New Roman"/>
                <w:b/>
                <w:bCs/>
              </w:rPr>
              <w:t>Units</w:t>
            </w:r>
          </w:p>
        </w:tc>
        <w:tc>
          <w:tcPr>
            <w:tcW w:w="3325" w:type="dxa"/>
          </w:tcPr>
          <w:p w14:paraId="58B94C8D" w14:textId="54B125BD" w:rsidR="003A6871" w:rsidRDefault="003A6871" w:rsidP="001317B9">
            <w:pPr>
              <w:spacing w:line="480" w:lineRule="auto"/>
              <w:rPr>
                <w:rFonts w:ascii="Times New Roman" w:hAnsi="Times New Roman" w:cs="Times New Roman"/>
                <w:b/>
                <w:bCs/>
              </w:rPr>
            </w:pPr>
            <w:r>
              <w:rPr>
                <w:rFonts w:ascii="Times New Roman" w:hAnsi="Times New Roman" w:cs="Times New Roman"/>
                <w:b/>
                <w:bCs/>
              </w:rPr>
              <w:t>Source</w:t>
            </w:r>
          </w:p>
        </w:tc>
      </w:tr>
      <w:tr w:rsidR="00DE4CAE" w14:paraId="4D1892A6" w14:textId="77777777" w:rsidTr="001C3CB6">
        <w:tc>
          <w:tcPr>
            <w:tcW w:w="2065" w:type="dxa"/>
          </w:tcPr>
          <w:p w14:paraId="52608C3D" w14:textId="188E037B" w:rsidR="00DE4CAE" w:rsidRDefault="00DE4CAE" w:rsidP="001317B9">
            <w:pPr>
              <w:spacing w:line="480" w:lineRule="auto"/>
              <w:rPr>
                <w:rFonts w:ascii="Times New Roman" w:hAnsi="Times New Roman" w:cs="Times New Roman"/>
                <w:b/>
                <w:bCs/>
              </w:rPr>
            </w:pPr>
            <w:r>
              <w:rPr>
                <w:rFonts w:ascii="Times New Roman" w:hAnsi="Times New Roman" w:cs="Times New Roman"/>
                <w:b/>
                <w:bCs/>
              </w:rPr>
              <w:t>LMP</w:t>
            </w:r>
          </w:p>
        </w:tc>
        <w:tc>
          <w:tcPr>
            <w:tcW w:w="2430" w:type="dxa"/>
          </w:tcPr>
          <w:p w14:paraId="5CF0D5F4" w14:textId="29648BF9" w:rsidR="00DE4CAE" w:rsidRDefault="006E6545" w:rsidP="001317B9">
            <w:pPr>
              <w:spacing w:line="480" w:lineRule="auto"/>
              <w:rPr>
                <w:rFonts w:ascii="Times New Roman" w:hAnsi="Times New Roman" w:cs="Times New Roman"/>
                <w:b/>
                <w:bCs/>
              </w:rPr>
            </w:pPr>
            <w:r>
              <w:rPr>
                <w:rFonts w:ascii="Times New Roman" w:hAnsi="Times New Roman" w:cs="Times New Roman"/>
                <w:b/>
                <w:bCs/>
              </w:rPr>
              <w:t>Day</w:t>
            </w:r>
            <w:r w:rsidR="00DE0A3F">
              <w:rPr>
                <w:rFonts w:ascii="Times New Roman" w:hAnsi="Times New Roman" w:cs="Times New Roman"/>
                <w:b/>
                <w:bCs/>
              </w:rPr>
              <w:t>-ahead locational marginal price for electricity in SPP for each hour</w:t>
            </w:r>
          </w:p>
        </w:tc>
        <w:tc>
          <w:tcPr>
            <w:tcW w:w="1530" w:type="dxa"/>
          </w:tcPr>
          <w:p w14:paraId="1E4CCAA8" w14:textId="3C33B064" w:rsidR="00DE4CAE" w:rsidRDefault="002017EC" w:rsidP="001317B9">
            <w:pPr>
              <w:spacing w:line="480" w:lineRule="auto"/>
              <w:rPr>
                <w:rFonts w:ascii="Times New Roman" w:hAnsi="Times New Roman" w:cs="Times New Roman"/>
                <w:b/>
                <w:bCs/>
              </w:rPr>
            </w:pPr>
            <w:r>
              <w:rPr>
                <w:rFonts w:ascii="Times New Roman" w:hAnsi="Times New Roman" w:cs="Times New Roman"/>
                <w:b/>
                <w:bCs/>
              </w:rPr>
              <w:t>$/MWh</w:t>
            </w:r>
          </w:p>
        </w:tc>
        <w:tc>
          <w:tcPr>
            <w:tcW w:w="3325" w:type="dxa"/>
          </w:tcPr>
          <w:p w14:paraId="030760C8" w14:textId="13A90950" w:rsidR="00DE4CAE" w:rsidRDefault="002017EC" w:rsidP="001317B9">
            <w:pPr>
              <w:spacing w:line="480" w:lineRule="auto"/>
              <w:rPr>
                <w:rFonts w:ascii="Times New Roman" w:hAnsi="Times New Roman" w:cs="Times New Roman"/>
                <w:b/>
                <w:bCs/>
              </w:rPr>
            </w:pPr>
            <w:r w:rsidRPr="002017EC">
              <w:rPr>
                <w:rFonts w:ascii="Times New Roman" w:hAnsi="Times New Roman" w:cs="Times New Roman"/>
                <w:b/>
                <w:bCs/>
              </w:rPr>
              <w:t>SPP Integrated Marketplace – </w:t>
            </w:r>
            <w:hyperlink r:id="rId4" w:history="1">
              <w:r w:rsidRPr="002017EC">
                <w:rPr>
                  <w:rStyle w:val="Hyperlink"/>
                  <w:rFonts w:ascii="Times New Roman" w:hAnsi="Times New Roman" w:cs="Times New Roman"/>
                  <w:b/>
                  <w:bCs/>
                </w:rPr>
                <w:t>https://portal.spp.org/pages/da-lmp-by-location</w:t>
              </w:r>
            </w:hyperlink>
          </w:p>
        </w:tc>
      </w:tr>
      <w:tr w:rsidR="00DE4CAE" w14:paraId="345F9398" w14:textId="77777777" w:rsidTr="001C3CB6">
        <w:tc>
          <w:tcPr>
            <w:tcW w:w="2065" w:type="dxa"/>
          </w:tcPr>
          <w:p w14:paraId="42BEDAC6" w14:textId="56501DBD" w:rsidR="00DE4CAE" w:rsidRDefault="006E6545" w:rsidP="001317B9">
            <w:pPr>
              <w:spacing w:line="480" w:lineRule="auto"/>
              <w:rPr>
                <w:rFonts w:ascii="Times New Roman" w:hAnsi="Times New Roman" w:cs="Times New Roman"/>
                <w:b/>
                <w:bCs/>
              </w:rPr>
            </w:pPr>
            <w:proofErr w:type="spellStart"/>
            <w:r>
              <w:rPr>
                <w:rFonts w:ascii="Times New Roman" w:hAnsi="Times New Roman" w:cs="Times New Roman"/>
                <w:b/>
                <w:bCs/>
              </w:rPr>
              <w:t>Renew_Share</w:t>
            </w:r>
            <w:proofErr w:type="spellEnd"/>
          </w:p>
        </w:tc>
        <w:tc>
          <w:tcPr>
            <w:tcW w:w="2430" w:type="dxa"/>
          </w:tcPr>
          <w:p w14:paraId="2EDBC110" w14:textId="6845F31C" w:rsidR="00DE4CAE" w:rsidRDefault="00DE0A3F" w:rsidP="001317B9">
            <w:pPr>
              <w:spacing w:line="480" w:lineRule="auto"/>
              <w:rPr>
                <w:rFonts w:ascii="Times New Roman" w:hAnsi="Times New Roman" w:cs="Times New Roman"/>
                <w:b/>
                <w:bCs/>
              </w:rPr>
            </w:pPr>
            <w:r>
              <w:rPr>
                <w:rFonts w:ascii="Times New Roman" w:hAnsi="Times New Roman" w:cs="Times New Roman"/>
                <w:b/>
                <w:bCs/>
              </w:rPr>
              <w:t>Share of total generation in the SPP market</w:t>
            </w:r>
            <w:r w:rsidR="00216AB4">
              <w:rPr>
                <w:rFonts w:ascii="Times New Roman" w:hAnsi="Times New Roman" w:cs="Times New Roman"/>
                <w:b/>
                <w:bCs/>
              </w:rPr>
              <w:t xml:space="preserve"> supplied by renewable resources in that hour</w:t>
            </w:r>
          </w:p>
        </w:tc>
        <w:tc>
          <w:tcPr>
            <w:tcW w:w="1530" w:type="dxa"/>
          </w:tcPr>
          <w:p w14:paraId="3F8A4234" w14:textId="438C94E4" w:rsidR="00DE4CAE" w:rsidRDefault="002017EC" w:rsidP="001317B9">
            <w:pPr>
              <w:spacing w:line="480" w:lineRule="auto"/>
              <w:rPr>
                <w:rFonts w:ascii="Times New Roman" w:hAnsi="Times New Roman" w:cs="Times New Roman"/>
                <w:b/>
                <w:bCs/>
              </w:rPr>
            </w:pPr>
            <w:r>
              <w:rPr>
                <w:rFonts w:ascii="Times New Roman" w:hAnsi="Times New Roman" w:cs="Times New Roman"/>
                <w:b/>
                <w:bCs/>
              </w:rPr>
              <w:t>Percent of total generation (%)</w:t>
            </w:r>
          </w:p>
        </w:tc>
        <w:tc>
          <w:tcPr>
            <w:tcW w:w="3325" w:type="dxa"/>
          </w:tcPr>
          <w:p w14:paraId="361A91FE" w14:textId="47C789D1" w:rsidR="00DE4CAE" w:rsidRDefault="00E95DCE" w:rsidP="001317B9">
            <w:pPr>
              <w:spacing w:line="480" w:lineRule="auto"/>
              <w:rPr>
                <w:rFonts w:ascii="Times New Roman" w:hAnsi="Times New Roman" w:cs="Times New Roman"/>
                <w:b/>
                <w:bCs/>
              </w:rPr>
            </w:pPr>
            <w:r w:rsidRPr="00E95DCE">
              <w:rPr>
                <w:rFonts w:ascii="Times New Roman" w:hAnsi="Times New Roman" w:cs="Times New Roman"/>
                <w:b/>
                <w:bCs/>
              </w:rPr>
              <w:t>SPP generation mix - </w:t>
            </w:r>
            <w:hyperlink r:id="rId5" w:history="1">
              <w:r w:rsidRPr="00E95DCE">
                <w:rPr>
                  <w:rStyle w:val="Hyperlink"/>
                  <w:rFonts w:ascii="Times New Roman" w:hAnsi="Times New Roman" w:cs="Times New Roman"/>
                  <w:b/>
                  <w:bCs/>
                </w:rPr>
                <w:t>https://www.eia.gov/electricity/gridmonitor/dashboard/custom/pending</w:t>
              </w:r>
            </w:hyperlink>
          </w:p>
        </w:tc>
      </w:tr>
      <w:tr w:rsidR="00DE4CAE" w14:paraId="54C3DE40" w14:textId="77777777" w:rsidTr="001C3CB6">
        <w:tc>
          <w:tcPr>
            <w:tcW w:w="2065" w:type="dxa"/>
          </w:tcPr>
          <w:p w14:paraId="51ADEB49" w14:textId="49E6F80B" w:rsidR="00DE4CAE" w:rsidRDefault="006E6545" w:rsidP="001317B9">
            <w:pPr>
              <w:spacing w:line="480" w:lineRule="auto"/>
              <w:rPr>
                <w:rFonts w:ascii="Times New Roman" w:hAnsi="Times New Roman" w:cs="Times New Roman"/>
                <w:b/>
                <w:bCs/>
              </w:rPr>
            </w:pPr>
            <w:proofErr w:type="spellStart"/>
            <w:r>
              <w:rPr>
                <w:rFonts w:ascii="Times New Roman" w:hAnsi="Times New Roman" w:cs="Times New Roman"/>
                <w:b/>
                <w:bCs/>
              </w:rPr>
              <w:t>Demand_MWh</w:t>
            </w:r>
            <w:proofErr w:type="spellEnd"/>
          </w:p>
        </w:tc>
        <w:tc>
          <w:tcPr>
            <w:tcW w:w="2430" w:type="dxa"/>
          </w:tcPr>
          <w:p w14:paraId="18282AC9" w14:textId="12587A0E" w:rsidR="00DE4CAE" w:rsidRDefault="00216AB4" w:rsidP="001317B9">
            <w:pPr>
              <w:spacing w:line="480" w:lineRule="auto"/>
              <w:rPr>
                <w:rFonts w:ascii="Times New Roman" w:hAnsi="Times New Roman" w:cs="Times New Roman"/>
                <w:b/>
                <w:bCs/>
              </w:rPr>
            </w:pPr>
            <w:r>
              <w:rPr>
                <w:rFonts w:ascii="Times New Roman" w:hAnsi="Times New Roman" w:cs="Times New Roman"/>
                <w:b/>
                <w:bCs/>
              </w:rPr>
              <w:t>Total electricity demand (load) in the SPP market for the given hour</w:t>
            </w:r>
          </w:p>
        </w:tc>
        <w:tc>
          <w:tcPr>
            <w:tcW w:w="1530" w:type="dxa"/>
          </w:tcPr>
          <w:p w14:paraId="57FE1DA3" w14:textId="1D81DA81" w:rsidR="00DE4CAE" w:rsidRDefault="0063007A" w:rsidP="001317B9">
            <w:pPr>
              <w:spacing w:line="480" w:lineRule="auto"/>
              <w:rPr>
                <w:rFonts w:ascii="Times New Roman" w:hAnsi="Times New Roman" w:cs="Times New Roman"/>
                <w:b/>
                <w:bCs/>
              </w:rPr>
            </w:pPr>
            <w:r>
              <w:rPr>
                <w:rFonts w:ascii="Times New Roman" w:hAnsi="Times New Roman" w:cs="Times New Roman"/>
                <w:b/>
                <w:bCs/>
              </w:rPr>
              <w:t>MWh</w:t>
            </w:r>
          </w:p>
        </w:tc>
        <w:tc>
          <w:tcPr>
            <w:tcW w:w="3325" w:type="dxa"/>
          </w:tcPr>
          <w:p w14:paraId="4AC3CE08" w14:textId="13A64FB1" w:rsidR="00DE4CAE" w:rsidRDefault="002753EF" w:rsidP="001317B9">
            <w:pPr>
              <w:spacing w:line="480" w:lineRule="auto"/>
              <w:rPr>
                <w:rFonts w:ascii="Times New Roman" w:hAnsi="Times New Roman" w:cs="Times New Roman"/>
                <w:b/>
                <w:bCs/>
              </w:rPr>
            </w:pPr>
            <w:r w:rsidRPr="002753EF">
              <w:rPr>
                <w:rFonts w:ascii="Times New Roman" w:hAnsi="Times New Roman" w:cs="Times New Roman"/>
                <w:b/>
                <w:bCs/>
              </w:rPr>
              <w:t>SPP load / demand data - </w:t>
            </w:r>
            <w:hyperlink r:id="rId6" w:history="1">
              <w:r w:rsidRPr="002753EF">
                <w:rPr>
                  <w:rStyle w:val="Hyperlink"/>
                  <w:rFonts w:ascii="Times New Roman" w:hAnsi="Times New Roman" w:cs="Times New Roman"/>
                  <w:b/>
                  <w:bCs/>
                </w:rPr>
                <w:t>https://www.eia.gov/electricity/gridmonitor/dashboard/custom/pending</w:t>
              </w:r>
            </w:hyperlink>
          </w:p>
        </w:tc>
      </w:tr>
      <w:tr w:rsidR="00DE4CAE" w14:paraId="4459DF55" w14:textId="77777777" w:rsidTr="001C3CB6">
        <w:tc>
          <w:tcPr>
            <w:tcW w:w="2065" w:type="dxa"/>
          </w:tcPr>
          <w:p w14:paraId="793212D1" w14:textId="3B5DFB9F" w:rsidR="00DE4CAE" w:rsidRDefault="006E6545" w:rsidP="001317B9">
            <w:pPr>
              <w:spacing w:line="480" w:lineRule="auto"/>
              <w:rPr>
                <w:rFonts w:ascii="Times New Roman" w:hAnsi="Times New Roman" w:cs="Times New Roman"/>
                <w:b/>
                <w:bCs/>
              </w:rPr>
            </w:pPr>
            <w:proofErr w:type="spellStart"/>
            <w:r>
              <w:rPr>
                <w:rFonts w:ascii="Times New Roman" w:hAnsi="Times New Roman" w:cs="Times New Roman"/>
                <w:b/>
                <w:bCs/>
              </w:rPr>
              <w:t>Gas_Price</w:t>
            </w:r>
            <w:proofErr w:type="spellEnd"/>
          </w:p>
        </w:tc>
        <w:tc>
          <w:tcPr>
            <w:tcW w:w="2430" w:type="dxa"/>
          </w:tcPr>
          <w:p w14:paraId="1108C667" w14:textId="01607A35" w:rsidR="00DE4CAE" w:rsidRDefault="00216AB4" w:rsidP="001317B9">
            <w:pPr>
              <w:spacing w:line="480" w:lineRule="auto"/>
              <w:rPr>
                <w:rFonts w:ascii="Times New Roman" w:hAnsi="Times New Roman" w:cs="Times New Roman"/>
                <w:b/>
                <w:bCs/>
              </w:rPr>
            </w:pPr>
            <w:r>
              <w:rPr>
                <w:rFonts w:ascii="Times New Roman" w:hAnsi="Times New Roman" w:cs="Times New Roman"/>
                <w:b/>
                <w:bCs/>
              </w:rPr>
              <w:t xml:space="preserve">Henry Hub natural </w:t>
            </w:r>
            <w:r w:rsidR="003A6871">
              <w:rPr>
                <w:rFonts w:ascii="Times New Roman" w:hAnsi="Times New Roman" w:cs="Times New Roman"/>
                <w:b/>
                <w:bCs/>
              </w:rPr>
              <w:t>gas</w:t>
            </w:r>
            <w:r w:rsidR="001A3452">
              <w:rPr>
                <w:rFonts w:ascii="Times New Roman" w:hAnsi="Times New Roman" w:cs="Times New Roman"/>
                <w:b/>
                <w:bCs/>
              </w:rPr>
              <w:t xml:space="preserve"> daily spot price, same value assigned to all hours within a day</w:t>
            </w:r>
          </w:p>
        </w:tc>
        <w:tc>
          <w:tcPr>
            <w:tcW w:w="1530" w:type="dxa"/>
          </w:tcPr>
          <w:p w14:paraId="18B0153E" w14:textId="1AEBF23B" w:rsidR="00DE4CAE" w:rsidRDefault="0063007A" w:rsidP="001317B9">
            <w:pPr>
              <w:spacing w:line="480" w:lineRule="auto"/>
              <w:rPr>
                <w:rFonts w:ascii="Times New Roman" w:hAnsi="Times New Roman" w:cs="Times New Roman"/>
                <w:b/>
                <w:bCs/>
              </w:rPr>
            </w:pPr>
            <w:r>
              <w:rPr>
                <w:rFonts w:ascii="Times New Roman" w:hAnsi="Times New Roman" w:cs="Times New Roman"/>
                <w:b/>
                <w:bCs/>
              </w:rPr>
              <w:t>$/MMBTU</w:t>
            </w:r>
          </w:p>
        </w:tc>
        <w:tc>
          <w:tcPr>
            <w:tcW w:w="3325" w:type="dxa"/>
          </w:tcPr>
          <w:p w14:paraId="362BAB5D" w14:textId="4FFEBEE6" w:rsidR="00DE4CAE" w:rsidRDefault="002753EF" w:rsidP="001317B9">
            <w:pPr>
              <w:spacing w:line="480" w:lineRule="auto"/>
              <w:rPr>
                <w:rFonts w:ascii="Times New Roman" w:hAnsi="Times New Roman" w:cs="Times New Roman"/>
                <w:b/>
                <w:bCs/>
              </w:rPr>
            </w:pPr>
            <w:r w:rsidRPr="002753EF">
              <w:rPr>
                <w:rFonts w:ascii="Times New Roman" w:hAnsi="Times New Roman" w:cs="Times New Roman"/>
                <w:b/>
                <w:bCs/>
              </w:rPr>
              <w:t>Henry Hub natural gas spot price - </w:t>
            </w:r>
            <w:hyperlink r:id="rId7" w:history="1">
              <w:r w:rsidRPr="002753EF">
                <w:rPr>
                  <w:rStyle w:val="Hyperlink"/>
                  <w:rFonts w:ascii="Times New Roman" w:hAnsi="Times New Roman" w:cs="Times New Roman"/>
                  <w:b/>
                  <w:bCs/>
                </w:rPr>
                <w:t>https://www.eia.gov/dnav/ng/hist/rngwhhdD.htm</w:t>
              </w:r>
            </w:hyperlink>
          </w:p>
        </w:tc>
      </w:tr>
      <w:tr w:rsidR="00DE4CAE" w14:paraId="56A568BB" w14:textId="77777777" w:rsidTr="001C3CB6">
        <w:tc>
          <w:tcPr>
            <w:tcW w:w="2065" w:type="dxa"/>
          </w:tcPr>
          <w:p w14:paraId="46D9A3D5" w14:textId="2E9F61B6" w:rsidR="00DE4CAE" w:rsidRDefault="006E6545" w:rsidP="001317B9">
            <w:pPr>
              <w:spacing w:line="480" w:lineRule="auto"/>
              <w:rPr>
                <w:rFonts w:ascii="Times New Roman" w:hAnsi="Times New Roman" w:cs="Times New Roman"/>
                <w:b/>
                <w:bCs/>
              </w:rPr>
            </w:pPr>
            <w:r>
              <w:rPr>
                <w:rFonts w:ascii="Times New Roman" w:hAnsi="Times New Roman" w:cs="Times New Roman"/>
                <w:b/>
                <w:bCs/>
              </w:rPr>
              <w:t>CS</w:t>
            </w:r>
          </w:p>
        </w:tc>
        <w:tc>
          <w:tcPr>
            <w:tcW w:w="2430" w:type="dxa"/>
          </w:tcPr>
          <w:p w14:paraId="266F080F" w14:textId="771F1AB7" w:rsidR="00DE4CAE" w:rsidRDefault="001A3452" w:rsidP="001317B9">
            <w:pPr>
              <w:spacing w:line="480" w:lineRule="auto"/>
              <w:rPr>
                <w:rFonts w:ascii="Times New Roman" w:hAnsi="Times New Roman" w:cs="Times New Roman"/>
                <w:b/>
                <w:bCs/>
              </w:rPr>
            </w:pPr>
            <w:r>
              <w:rPr>
                <w:rFonts w:ascii="Times New Roman" w:hAnsi="Times New Roman" w:cs="Times New Roman"/>
                <w:b/>
                <w:bCs/>
              </w:rPr>
              <w:t xml:space="preserve">Cross-section identifier; constant </w:t>
            </w:r>
            <w:r>
              <w:rPr>
                <w:rFonts w:ascii="Times New Roman" w:hAnsi="Times New Roman" w:cs="Times New Roman"/>
                <w:b/>
                <w:bCs/>
              </w:rPr>
              <w:lastRenderedPageBreak/>
              <w:t xml:space="preserve">and equal </w:t>
            </w:r>
            <w:r w:rsidR="006C7459">
              <w:rPr>
                <w:rFonts w:ascii="Times New Roman" w:hAnsi="Times New Roman" w:cs="Times New Roman"/>
                <w:b/>
                <w:bCs/>
              </w:rPr>
              <w:t>to “SPP” for all observations</w:t>
            </w:r>
          </w:p>
        </w:tc>
        <w:tc>
          <w:tcPr>
            <w:tcW w:w="1530" w:type="dxa"/>
          </w:tcPr>
          <w:p w14:paraId="0C94ED96" w14:textId="0D270312" w:rsidR="00DE4CAE" w:rsidRDefault="0063007A" w:rsidP="001317B9">
            <w:pPr>
              <w:spacing w:line="480" w:lineRule="auto"/>
              <w:rPr>
                <w:rFonts w:ascii="Times New Roman" w:hAnsi="Times New Roman" w:cs="Times New Roman"/>
                <w:b/>
                <w:bCs/>
              </w:rPr>
            </w:pPr>
            <w:r>
              <w:rPr>
                <w:rFonts w:ascii="Times New Roman" w:hAnsi="Times New Roman" w:cs="Times New Roman"/>
                <w:b/>
                <w:bCs/>
              </w:rPr>
              <w:lastRenderedPageBreak/>
              <w:t>N/A</w:t>
            </w:r>
          </w:p>
        </w:tc>
        <w:tc>
          <w:tcPr>
            <w:tcW w:w="3325" w:type="dxa"/>
          </w:tcPr>
          <w:p w14:paraId="486B4791" w14:textId="2F9590B7" w:rsidR="00DE4CAE" w:rsidRDefault="002753EF" w:rsidP="001317B9">
            <w:pPr>
              <w:spacing w:line="480" w:lineRule="auto"/>
              <w:rPr>
                <w:rFonts w:ascii="Times New Roman" w:hAnsi="Times New Roman" w:cs="Times New Roman"/>
                <w:b/>
                <w:bCs/>
              </w:rPr>
            </w:pPr>
            <w:r>
              <w:rPr>
                <w:rFonts w:ascii="Times New Roman" w:hAnsi="Times New Roman" w:cs="Times New Roman"/>
                <w:b/>
                <w:bCs/>
              </w:rPr>
              <w:t>Determined by author</w:t>
            </w:r>
          </w:p>
        </w:tc>
      </w:tr>
      <w:tr w:rsidR="00DE4CAE" w14:paraId="3F7477B3" w14:textId="77777777" w:rsidTr="001C3CB6">
        <w:tc>
          <w:tcPr>
            <w:tcW w:w="2065" w:type="dxa"/>
          </w:tcPr>
          <w:p w14:paraId="22AFACB8" w14:textId="5EB96D11" w:rsidR="00DE4CAE" w:rsidRDefault="006E6545" w:rsidP="001317B9">
            <w:pPr>
              <w:spacing w:line="480" w:lineRule="auto"/>
              <w:rPr>
                <w:rFonts w:ascii="Times New Roman" w:hAnsi="Times New Roman" w:cs="Times New Roman"/>
                <w:b/>
                <w:bCs/>
              </w:rPr>
            </w:pPr>
            <w:r>
              <w:rPr>
                <w:rFonts w:ascii="Times New Roman" w:hAnsi="Times New Roman" w:cs="Times New Roman"/>
                <w:b/>
                <w:bCs/>
              </w:rPr>
              <w:t>Time</w:t>
            </w:r>
          </w:p>
        </w:tc>
        <w:tc>
          <w:tcPr>
            <w:tcW w:w="2430" w:type="dxa"/>
          </w:tcPr>
          <w:p w14:paraId="4881E011" w14:textId="54F5837C" w:rsidR="00DE4CAE" w:rsidRDefault="006C7459" w:rsidP="001317B9">
            <w:pPr>
              <w:spacing w:line="480" w:lineRule="auto"/>
              <w:rPr>
                <w:rFonts w:ascii="Times New Roman" w:hAnsi="Times New Roman" w:cs="Times New Roman"/>
                <w:b/>
                <w:bCs/>
              </w:rPr>
            </w:pPr>
            <w:r>
              <w:rPr>
                <w:rFonts w:ascii="Times New Roman" w:hAnsi="Times New Roman" w:cs="Times New Roman"/>
                <w:b/>
                <w:bCs/>
              </w:rPr>
              <w:t>Hourly date-time stamp for each observation (date and hour)</w:t>
            </w:r>
          </w:p>
        </w:tc>
        <w:tc>
          <w:tcPr>
            <w:tcW w:w="1530" w:type="dxa"/>
          </w:tcPr>
          <w:p w14:paraId="397DC21F" w14:textId="737DAF03" w:rsidR="00DE4CAE" w:rsidRDefault="006C7459" w:rsidP="001317B9">
            <w:pPr>
              <w:spacing w:line="480" w:lineRule="auto"/>
              <w:rPr>
                <w:rFonts w:ascii="Times New Roman" w:hAnsi="Times New Roman" w:cs="Times New Roman"/>
                <w:b/>
                <w:bCs/>
              </w:rPr>
            </w:pPr>
            <w:r>
              <w:rPr>
                <w:rFonts w:ascii="Times New Roman" w:hAnsi="Times New Roman" w:cs="Times New Roman"/>
                <w:b/>
                <w:bCs/>
              </w:rPr>
              <w:t>Hour (timestamp)</w:t>
            </w:r>
          </w:p>
        </w:tc>
        <w:tc>
          <w:tcPr>
            <w:tcW w:w="3325" w:type="dxa"/>
          </w:tcPr>
          <w:p w14:paraId="288CDFDA" w14:textId="57ACCE30" w:rsidR="00DE4CAE" w:rsidRDefault="002753EF" w:rsidP="001317B9">
            <w:pPr>
              <w:spacing w:line="480" w:lineRule="auto"/>
              <w:rPr>
                <w:rFonts w:ascii="Times New Roman" w:hAnsi="Times New Roman" w:cs="Times New Roman"/>
                <w:b/>
                <w:bCs/>
              </w:rPr>
            </w:pPr>
            <w:r>
              <w:rPr>
                <w:rFonts w:ascii="Times New Roman" w:hAnsi="Times New Roman" w:cs="Times New Roman"/>
                <w:b/>
                <w:bCs/>
              </w:rPr>
              <w:t>Determined from SPP timestamps in LMP, generation and load files</w:t>
            </w:r>
          </w:p>
        </w:tc>
      </w:tr>
    </w:tbl>
    <w:p w14:paraId="3F7A2B68" w14:textId="77777777" w:rsidR="000E62F2" w:rsidRDefault="000E62F2" w:rsidP="001317B9">
      <w:pPr>
        <w:spacing w:line="480" w:lineRule="auto"/>
        <w:rPr>
          <w:rFonts w:ascii="Times New Roman" w:hAnsi="Times New Roman" w:cs="Times New Roman"/>
          <w:b/>
          <w:bCs/>
        </w:rPr>
      </w:pPr>
    </w:p>
    <w:p w14:paraId="48EDD6E2" w14:textId="77777777" w:rsidR="000E62F2" w:rsidRDefault="000E62F2" w:rsidP="001317B9">
      <w:pPr>
        <w:spacing w:line="480" w:lineRule="auto"/>
        <w:rPr>
          <w:rFonts w:ascii="Times New Roman" w:hAnsi="Times New Roman" w:cs="Times New Roman"/>
          <w:b/>
          <w:bCs/>
        </w:rPr>
      </w:pPr>
    </w:p>
    <w:p w14:paraId="6F0E44B6" w14:textId="77777777" w:rsidR="000E62F2" w:rsidRDefault="000E62F2" w:rsidP="001317B9">
      <w:pPr>
        <w:spacing w:line="480" w:lineRule="auto"/>
        <w:rPr>
          <w:rFonts w:ascii="Times New Roman" w:hAnsi="Times New Roman" w:cs="Times New Roman"/>
          <w:b/>
          <w:bCs/>
        </w:rPr>
      </w:pPr>
    </w:p>
    <w:p w14:paraId="663BB380" w14:textId="77777777" w:rsidR="000E62F2" w:rsidRDefault="000E62F2" w:rsidP="001317B9">
      <w:pPr>
        <w:spacing w:line="480" w:lineRule="auto"/>
        <w:rPr>
          <w:rFonts w:ascii="Times New Roman" w:hAnsi="Times New Roman" w:cs="Times New Roman"/>
          <w:b/>
          <w:bCs/>
        </w:rPr>
      </w:pPr>
    </w:p>
    <w:p w14:paraId="20B33793" w14:textId="77777777" w:rsidR="000E62F2" w:rsidRDefault="000E62F2" w:rsidP="001317B9">
      <w:pPr>
        <w:spacing w:line="480" w:lineRule="auto"/>
        <w:rPr>
          <w:rFonts w:ascii="Times New Roman" w:hAnsi="Times New Roman" w:cs="Times New Roman"/>
          <w:b/>
          <w:bCs/>
        </w:rPr>
      </w:pPr>
    </w:p>
    <w:p w14:paraId="26E10612" w14:textId="77777777" w:rsidR="000E62F2" w:rsidRDefault="000E62F2" w:rsidP="001317B9">
      <w:pPr>
        <w:spacing w:line="480" w:lineRule="auto"/>
        <w:rPr>
          <w:rFonts w:ascii="Times New Roman" w:hAnsi="Times New Roman" w:cs="Times New Roman"/>
          <w:b/>
          <w:bCs/>
        </w:rPr>
      </w:pPr>
    </w:p>
    <w:p w14:paraId="5F8299F8" w14:textId="77777777" w:rsidR="000E62F2" w:rsidRDefault="000E62F2" w:rsidP="001317B9">
      <w:pPr>
        <w:spacing w:line="480" w:lineRule="auto"/>
        <w:rPr>
          <w:rFonts w:ascii="Times New Roman" w:hAnsi="Times New Roman" w:cs="Times New Roman"/>
          <w:b/>
          <w:bCs/>
        </w:rPr>
      </w:pPr>
    </w:p>
    <w:p w14:paraId="7D1E0303" w14:textId="77777777" w:rsidR="000E62F2" w:rsidRDefault="000E62F2" w:rsidP="001317B9">
      <w:pPr>
        <w:spacing w:line="480" w:lineRule="auto"/>
        <w:rPr>
          <w:rFonts w:ascii="Times New Roman" w:hAnsi="Times New Roman" w:cs="Times New Roman"/>
          <w:b/>
          <w:bCs/>
        </w:rPr>
      </w:pPr>
    </w:p>
    <w:p w14:paraId="0F475768" w14:textId="77777777" w:rsidR="000E62F2" w:rsidRDefault="000E62F2" w:rsidP="001317B9">
      <w:pPr>
        <w:spacing w:line="480" w:lineRule="auto"/>
        <w:rPr>
          <w:rFonts w:ascii="Times New Roman" w:hAnsi="Times New Roman" w:cs="Times New Roman"/>
          <w:b/>
          <w:bCs/>
        </w:rPr>
      </w:pPr>
    </w:p>
    <w:p w14:paraId="3DFB00E9" w14:textId="77777777" w:rsidR="000E62F2" w:rsidRDefault="000E62F2" w:rsidP="001317B9">
      <w:pPr>
        <w:spacing w:line="480" w:lineRule="auto"/>
        <w:rPr>
          <w:rFonts w:ascii="Times New Roman" w:hAnsi="Times New Roman" w:cs="Times New Roman"/>
          <w:b/>
          <w:bCs/>
        </w:rPr>
      </w:pPr>
    </w:p>
    <w:p w14:paraId="0C81F0C4" w14:textId="77777777" w:rsidR="000E62F2" w:rsidRDefault="000E62F2" w:rsidP="001317B9">
      <w:pPr>
        <w:spacing w:line="480" w:lineRule="auto"/>
        <w:rPr>
          <w:rFonts w:ascii="Times New Roman" w:hAnsi="Times New Roman" w:cs="Times New Roman"/>
          <w:b/>
          <w:bCs/>
        </w:rPr>
      </w:pPr>
    </w:p>
    <w:p w14:paraId="6E670FB3" w14:textId="77777777" w:rsidR="000E62F2" w:rsidRDefault="000E62F2" w:rsidP="001317B9">
      <w:pPr>
        <w:spacing w:line="480" w:lineRule="auto"/>
        <w:rPr>
          <w:rFonts w:ascii="Times New Roman" w:hAnsi="Times New Roman" w:cs="Times New Roman"/>
          <w:b/>
          <w:bCs/>
        </w:rPr>
      </w:pPr>
    </w:p>
    <w:p w14:paraId="4825E964" w14:textId="77777777" w:rsidR="001C3CB6" w:rsidRDefault="001C3CB6" w:rsidP="001317B9">
      <w:pPr>
        <w:spacing w:line="480" w:lineRule="auto"/>
        <w:rPr>
          <w:rFonts w:ascii="Times New Roman" w:hAnsi="Times New Roman" w:cs="Times New Roman"/>
          <w:b/>
          <w:bCs/>
        </w:rPr>
      </w:pPr>
    </w:p>
    <w:p w14:paraId="53A16803" w14:textId="77777777" w:rsidR="000E62F2" w:rsidRDefault="000E62F2" w:rsidP="001317B9">
      <w:pPr>
        <w:spacing w:line="480" w:lineRule="auto"/>
        <w:rPr>
          <w:rFonts w:ascii="Times New Roman" w:hAnsi="Times New Roman" w:cs="Times New Roman"/>
          <w:b/>
          <w:bCs/>
        </w:rPr>
      </w:pPr>
    </w:p>
    <w:p w14:paraId="33AB8490" w14:textId="02D229FC" w:rsidR="001317B9" w:rsidRPr="001317B9" w:rsidRDefault="001317B9" w:rsidP="001317B9">
      <w:pPr>
        <w:spacing w:line="480" w:lineRule="auto"/>
        <w:rPr>
          <w:rFonts w:ascii="Times New Roman" w:hAnsi="Times New Roman" w:cs="Times New Roman"/>
          <w:b/>
          <w:bCs/>
        </w:rPr>
      </w:pPr>
      <w:r w:rsidRPr="001317B9">
        <w:rPr>
          <w:rFonts w:ascii="Times New Roman" w:hAnsi="Times New Roman" w:cs="Times New Roman"/>
          <w:b/>
          <w:bCs/>
        </w:rPr>
        <w:lastRenderedPageBreak/>
        <w:t xml:space="preserve">References </w:t>
      </w:r>
    </w:p>
    <w:p w14:paraId="7C857262" w14:textId="77777777" w:rsidR="00F72408" w:rsidRPr="00F72408" w:rsidRDefault="00F72408" w:rsidP="00F72408">
      <w:pPr>
        <w:spacing w:line="480" w:lineRule="auto"/>
        <w:rPr>
          <w:rFonts w:ascii="Times New Roman" w:hAnsi="Times New Roman" w:cs="Times New Roman"/>
        </w:rPr>
      </w:pPr>
      <w:proofErr w:type="spellStart"/>
      <w:r w:rsidRPr="00F72408">
        <w:rPr>
          <w:rFonts w:ascii="Times New Roman" w:hAnsi="Times New Roman" w:cs="Times New Roman"/>
        </w:rPr>
        <w:t>Benhmad</w:t>
      </w:r>
      <w:proofErr w:type="spellEnd"/>
      <w:r w:rsidRPr="00F72408">
        <w:rPr>
          <w:rFonts w:ascii="Times New Roman" w:hAnsi="Times New Roman" w:cs="Times New Roman"/>
        </w:rPr>
        <w:t xml:space="preserve">, F., and J. </w:t>
      </w:r>
      <w:proofErr w:type="spellStart"/>
      <w:r w:rsidRPr="00F72408">
        <w:rPr>
          <w:rFonts w:ascii="Times New Roman" w:hAnsi="Times New Roman" w:cs="Times New Roman"/>
        </w:rPr>
        <w:t>Percebois</w:t>
      </w:r>
      <w:proofErr w:type="spellEnd"/>
      <w:r w:rsidRPr="00F72408">
        <w:rPr>
          <w:rFonts w:ascii="Times New Roman" w:hAnsi="Times New Roman" w:cs="Times New Roman"/>
        </w:rPr>
        <w:t xml:space="preserve">. (2018). “Photovoltaic and Wind Power Feed-in Impact on Electricity Prices: The Case of Germany.” </w:t>
      </w:r>
      <w:r w:rsidRPr="00F72408">
        <w:rPr>
          <w:rFonts w:ascii="Times New Roman" w:hAnsi="Times New Roman" w:cs="Times New Roman"/>
          <w:i/>
          <w:iCs/>
        </w:rPr>
        <w:t>Energy Policy</w:t>
      </w:r>
      <w:r w:rsidRPr="00F72408">
        <w:rPr>
          <w:rFonts w:ascii="Times New Roman" w:hAnsi="Times New Roman" w:cs="Times New Roman"/>
        </w:rPr>
        <w:t xml:space="preserve"> </w:t>
      </w:r>
      <w:r w:rsidRPr="00F72408">
        <w:rPr>
          <w:rFonts w:ascii="Times New Roman" w:hAnsi="Times New Roman" w:cs="Times New Roman"/>
          <w:b/>
          <w:bCs/>
        </w:rPr>
        <w:t>123</w:t>
      </w:r>
      <w:r w:rsidRPr="00F72408">
        <w:rPr>
          <w:rFonts w:ascii="Times New Roman" w:hAnsi="Times New Roman" w:cs="Times New Roman"/>
        </w:rPr>
        <w:t>: 113–128.</w:t>
      </w:r>
    </w:p>
    <w:p w14:paraId="26820E44" w14:textId="77777777" w:rsidR="00F72408" w:rsidRDefault="00F72408" w:rsidP="00F72408">
      <w:pPr>
        <w:spacing w:line="480" w:lineRule="auto"/>
        <w:rPr>
          <w:rFonts w:ascii="Times New Roman" w:hAnsi="Times New Roman" w:cs="Times New Roman"/>
        </w:rPr>
      </w:pPr>
      <w:proofErr w:type="spellStart"/>
      <w:r w:rsidRPr="00F72408">
        <w:rPr>
          <w:rFonts w:ascii="Times New Roman" w:hAnsi="Times New Roman" w:cs="Times New Roman"/>
        </w:rPr>
        <w:t>Khoshrou</w:t>
      </w:r>
      <w:proofErr w:type="spellEnd"/>
      <w:r w:rsidRPr="00F72408">
        <w:rPr>
          <w:rFonts w:ascii="Times New Roman" w:hAnsi="Times New Roman" w:cs="Times New Roman"/>
        </w:rPr>
        <w:t xml:space="preserve">, A., A. Dorsman, and B. Pauwels. (2019). “The Evolution of Electricity Price on the German Day-ahead Market Before and After the Energy Switch.” </w:t>
      </w:r>
      <w:r w:rsidRPr="00F72408">
        <w:rPr>
          <w:rFonts w:ascii="Times New Roman" w:hAnsi="Times New Roman" w:cs="Times New Roman"/>
          <w:i/>
          <w:iCs/>
        </w:rPr>
        <w:t>Renewable Energy</w:t>
      </w:r>
      <w:r w:rsidRPr="00F72408">
        <w:rPr>
          <w:rFonts w:ascii="Times New Roman" w:hAnsi="Times New Roman" w:cs="Times New Roman"/>
        </w:rPr>
        <w:t xml:space="preserve"> </w:t>
      </w:r>
      <w:r w:rsidRPr="00F72408">
        <w:rPr>
          <w:rFonts w:ascii="Times New Roman" w:hAnsi="Times New Roman" w:cs="Times New Roman"/>
          <w:b/>
          <w:bCs/>
        </w:rPr>
        <w:t>134</w:t>
      </w:r>
      <w:r w:rsidRPr="00F72408">
        <w:rPr>
          <w:rFonts w:ascii="Times New Roman" w:hAnsi="Times New Roman" w:cs="Times New Roman"/>
        </w:rPr>
        <w:t>: 1–13.</w:t>
      </w:r>
    </w:p>
    <w:p w14:paraId="5F8EDDEE" w14:textId="4E441136" w:rsidR="005924CF" w:rsidRPr="00F72408" w:rsidRDefault="005924CF" w:rsidP="00F72408">
      <w:pPr>
        <w:spacing w:line="480" w:lineRule="auto"/>
        <w:rPr>
          <w:rFonts w:ascii="Times New Roman" w:hAnsi="Times New Roman" w:cs="Times New Roman"/>
        </w:rPr>
      </w:pPr>
      <w:r w:rsidRPr="005924CF">
        <w:rPr>
          <w:rFonts w:ascii="Times New Roman" w:hAnsi="Times New Roman" w:cs="Times New Roman"/>
        </w:rPr>
        <w:t>Peters, Keaton. 2025. “Surging energy prices drive inflation to 3% for first time in 8 months.” Straight Arrow News.</w:t>
      </w:r>
    </w:p>
    <w:p w14:paraId="666A197F" w14:textId="77777777" w:rsidR="00F72408" w:rsidRPr="00F72408" w:rsidRDefault="00F72408" w:rsidP="00F72408">
      <w:pPr>
        <w:spacing w:line="480" w:lineRule="auto"/>
        <w:rPr>
          <w:rFonts w:ascii="Times New Roman" w:hAnsi="Times New Roman" w:cs="Times New Roman"/>
        </w:rPr>
      </w:pPr>
      <w:proofErr w:type="spellStart"/>
      <w:r w:rsidRPr="00F72408">
        <w:rPr>
          <w:rFonts w:ascii="Times New Roman" w:hAnsi="Times New Roman" w:cs="Times New Roman"/>
        </w:rPr>
        <w:t>Tselika</w:t>
      </w:r>
      <w:proofErr w:type="spellEnd"/>
      <w:r w:rsidRPr="00F72408">
        <w:rPr>
          <w:rFonts w:ascii="Times New Roman" w:hAnsi="Times New Roman" w:cs="Times New Roman"/>
        </w:rPr>
        <w:t xml:space="preserve">, E. (2022). “The Impact of Variable Renewables on the Distribution of Hourly Electricity Prices and Their Variability: A Panel Approach.” </w:t>
      </w:r>
      <w:r w:rsidRPr="00F72408">
        <w:rPr>
          <w:rFonts w:ascii="Times New Roman" w:hAnsi="Times New Roman" w:cs="Times New Roman"/>
          <w:i/>
          <w:iCs/>
        </w:rPr>
        <w:t>Energy Economics</w:t>
      </w:r>
      <w:r w:rsidRPr="00F72408">
        <w:rPr>
          <w:rFonts w:ascii="Times New Roman" w:hAnsi="Times New Roman" w:cs="Times New Roman"/>
        </w:rPr>
        <w:t xml:space="preserve"> </w:t>
      </w:r>
      <w:r w:rsidRPr="00F72408">
        <w:rPr>
          <w:rFonts w:ascii="Times New Roman" w:hAnsi="Times New Roman" w:cs="Times New Roman"/>
          <w:b/>
          <w:bCs/>
        </w:rPr>
        <w:t>109</w:t>
      </w:r>
      <w:r w:rsidRPr="00F72408">
        <w:rPr>
          <w:rFonts w:ascii="Times New Roman" w:hAnsi="Times New Roman" w:cs="Times New Roman"/>
        </w:rPr>
        <w:t>: 105974.</w:t>
      </w:r>
    </w:p>
    <w:p w14:paraId="0F611254" w14:textId="77777777" w:rsidR="00F72408" w:rsidRDefault="00F72408" w:rsidP="00F72408">
      <w:pPr>
        <w:spacing w:line="480" w:lineRule="auto"/>
        <w:rPr>
          <w:rFonts w:ascii="Times New Roman" w:hAnsi="Times New Roman" w:cs="Times New Roman"/>
        </w:rPr>
      </w:pPr>
      <w:r w:rsidRPr="00F72408">
        <w:rPr>
          <w:rFonts w:ascii="Times New Roman" w:hAnsi="Times New Roman" w:cs="Times New Roman"/>
        </w:rPr>
        <w:t xml:space="preserve">Tsai, C.-H., and D. </w:t>
      </w:r>
      <w:proofErr w:type="spellStart"/>
      <w:r w:rsidRPr="00F72408">
        <w:rPr>
          <w:rFonts w:ascii="Times New Roman" w:hAnsi="Times New Roman" w:cs="Times New Roman"/>
        </w:rPr>
        <w:t>Eryilmaz</w:t>
      </w:r>
      <w:proofErr w:type="spellEnd"/>
      <w:r w:rsidRPr="00F72408">
        <w:rPr>
          <w:rFonts w:ascii="Times New Roman" w:hAnsi="Times New Roman" w:cs="Times New Roman"/>
        </w:rPr>
        <w:t xml:space="preserve">. (2018). “Effect of Wind Generation on ERCOT Nodal Prices.” </w:t>
      </w:r>
      <w:r w:rsidRPr="00F72408">
        <w:rPr>
          <w:rFonts w:ascii="Times New Roman" w:hAnsi="Times New Roman" w:cs="Times New Roman"/>
          <w:i/>
          <w:iCs/>
        </w:rPr>
        <w:t>Energy Economics</w:t>
      </w:r>
      <w:r w:rsidRPr="00F72408">
        <w:rPr>
          <w:rFonts w:ascii="Times New Roman" w:hAnsi="Times New Roman" w:cs="Times New Roman"/>
        </w:rPr>
        <w:t xml:space="preserve"> </w:t>
      </w:r>
      <w:r w:rsidRPr="00F72408">
        <w:rPr>
          <w:rFonts w:ascii="Times New Roman" w:hAnsi="Times New Roman" w:cs="Times New Roman"/>
          <w:b/>
          <w:bCs/>
        </w:rPr>
        <w:t>76</w:t>
      </w:r>
      <w:r w:rsidRPr="00F72408">
        <w:rPr>
          <w:rFonts w:ascii="Times New Roman" w:hAnsi="Times New Roman" w:cs="Times New Roman"/>
        </w:rPr>
        <w:t>: 21–33.</w:t>
      </w:r>
    </w:p>
    <w:p w14:paraId="1DC4A1AA" w14:textId="25935295" w:rsidR="00CC684C" w:rsidRPr="00F72408" w:rsidRDefault="00CC684C" w:rsidP="00F72408">
      <w:pPr>
        <w:spacing w:line="480" w:lineRule="auto"/>
        <w:rPr>
          <w:rFonts w:ascii="Times New Roman" w:hAnsi="Times New Roman" w:cs="Times New Roman"/>
        </w:rPr>
      </w:pPr>
      <w:proofErr w:type="spellStart"/>
      <w:r w:rsidRPr="00CC684C">
        <w:rPr>
          <w:rFonts w:ascii="Times New Roman" w:hAnsi="Times New Roman" w:cs="Times New Roman"/>
        </w:rPr>
        <w:t>Veckta</w:t>
      </w:r>
      <w:proofErr w:type="spellEnd"/>
      <w:r w:rsidRPr="00CC684C">
        <w:rPr>
          <w:rFonts w:ascii="Times New Roman" w:hAnsi="Times New Roman" w:cs="Times New Roman"/>
        </w:rPr>
        <w:t xml:space="preserve">. 2025. “How an Aging Grid, AI, and Electrification Are Impacting Energy Rates.” </w:t>
      </w:r>
      <w:proofErr w:type="spellStart"/>
      <w:r w:rsidRPr="00CC684C">
        <w:rPr>
          <w:rFonts w:ascii="Times New Roman" w:hAnsi="Times New Roman" w:cs="Times New Roman"/>
        </w:rPr>
        <w:t>Veckta</w:t>
      </w:r>
      <w:proofErr w:type="spellEnd"/>
      <w:r w:rsidRPr="00CC684C">
        <w:rPr>
          <w:rFonts w:ascii="Times New Roman" w:hAnsi="Times New Roman" w:cs="Times New Roman"/>
        </w:rPr>
        <w:t>.</w:t>
      </w:r>
    </w:p>
    <w:p w14:paraId="1A08D74A" w14:textId="77777777" w:rsidR="00F72408" w:rsidRPr="00F72408" w:rsidRDefault="00F72408" w:rsidP="00F72408">
      <w:pPr>
        <w:spacing w:line="480" w:lineRule="auto"/>
        <w:rPr>
          <w:rFonts w:ascii="Times New Roman" w:hAnsi="Times New Roman" w:cs="Times New Roman"/>
        </w:rPr>
      </w:pPr>
      <w:r w:rsidRPr="00F72408">
        <w:rPr>
          <w:rFonts w:ascii="Times New Roman" w:hAnsi="Times New Roman" w:cs="Times New Roman"/>
        </w:rPr>
        <w:t xml:space="preserve">Woo, C.-K., J. </w:t>
      </w:r>
      <w:proofErr w:type="spellStart"/>
      <w:r w:rsidRPr="00F72408">
        <w:rPr>
          <w:rFonts w:ascii="Times New Roman" w:hAnsi="Times New Roman" w:cs="Times New Roman"/>
        </w:rPr>
        <w:t>Zarnikau</w:t>
      </w:r>
      <w:proofErr w:type="spellEnd"/>
      <w:r w:rsidRPr="00F72408">
        <w:rPr>
          <w:rFonts w:ascii="Times New Roman" w:hAnsi="Times New Roman" w:cs="Times New Roman"/>
        </w:rPr>
        <w:t xml:space="preserve">, M. Olson, Z. Chen, and J. Moore. (2016). “Merit-order Effects of Renewable Energy and Price Divergence in California’s Day-ahead and Real-time Electricity Markets.” </w:t>
      </w:r>
      <w:r w:rsidRPr="00F72408">
        <w:rPr>
          <w:rFonts w:ascii="Times New Roman" w:hAnsi="Times New Roman" w:cs="Times New Roman"/>
          <w:i/>
          <w:iCs/>
        </w:rPr>
        <w:t>Energy Policy</w:t>
      </w:r>
      <w:r w:rsidRPr="00F72408">
        <w:rPr>
          <w:rFonts w:ascii="Times New Roman" w:hAnsi="Times New Roman" w:cs="Times New Roman"/>
        </w:rPr>
        <w:t xml:space="preserve"> </w:t>
      </w:r>
      <w:r w:rsidRPr="00F72408">
        <w:rPr>
          <w:rFonts w:ascii="Times New Roman" w:hAnsi="Times New Roman" w:cs="Times New Roman"/>
          <w:b/>
          <w:bCs/>
        </w:rPr>
        <w:t>92</w:t>
      </w:r>
      <w:r w:rsidRPr="00F72408">
        <w:rPr>
          <w:rFonts w:ascii="Times New Roman" w:hAnsi="Times New Roman" w:cs="Times New Roman"/>
        </w:rPr>
        <w:t>: 299–312.</w:t>
      </w:r>
    </w:p>
    <w:p w14:paraId="60380341" w14:textId="77777777" w:rsidR="00F72408" w:rsidRPr="00F72408" w:rsidRDefault="00F72408" w:rsidP="00F72408">
      <w:pPr>
        <w:spacing w:line="480" w:lineRule="auto"/>
        <w:rPr>
          <w:rFonts w:ascii="Times New Roman" w:hAnsi="Times New Roman" w:cs="Times New Roman"/>
        </w:rPr>
      </w:pPr>
      <w:r w:rsidRPr="00F72408">
        <w:rPr>
          <w:rFonts w:ascii="Times New Roman" w:hAnsi="Times New Roman" w:cs="Times New Roman"/>
        </w:rPr>
        <w:t xml:space="preserve">Woo, C.-K., I. Horowitz, Y. Jin, J. Ho, J. Moore, E. Kollman, L. Xing, and C. Olson. (2023). “Regional Revenues of Solar and Wind Generation in Texas.” </w:t>
      </w:r>
      <w:r w:rsidRPr="00F72408">
        <w:rPr>
          <w:rFonts w:ascii="Times New Roman" w:hAnsi="Times New Roman" w:cs="Times New Roman"/>
          <w:i/>
          <w:iCs/>
        </w:rPr>
        <w:t>Energy Economics</w:t>
      </w:r>
      <w:r w:rsidRPr="00F72408">
        <w:rPr>
          <w:rFonts w:ascii="Times New Roman" w:hAnsi="Times New Roman" w:cs="Times New Roman"/>
        </w:rPr>
        <w:t xml:space="preserve"> </w:t>
      </w:r>
      <w:r w:rsidRPr="00F72408">
        <w:rPr>
          <w:rFonts w:ascii="Times New Roman" w:hAnsi="Times New Roman" w:cs="Times New Roman"/>
          <w:b/>
          <w:bCs/>
        </w:rPr>
        <w:t>121</w:t>
      </w:r>
      <w:r w:rsidRPr="00F72408">
        <w:rPr>
          <w:rFonts w:ascii="Times New Roman" w:hAnsi="Times New Roman" w:cs="Times New Roman"/>
        </w:rPr>
        <w:t>: 107022.</w:t>
      </w:r>
    </w:p>
    <w:p w14:paraId="71B0D867" w14:textId="77777777" w:rsidR="001317B9" w:rsidRPr="001317B9" w:rsidRDefault="001317B9" w:rsidP="001317B9">
      <w:pPr>
        <w:spacing w:line="480" w:lineRule="auto"/>
        <w:rPr>
          <w:rFonts w:ascii="Times New Roman" w:hAnsi="Times New Roman" w:cs="Times New Roman"/>
        </w:rPr>
      </w:pPr>
      <w:r w:rsidRPr="001317B9">
        <w:rPr>
          <w:rFonts w:ascii="Times New Roman" w:hAnsi="Times New Roman" w:cs="Times New Roman"/>
        </w:rPr>
        <w:t>Data sources: SPP Integrated Marketplace; Henry Hub natural gas prices (EIA).</w:t>
      </w:r>
    </w:p>
    <w:p w14:paraId="417BEA15" w14:textId="77777777" w:rsidR="001317B9" w:rsidRDefault="001317B9" w:rsidP="001317B9">
      <w:pPr>
        <w:spacing w:line="480" w:lineRule="auto"/>
      </w:pPr>
    </w:p>
    <w:p w14:paraId="5190A488" w14:textId="77777777" w:rsidR="0098059B" w:rsidRDefault="0098059B" w:rsidP="001317B9">
      <w:pPr>
        <w:spacing w:line="480" w:lineRule="auto"/>
      </w:pPr>
    </w:p>
    <w:p w14:paraId="1330C557" w14:textId="54E5BFFC" w:rsidR="0098059B" w:rsidRDefault="0061078D" w:rsidP="001317B9">
      <w:pPr>
        <w:spacing w:line="480" w:lineRule="auto"/>
        <w:rPr>
          <w:b/>
          <w:bCs/>
        </w:rPr>
      </w:pPr>
      <w:r w:rsidRPr="0061078D">
        <w:rPr>
          <w:b/>
          <w:bCs/>
        </w:rPr>
        <w:lastRenderedPageBreak/>
        <w:t>Required Tables</w:t>
      </w:r>
    </w:p>
    <w:p w14:paraId="377F0D9C" w14:textId="77777777" w:rsidR="00B16E96" w:rsidRDefault="00B16E96" w:rsidP="001317B9">
      <w:pPr>
        <w:spacing w:line="480" w:lineRule="auto"/>
        <w:rPr>
          <w:b/>
          <w:bCs/>
        </w:rPr>
      </w:pPr>
    </w:p>
    <w:p w14:paraId="48A29715" w14:textId="6A3FEF85" w:rsidR="0061078D" w:rsidRDefault="00CA13F3" w:rsidP="001317B9">
      <w:pPr>
        <w:spacing w:line="480" w:lineRule="auto"/>
        <w:rPr>
          <w:b/>
          <w:bCs/>
        </w:rPr>
      </w:pPr>
      <w:r w:rsidRPr="00CA13F3">
        <w:rPr>
          <w:b/>
          <w:bCs/>
          <w:noProof/>
        </w:rPr>
        <w:drawing>
          <wp:inline distT="0" distB="0" distL="0" distR="0" wp14:anchorId="31D4A68C" wp14:editId="7388FB69">
            <wp:extent cx="6405761" cy="2279176"/>
            <wp:effectExtent l="0" t="0" r="0" b="6985"/>
            <wp:docPr id="1646926386" name="Picture 1" descr="A white paper with black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26386" name="Picture 1" descr="A white paper with black numbers and letters&#10;&#10;AI-generated content may be incorrect."/>
                    <pic:cNvPicPr/>
                  </pic:nvPicPr>
                  <pic:blipFill>
                    <a:blip r:embed="rId8"/>
                    <a:stretch>
                      <a:fillRect/>
                    </a:stretch>
                  </pic:blipFill>
                  <pic:spPr>
                    <a:xfrm>
                      <a:off x="0" y="0"/>
                      <a:ext cx="6489136" cy="2308841"/>
                    </a:xfrm>
                    <a:prstGeom prst="rect">
                      <a:avLst/>
                    </a:prstGeom>
                  </pic:spPr>
                </pic:pic>
              </a:graphicData>
            </a:graphic>
          </wp:inline>
        </w:drawing>
      </w:r>
    </w:p>
    <w:p w14:paraId="18235FD6" w14:textId="77777777" w:rsidR="00B16E96" w:rsidRDefault="00B16E96" w:rsidP="001317B9">
      <w:pPr>
        <w:spacing w:line="480" w:lineRule="auto"/>
        <w:rPr>
          <w:b/>
          <w:bCs/>
        </w:rPr>
      </w:pPr>
    </w:p>
    <w:p w14:paraId="7F6430B6" w14:textId="3E88B847" w:rsidR="00B16E96" w:rsidRDefault="0025183F" w:rsidP="001317B9">
      <w:pPr>
        <w:spacing w:line="480" w:lineRule="auto"/>
        <w:rPr>
          <w:b/>
          <w:bCs/>
        </w:rPr>
      </w:pPr>
      <w:r w:rsidRPr="0025183F">
        <w:rPr>
          <w:b/>
          <w:bCs/>
          <w:noProof/>
        </w:rPr>
        <w:drawing>
          <wp:inline distT="0" distB="0" distL="0" distR="0" wp14:anchorId="1E124513" wp14:editId="557122EE">
            <wp:extent cx="5943600" cy="1985826"/>
            <wp:effectExtent l="0" t="0" r="0" b="0"/>
            <wp:docPr id="371778513" name="Picture 1" descr="A white paper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78513" name="Picture 1" descr="A white paper with black text and numbers&#10;&#10;AI-generated content may be incorrect."/>
                    <pic:cNvPicPr/>
                  </pic:nvPicPr>
                  <pic:blipFill>
                    <a:blip r:embed="rId9"/>
                    <a:stretch>
                      <a:fillRect/>
                    </a:stretch>
                  </pic:blipFill>
                  <pic:spPr>
                    <a:xfrm>
                      <a:off x="0" y="0"/>
                      <a:ext cx="5943600" cy="1985826"/>
                    </a:xfrm>
                    <a:prstGeom prst="rect">
                      <a:avLst/>
                    </a:prstGeom>
                  </pic:spPr>
                </pic:pic>
              </a:graphicData>
            </a:graphic>
          </wp:inline>
        </w:drawing>
      </w:r>
    </w:p>
    <w:p w14:paraId="3E3E504C" w14:textId="77777777" w:rsidR="00B16E96" w:rsidRDefault="00B16E96" w:rsidP="001317B9">
      <w:pPr>
        <w:spacing w:line="480" w:lineRule="auto"/>
        <w:rPr>
          <w:b/>
          <w:bCs/>
        </w:rPr>
      </w:pPr>
    </w:p>
    <w:p w14:paraId="19976138" w14:textId="1E0939B0" w:rsidR="00CA13F3" w:rsidRDefault="00CA13F3" w:rsidP="001317B9">
      <w:pPr>
        <w:spacing w:line="480" w:lineRule="auto"/>
        <w:rPr>
          <w:b/>
          <w:bCs/>
        </w:rPr>
      </w:pPr>
    </w:p>
    <w:p w14:paraId="2AC1D145" w14:textId="479D27B4" w:rsidR="00E6510C" w:rsidRDefault="00864700" w:rsidP="001317B9">
      <w:pPr>
        <w:spacing w:line="480" w:lineRule="auto"/>
        <w:rPr>
          <w:b/>
          <w:bCs/>
        </w:rPr>
      </w:pPr>
      <w:r w:rsidRPr="00864700">
        <w:rPr>
          <w:b/>
          <w:bCs/>
          <w:noProof/>
        </w:rPr>
        <w:lastRenderedPageBreak/>
        <w:drawing>
          <wp:inline distT="0" distB="0" distL="0" distR="0" wp14:anchorId="730907BE" wp14:editId="67CBB688">
            <wp:extent cx="5790223" cy="5472752"/>
            <wp:effectExtent l="0" t="0" r="1270" b="0"/>
            <wp:docPr id="1529509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09883" name="Picture 1" descr="A screenshot of a computer&#10;&#10;AI-generated content may be incorrect."/>
                    <pic:cNvPicPr/>
                  </pic:nvPicPr>
                  <pic:blipFill>
                    <a:blip r:embed="rId10"/>
                    <a:stretch>
                      <a:fillRect/>
                    </a:stretch>
                  </pic:blipFill>
                  <pic:spPr>
                    <a:xfrm>
                      <a:off x="0" y="0"/>
                      <a:ext cx="5922160" cy="5597455"/>
                    </a:xfrm>
                    <a:prstGeom prst="rect">
                      <a:avLst/>
                    </a:prstGeom>
                  </pic:spPr>
                </pic:pic>
              </a:graphicData>
            </a:graphic>
          </wp:inline>
        </w:drawing>
      </w:r>
    </w:p>
    <w:p w14:paraId="68127C0E" w14:textId="77777777" w:rsidR="00B16E96" w:rsidRDefault="00B16E96" w:rsidP="001317B9">
      <w:pPr>
        <w:spacing w:line="480" w:lineRule="auto"/>
        <w:rPr>
          <w:b/>
          <w:bCs/>
        </w:rPr>
      </w:pPr>
    </w:p>
    <w:p w14:paraId="09AD63D9" w14:textId="77777777" w:rsidR="00B16E96" w:rsidRDefault="00B16E96" w:rsidP="001317B9">
      <w:pPr>
        <w:spacing w:line="480" w:lineRule="auto"/>
        <w:rPr>
          <w:b/>
          <w:bCs/>
        </w:rPr>
      </w:pPr>
    </w:p>
    <w:p w14:paraId="29B953BE" w14:textId="77777777" w:rsidR="00B16E96" w:rsidRDefault="00B16E96" w:rsidP="001317B9">
      <w:pPr>
        <w:spacing w:line="480" w:lineRule="auto"/>
        <w:rPr>
          <w:b/>
          <w:bCs/>
        </w:rPr>
      </w:pPr>
    </w:p>
    <w:p w14:paraId="0D3F4453" w14:textId="5BDC33BA" w:rsidR="00B16E96" w:rsidRDefault="00B16E96" w:rsidP="001317B9">
      <w:pPr>
        <w:spacing w:line="480" w:lineRule="auto"/>
        <w:rPr>
          <w:b/>
          <w:bCs/>
        </w:rPr>
      </w:pPr>
      <w:r>
        <w:rPr>
          <w:b/>
          <w:bCs/>
        </w:rPr>
        <w:t>Table 4. OLS Regression with Fixed Effects</w:t>
      </w:r>
    </w:p>
    <w:p w14:paraId="2501F07E" w14:textId="33961E2D" w:rsidR="00B16E96" w:rsidRDefault="00B16E96" w:rsidP="001317B9">
      <w:pPr>
        <w:spacing w:line="480" w:lineRule="auto"/>
        <w:rPr>
          <w:b/>
          <w:bCs/>
        </w:rPr>
      </w:pPr>
      <w:r w:rsidRPr="00B16E96">
        <w:rPr>
          <w:b/>
          <w:bCs/>
          <w:noProof/>
        </w:rPr>
        <w:lastRenderedPageBreak/>
        <w:drawing>
          <wp:inline distT="0" distB="0" distL="0" distR="0" wp14:anchorId="21106D41" wp14:editId="0E3C2657">
            <wp:extent cx="3944016" cy="3998794"/>
            <wp:effectExtent l="0" t="0" r="0" b="1905"/>
            <wp:docPr id="1583626765"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26765" name="Picture 1" descr="A white paper with black text&#10;&#10;AI-generated content may be incorrect."/>
                    <pic:cNvPicPr/>
                  </pic:nvPicPr>
                  <pic:blipFill>
                    <a:blip r:embed="rId11"/>
                    <a:stretch>
                      <a:fillRect/>
                    </a:stretch>
                  </pic:blipFill>
                  <pic:spPr>
                    <a:xfrm>
                      <a:off x="0" y="0"/>
                      <a:ext cx="3962826" cy="4017865"/>
                    </a:xfrm>
                    <a:prstGeom prst="rect">
                      <a:avLst/>
                    </a:prstGeom>
                  </pic:spPr>
                </pic:pic>
              </a:graphicData>
            </a:graphic>
          </wp:inline>
        </w:drawing>
      </w:r>
    </w:p>
    <w:p w14:paraId="3183E7AB" w14:textId="77777777" w:rsidR="00FE3908" w:rsidRDefault="00FE3908" w:rsidP="001317B9">
      <w:pPr>
        <w:spacing w:line="480" w:lineRule="auto"/>
        <w:rPr>
          <w:b/>
          <w:bCs/>
        </w:rPr>
      </w:pPr>
    </w:p>
    <w:p w14:paraId="460CA7C4" w14:textId="77777777" w:rsidR="00FE3908" w:rsidRDefault="00FE3908" w:rsidP="001317B9">
      <w:pPr>
        <w:spacing w:line="480" w:lineRule="auto"/>
        <w:rPr>
          <w:b/>
          <w:bCs/>
        </w:rPr>
      </w:pPr>
    </w:p>
    <w:p w14:paraId="30EF6AD2" w14:textId="77777777" w:rsidR="00FE3908" w:rsidRDefault="00FE3908" w:rsidP="001317B9">
      <w:pPr>
        <w:spacing w:line="480" w:lineRule="auto"/>
        <w:rPr>
          <w:b/>
          <w:bCs/>
        </w:rPr>
      </w:pPr>
    </w:p>
    <w:p w14:paraId="4FDEDB51" w14:textId="77777777" w:rsidR="00FE3908" w:rsidRDefault="00FE3908" w:rsidP="001317B9">
      <w:pPr>
        <w:spacing w:line="480" w:lineRule="auto"/>
        <w:rPr>
          <w:b/>
          <w:bCs/>
        </w:rPr>
      </w:pPr>
    </w:p>
    <w:p w14:paraId="4D39492A" w14:textId="77777777" w:rsidR="00FE3908" w:rsidRDefault="00FE3908" w:rsidP="001317B9">
      <w:pPr>
        <w:spacing w:line="480" w:lineRule="auto"/>
        <w:rPr>
          <w:b/>
          <w:bCs/>
        </w:rPr>
      </w:pPr>
    </w:p>
    <w:p w14:paraId="2E847A2F" w14:textId="77777777" w:rsidR="00FE3908" w:rsidRDefault="00FE3908" w:rsidP="001317B9">
      <w:pPr>
        <w:spacing w:line="480" w:lineRule="auto"/>
        <w:rPr>
          <w:b/>
          <w:bCs/>
        </w:rPr>
      </w:pPr>
    </w:p>
    <w:p w14:paraId="3CEA9C9D" w14:textId="77777777" w:rsidR="00FE3908" w:rsidRDefault="00FE3908" w:rsidP="001317B9">
      <w:pPr>
        <w:spacing w:line="480" w:lineRule="auto"/>
        <w:rPr>
          <w:b/>
          <w:bCs/>
        </w:rPr>
      </w:pPr>
    </w:p>
    <w:p w14:paraId="4C1F725F" w14:textId="77777777" w:rsidR="00FE3908" w:rsidRDefault="00FE3908" w:rsidP="001317B9">
      <w:pPr>
        <w:spacing w:line="480" w:lineRule="auto"/>
        <w:rPr>
          <w:b/>
          <w:bCs/>
        </w:rPr>
      </w:pPr>
    </w:p>
    <w:p w14:paraId="4242BCF4" w14:textId="60C596A8" w:rsidR="00FE3908" w:rsidRDefault="00FE3908" w:rsidP="001317B9">
      <w:pPr>
        <w:spacing w:line="480" w:lineRule="auto"/>
        <w:rPr>
          <w:b/>
          <w:bCs/>
        </w:rPr>
      </w:pPr>
      <w:r>
        <w:rPr>
          <w:b/>
          <w:bCs/>
        </w:rPr>
        <w:lastRenderedPageBreak/>
        <w:t>Appendix Table</w:t>
      </w:r>
    </w:p>
    <w:p w14:paraId="6EAE127B" w14:textId="77777777" w:rsidR="00A14C9A" w:rsidRDefault="00A14C9A" w:rsidP="001317B9">
      <w:pPr>
        <w:spacing w:line="480" w:lineRule="auto"/>
        <w:rPr>
          <w:b/>
          <w:bCs/>
        </w:rPr>
      </w:pPr>
    </w:p>
    <w:p w14:paraId="762F01DE" w14:textId="23CFA15D" w:rsidR="00A14C9A" w:rsidRPr="0061078D" w:rsidRDefault="00A14C9A" w:rsidP="001317B9">
      <w:pPr>
        <w:spacing w:line="480" w:lineRule="auto"/>
        <w:rPr>
          <w:b/>
          <w:bCs/>
        </w:rPr>
      </w:pPr>
      <w:r w:rsidRPr="00A14C9A">
        <w:rPr>
          <w:b/>
          <w:bCs/>
          <w:noProof/>
        </w:rPr>
        <w:drawing>
          <wp:inline distT="0" distB="0" distL="0" distR="0" wp14:anchorId="6F6E2654" wp14:editId="40689098">
            <wp:extent cx="6055360" cy="2251880"/>
            <wp:effectExtent l="0" t="0" r="2540" b="0"/>
            <wp:docPr id="126958102" name="Picture 1" descr="A white paper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8102" name="Picture 1" descr="A white paper with black text and numbers&#10;&#10;AI-generated content may be incorrect."/>
                    <pic:cNvPicPr/>
                  </pic:nvPicPr>
                  <pic:blipFill>
                    <a:blip r:embed="rId12"/>
                    <a:stretch>
                      <a:fillRect/>
                    </a:stretch>
                  </pic:blipFill>
                  <pic:spPr>
                    <a:xfrm>
                      <a:off x="0" y="0"/>
                      <a:ext cx="6081378" cy="2261556"/>
                    </a:xfrm>
                    <a:prstGeom prst="rect">
                      <a:avLst/>
                    </a:prstGeom>
                  </pic:spPr>
                </pic:pic>
              </a:graphicData>
            </a:graphic>
          </wp:inline>
        </w:drawing>
      </w:r>
    </w:p>
    <w:sectPr w:rsidR="00A14C9A" w:rsidRPr="006107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7B9"/>
    <w:rsid w:val="000206F3"/>
    <w:rsid w:val="00020A41"/>
    <w:rsid w:val="0003083C"/>
    <w:rsid w:val="00036D5C"/>
    <w:rsid w:val="000408CE"/>
    <w:rsid w:val="000415BD"/>
    <w:rsid w:val="0006092F"/>
    <w:rsid w:val="000A5AF9"/>
    <w:rsid w:val="000A7B0F"/>
    <w:rsid w:val="000C02FB"/>
    <w:rsid w:val="000D34D3"/>
    <w:rsid w:val="000E62F2"/>
    <w:rsid w:val="000F21A7"/>
    <w:rsid w:val="000F63C6"/>
    <w:rsid w:val="00106A06"/>
    <w:rsid w:val="00121DA5"/>
    <w:rsid w:val="00124B88"/>
    <w:rsid w:val="001317B9"/>
    <w:rsid w:val="0014186B"/>
    <w:rsid w:val="00144C83"/>
    <w:rsid w:val="00147E64"/>
    <w:rsid w:val="001511CE"/>
    <w:rsid w:val="00196C2A"/>
    <w:rsid w:val="001A3452"/>
    <w:rsid w:val="001C1389"/>
    <w:rsid w:val="001C3CB6"/>
    <w:rsid w:val="001D482C"/>
    <w:rsid w:val="001E27CC"/>
    <w:rsid w:val="002017EC"/>
    <w:rsid w:val="00216AB4"/>
    <w:rsid w:val="002200CF"/>
    <w:rsid w:val="00221721"/>
    <w:rsid w:val="0025183F"/>
    <w:rsid w:val="002553C2"/>
    <w:rsid w:val="00273147"/>
    <w:rsid w:val="002753EF"/>
    <w:rsid w:val="0027542E"/>
    <w:rsid w:val="002C2B0F"/>
    <w:rsid w:val="002D41E1"/>
    <w:rsid w:val="002F1C68"/>
    <w:rsid w:val="0034342A"/>
    <w:rsid w:val="003530DD"/>
    <w:rsid w:val="00357AA6"/>
    <w:rsid w:val="003729CC"/>
    <w:rsid w:val="003763D0"/>
    <w:rsid w:val="0038474D"/>
    <w:rsid w:val="00390D44"/>
    <w:rsid w:val="00397D80"/>
    <w:rsid w:val="003A6871"/>
    <w:rsid w:val="003C68BB"/>
    <w:rsid w:val="003D3000"/>
    <w:rsid w:val="004026A1"/>
    <w:rsid w:val="00411B10"/>
    <w:rsid w:val="00424321"/>
    <w:rsid w:val="004641A1"/>
    <w:rsid w:val="004935E4"/>
    <w:rsid w:val="004A4C49"/>
    <w:rsid w:val="004C378A"/>
    <w:rsid w:val="004E0594"/>
    <w:rsid w:val="004E4FD4"/>
    <w:rsid w:val="004F2395"/>
    <w:rsid w:val="004F33B1"/>
    <w:rsid w:val="004F5419"/>
    <w:rsid w:val="0050344A"/>
    <w:rsid w:val="00531709"/>
    <w:rsid w:val="005543AB"/>
    <w:rsid w:val="005920A2"/>
    <w:rsid w:val="005924CF"/>
    <w:rsid w:val="005B0560"/>
    <w:rsid w:val="005C44F6"/>
    <w:rsid w:val="005D128D"/>
    <w:rsid w:val="005E54EF"/>
    <w:rsid w:val="005F183F"/>
    <w:rsid w:val="00600303"/>
    <w:rsid w:val="00603861"/>
    <w:rsid w:val="0061078D"/>
    <w:rsid w:val="00625AED"/>
    <w:rsid w:val="0063007A"/>
    <w:rsid w:val="00653567"/>
    <w:rsid w:val="00683331"/>
    <w:rsid w:val="006B62C2"/>
    <w:rsid w:val="006C737B"/>
    <w:rsid w:val="006C7459"/>
    <w:rsid w:val="006D382A"/>
    <w:rsid w:val="006E1157"/>
    <w:rsid w:val="006E6545"/>
    <w:rsid w:val="006F5C94"/>
    <w:rsid w:val="007001D5"/>
    <w:rsid w:val="007035F5"/>
    <w:rsid w:val="00717110"/>
    <w:rsid w:val="00725765"/>
    <w:rsid w:val="007415A2"/>
    <w:rsid w:val="00751130"/>
    <w:rsid w:val="007729EB"/>
    <w:rsid w:val="007874F9"/>
    <w:rsid w:val="0079116A"/>
    <w:rsid w:val="00794351"/>
    <w:rsid w:val="007954D0"/>
    <w:rsid w:val="007C24AF"/>
    <w:rsid w:val="007D2260"/>
    <w:rsid w:val="007E1F80"/>
    <w:rsid w:val="00810567"/>
    <w:rsid w:val="0081786E"/>
    <w:rsid w:val="00826E15"/>
    <w:rsid w:val="00832DC6"/>
    <w:rsid w:val="00845210"/>
    <w:rsid w:val="00850266"/>
    <w:rsid w:val="008551A6"/>
    <w:rsid w:val="00864700"/>
    <w:rsid w:val="00873CC7"/>
    <w:rsid w:val="00880D17"/>
    <w:rsid w:val="008A10BD"/>
    <w:rsid w:val="008B60F6"/>
    <w:rsid w:val="008C2AF4"/>
    <w:rsid w:val="008C3936"/>
    <w:rsid w:val="008D5101"/>
    <w:rsid w:val="008E0104"/>
    <w:rsid w:val="008F055E"/>
    <w:rsid w:val="008F06AD"/>
    <w:rsid w:val="008F65F6"/>
    <w:rsid w:val="00925650"/>
    <w:rsid w:val="009303F7"/>
    <w:rsid w:val="00955001"/>
    <w:rsid w:val="00956C8D"/>
    <w:rsid w:val="00966252"/>
    <w:rsid w:val="00970B65"/>
    <w:rsid w:val="0098059B"/>
    <w:rsid w:val="009C065F"/>
    <w:rsid w:val="009C5259"/>
    <w:rsid w:val="009C71F4"/>
    <w:rsid w:val="009D2CE1"/>
    <w:rsid w:val="009E593E"/>
    <w:rsid w:val="00A0332C"/>
    <w:rsid w:val="00A0629C"/>
    <w:rsid w:val="00A14C9A"/>
    <w:rsid w:val="00A450E6"/>
    <w:rsid w:val="00A6481C"/>
    <w:rsid w:val="00A67EE2"/>
    <w:rsid w:val="00A74499"/>
    <w:rsid w:val="00A75B09"/>
    <w:rsid w:val="00A8134B"/>
    <w:rsid w:val="00A83D5A"/>
    <w:rsid w:val="00A8671B"/>
    <w:rsid w:val="00A87C7D"/>
    <w:rsid w:val="00A9071E"/>
    <w:rsid w:val="00AA7E15"/>
    <w:rsid w:val="00AB2AAF"/>
    <w:rsid w:val="00AB4CE2"/>
    <w:rsid w:val="00AB69C8"/>
    <w:rsid w:val="00AB74AA"/>
    <w:rsid w:val="00AC4F6F"/>
    <w:rsid w:val="00AD19AB"/>
    <w:rsid w:val="00AD3298"/>
    <w:rsid w:val="00AD56F2"/>
    <w:rsid w:val="00AF1347"/>
    <w:rsid w:val="00AF7E3B"/>
    <w:rsid w:val="00B035DA"/>
    <w:rsid w:val="00B12305"/>
    <w:rsid w:val="00B16E96"/>
    <w:rsid w:val="00B175D6"/>
    <w:rsid w:val="00B205F1"/>
    <w:rsid w:val="00B21B90"/>
    <w:rsid w:val="00B25C50"/>
    <w:rsid w:val="00B30BF2"/>
    <w:rsid w:val="00B36F78"/>
    <w:rsid w:val="00B47BAF"/>
    <w:rsid w:val="00B63089"/>
    <w:rsid w:val="00B87B6C"/>
    <w:rsid w:val="00BB21D3"/>
    <w:rsid w:val="00BB7206"/>
    <w:rsid w:val="00BC09A8"/>
    <w:rsid w:val="00BC1312"/>
    <w:rsid w:val="00BD0B26"/>
    <w:rsid w:val="00C0630F"/>
    <w:rsid w:val="00C17347"/>
    <w:rsid w:val="00C21768"/>
    <w:rsid w:val="00C27213"/>
    <w:rsid w:val="00C31A4A"/>
    <w:rsid w:val="00C34195"/>
    <w:rsid w:val="00C41530"/>
    <w:rsid w:val="00C461FC"/>
    <w:rsid w:val="00C574BB"/>
    <w:rsid w:val="00C623FB"/>
    <w:rsid w:val="00C66452"/>
    <w:rsid w:val="00C70A6A"/>
    <w:rsid w:val="00C70DDC"/>
    <w:rsid w:val="00C77AC9"/>
    <w:rsid w:val="00CA13F3"/>
    <w:rsid w:val="00CA1782"/>
    <w:rsid w:val="00CA17D4"/>
    <w:rsid w:val="00CA2A51"/>
    <w:rsid w:val="00CB37E4"/>
    <w:rsid w:val="00CC684C"/>
    <w:rsid w:val="00CD082B"/>
    <w:rsid w:val="00CF206C"/>
    <w:rsid w:val="00D10273"/>
    <w:rsid w:val="00D109A1"/>
    <w:rsid w:val="00D36FC2"/>
    <w:rsid w:val="00D4096B"/>
    <w:rsid w:val="00D61BD7"/>
    <w:rsid w:val="00D64751"/>
    <w:rsid w:val="00D72BF6"/>
    <w:rsid w:val="00D876C0"/>
    <w:rsid w:val="00DA6F6B"/>
    <w:rsid w:val="00DB0354"/>
    <w:rsid w:val="00DE0A3F"/>
    <w:rsid w:val="00DE4CAE"/>
    <w:rsid w:val="00DF092D"/>
    <w:rsid w:val="00DF3FE0"/>
    <w:rsid w:val="00E42F95"/>
    <w:rsid w:val="00E51631"/>
    <w:rsid w:val="00E6510C"/>
    <w:rsid w:val="00E81807"/>
    <w:rsid w:val="00E95DCE"/>
    <w:rsid w:val="00E96469"/>
    <w:rsid w:val="00EA0AFC"/>
    <w:rsid w:val="00EA3B3B"/>
    <w:rsid w:val="00EC770F"/>
    <w:rsid w:val="00F02C19"/>
    <w:rsid w:val="00F250CB"/>
    <w:rsid w:val="00F2696E"/>
    <w:rsid w:val="00F33AF9"/>
    <w:rsid w:val="00F43B07"/>
    <w:rsid w:val="00F51AA4"/>
    <w:rsid w:val="00F71B30"/>
    <w:rsid w:val="00F72408"/>
    <w:rsid w:val="00F76C1D"/>
    <w:rsid w:val="00F8116D"/>
    <w:rsid w:val="00F84F30"/>
    <w:rsid w:val="00F851BD"/>
    <w:rsid w:val="00F90555"/>
    <w:rsid w:val="00F9692F"/>
    <w:rsid w:val="00FA2B8E"/>
    <w:rsid w:val="00FA720C"/>
    <w:rsid w:val="00FC583E"/>
    <w:rsid w:val="00FE2313"/>
    <w:rsid w:val="00FE3908"/>
    <w:rsid w:val="00FE5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29A73"/>
  <w15:chartTrackingRefBased/>
  <w15:docId w15:val="{933F0830-9A68-4C8A-A24F-88ED12233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7B9"/>
    <w:rPr>
      <w:rFonts w:eastAsiaTheme="majorEastAsia" w:cstheme="majorBidi"/>
      <w:color w:val="272727" w:themeColor="text1" w:themeTint="D8"/>
    </w:rPr>
  </w:style>
  <w:style w:type="paragraph" w:styleId="Title">
    <w:name w:val="Title"/>
    <w:basedOn w:val="Normal"/>
    <w:next w:val="Normal"/>
    <w:link w:val="TitleChar"/>
    <w:uiPriority w:val="10"/>
    <w:qFormat/>
    <w:rsid w:val="00131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7B9"/>
    <w:pPr>
      <w:spacing w:before="160"/>
      <w:jc w:val="center"/>
    </w:pPr>
    <w:rPr>
      <w:i/>
      <w:iCs/>
      <w:color w:val="404040" w:themeColor="text1" w:themeTint="BF"/>
    </w:rPr>
  </w:style>
  <w:style w:type="character" w:customStyle="1" w:styleId="QuoteChar">
    <w:name w:val="Quote Char"/>
    <w:basedOn w:val="DefaultParagraphFont"/>
    <w:link w:val="Quote"/>
    <w:uiPriority w:val="29"/>
    <w:rsid w:val="001317B9"/>
    <w:rPr>
      <w:i/>
      <w:iCs/>
      <w:color w:val="404040" w:themeColor="text1" w:themeTint="BF"/>
    </w:rPr>
  </w:style>
  <w:style w:type="paragraph" w:styleId="ListParagraph">
    <w:name w:val="List Paragraph"/>
    <w:basedOn w:val="Normal"/>
    <w:uiPriority w:val="34"/>
    <w:qFormat/>
    <w:rsid w:val="001317B9"/>
    <w:pPr>
      <w:ind w:left="720"/>
      <w:contextualSpacing/>
    </w:pPr>
  </w:style>
  <w:style w:type="character" w:styleId="IntenseEmphasis">
    <w:name w:val="Intense Emphasis"/>
    <w:basedOn w:val="DefaultParagraphFont"/>
    <w:uiPriority w:val="21"/>
    <w:qFormat/>
    <w:rsid w:val="001317B9"/>
    <w:rPr>
      <w:i/>
      <w:iCs/>
      <w:color w:val="0F4761" w:themeColor="accent1" w:themeShade="BF"/>
    </w:rPr>
  </w:style>
  <w:style w:type="paragraph" w:styleId="IntenseQuote">
    <w:name w:val="Intense Quote"/>
    <w:basedOn w:val="Normal"/>
    <w:next w:val="Normal"/>
    <w:link w:val="IntenseQuoteChar"/>
    <w:uiPriority w:val="30"/>
    <w:qFormat/>
    <w:rsid w:val="00131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7B9"/>
    <w:rPr>
      <w:i/>
      <w:iCs/>
      <w:color w:val="0F4761" w:themeColor="accent1" w:themeShade="BF"/>
    </w:rPr>
  </w:style>
  <w:style w:type="character" w:styleId="IntenseReference">
    <w:name w:val="Intense Reference"/>
    <w:basedOn w:val="DefaultParagraphFont"/>
    <w:uiPriority w:val="32"/>
    <w:qFormat/>
    <w:rsid w:val="001317B9"/>
    <w:rPr>
      <w:b/>
      <w:bCs/>
      <w:smallCaps/>
      <w:color w:val="0F4761" w:themeColor="accent1" w:themeShade="BF"/>
      <w:spacing w:val="5"/>
    </w:rPr>
  </w:style>
  <w:style w:type="character" w:styleId="PlaceholderText">
    <w:name w:val="Placeholder Text"/>
    <w:basedOn w:val="DefaultParagraphFont"/>
    <w:uiPriority w:val="99"/>
    <w:semiHidden/>
    <w:rsid w:val="00AB69C8"/>
    <w:rPr>
      <w:color w:val="666666"/>
    </w:rPr>
  </w:style>
  <w:style w:type="table" w:styleId="TableGrid">
    <w:name w:val="Table Grid"/>
    <w:basedOn w:val="TableNormal"/>
    <w:uiPriority w:val="39"/>
    <w:rsid w:val="00DE4C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17EC"/>
    <w:rPr>
      <w:color w:val="467886" w:themeColor="hyperlink"/>
      <w:u w:val="single"/>
    </w:rPr>
  </w:style>
  <w:style w:type="character" w:styleId="UnresolvedMention">
    <w:name w:val="Unresolved Mention"/>
    <w:basedOn w:val="DefaultParagraphFont"/>
    <w:uiPriority w:val="99"/>
    <w:semiHidden/>
    <w:unhideWhenUsed/>
    <w:rsid w:val="002017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eia.gov/dnav/ng/hist/rngwhhdD.htm" TargetMode="External"/><Relationship Id="rId12" Type="http://schemas.openxmlformats.org/officeDocument/2006/relationships/image" Target="media/image5.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ia.gov/electricity/gridmonitor/dashboard/custom/pending" TargetMode="External"/><Relationship Id="rId11" Type="http://schemas.openxmlformats.org/officeDocument/2006/relationships/image" Target="media/image4.png"/><Relationship Id="rId5" Type="http://schemas.openxmlformats.org/officeDocument/2006/relationships/hyperlink" Target="https://www.eia.gov/electricity/gridmonitor/dashboard/custom/pending" TargetMode="External"/><Relationship Id="rId10" Type="http://schemas.openxmlformats.org/officeDocument/2006/relationships/image" Target="media/image3.png"/><Relationship Id="rId4" Type="http://schemas.openxmlformats.org/officeDocument/2006/relationships/hyperlink" Target="https://portal.spp.org/pages/da-lmp-by-location" TargetMode="Externa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403</TotalTime>
  <Pages>26</Pages>
  <Words>5297</Words>
  <Characters>30193</Characters>
  <Application>Microsoft Office Word</Application>
  <DocSecurity>0</DocSecurity>
  <Lines>251</Lines>
  <Paragraphs>70</Paragraphs>
  <ScaleCrop>false</ScaleCrop>
  <Company/>
  <LinksUpToDate>false</LinksUpToDate>
  <CharactersWithSpaces>35420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Nutt</dc:creator>
  <cp:keywords/>
  <dc:description/>
  <cp:lastModifiedBy>Adam Nutt</cp:lastModifiedBy>
  <cp:revision>123</cp:revision>
  <dcterms:created xsi:type="dcterms:W3CDTF">2025-12-07T21:47:00Z</dcterms:created>
  <dcterms:modified xsi:type="dcterms:W3CDTF">2025-12-09T03:23:00Z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8e5d7e6b-48d6-4ac8-aaed-6684975c8f20</vt:lpwstr>
  </property>
</Properties>
</file>