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13D6" w14:textId="3E6B5630" w:rsidR="00EB5F43" w:rsidRDefault="00FB20B7" w:rsidP="00FB20B7">
      <w:pPr>
        <w:spacing w:after="214"/>
        <w:ind w:left="0" w:firstLine="0"/>
        <w:rPr>
          <w:b/>
        </w:rPr>
      </w:pPr>
      <w:r>
        <w:rPr>
          <w:b/>
        </w:rPr>
        <w:t>Adam Nutt</w:t>
      </w:r>
    </w:p>
    <w:p w14:paraId="36D64CA6" w14:textId="03CF187C" w:rsidR="00FB20B7" w:rsidRDefault="00400EE7" w:rsidP="00FB20B7">
      <w:pPr>
        <w:spacing w:after="214"/>
        <w:ind w:left="0" w:firstLine="0"/>
        <w:rPr>
          <w:b/>
        </w:rPr>
      </w:pPr>
      <w:r>
        <w:rPr>
          <w:b/>
        </w:rPr>
        <w:t>MBA 520</w:t>
      </w:r>
    </w:p>
    <w:p w14:paraId="3AEAF3A3" w14:textId="428E1724" w:rsidR="00400EE7" w:rsidRDefault="00400EE7" w:rsidP="00FB20B7">
      <w:pPr>
        <w:spacing w:after="214"/>
        <w:ind w:left="0" w:firstLine="0"/>
        <w:rPr>
          <w:b/>
        </w:rPr>
      </w:pPr>
      <w:r>
        <w:rPr>
          <w:b/>
        </w:rPr>
        <w:t>Financial Analysis Case 4</w:t>
      </w:r>
    </w:p>
    <w:p w14:paraId="601A9F9C" w14:textId="786A1436" w:rsidR="00400EE7" w:rsidRDefault="00400EE7" w:rsidP="00FB20B7">
      <w:pPr>
        <w:spacing w:after="214"/>
        <w:ind w:left="0" w:firstLine="0"/>
        <w:rPr>
          <w:b/>
        </w:rPr>
      </w:pPr>
    </w:p>
    <w:p w14:paraId="18965514" w14:textId="77777777" w:rsidR="00400EE7" w:rsidRDefault="00400EE7" w:rsidP="00FB20B7">
      <w:pPr>
        <w:spacing w:after="214"/>
        <w:ind w:left="0" w:firstLine="0"/>
      </w:pPr>
    </w:p>
    <w:p w14:paraId="10E9DB80" w14:textId="77777777" w:rsidR="00EB5F43" w:rsidRDefault="002B591A">
      <w:pPr>
        <w:pStyle w:val="Heading1"/>
        <w:ind w:left="-5"/>
      </w:pPr>
      <w:r>
        <w:t xml:space="preserve">Investment Decision </w:t>
      </w:r>
    </w:p>
    <w:p w14:paraId="76968068" w14:textId="74EC9C8E" w:rsidR="00EB5F43" w:rsidRDefault="00EB5F43" w:rsidP="001B13FC">
      <w:pPr>
        <w:spacing w:after="201"/>
        <w:ind w:left="0" w:firstLine="0"/>
      </w:pPr>
    </w:p>
    <w:p w14:paraId="632ED167" w14:textId="1433149F" w:rsidR="005D0844" w:rsidRDefault="00D93B1E" w:rsidP="009D6601">
      <w:pPr>
        <w:spacing w:after="201" w:line="480" w:lineRule="auto"/>
        <w:ind w:left="-5"/>
      </w:pPr>
      <w:r>
        <w:t xml:space="preserve">When evaluating these companies, it is clear to me that the better investment between them is with Target. </w:t>
      </w:r>
      <w:r w:rsidR="00A556D1">
        <w:t xml:space="preserve">The financial performance of Target, specifically </w:t>
      </w:r>
      <w:r w:rsidR="00981C6C">
        <w:t xml:space="preserve">return on assets and equity and inventory turnover coupled with their distribution channels </w:t>
      </w:r>
      <w:r w:rsidR="001B4CF0">
        <w:t xml:space="preserve">suggests not just stability, but a strong return on investment. </w:t>
      </w:r>
      <w:r w:rsidR="0012034A">
        <w:t xml:space="preserve">Target's growth pre-pandemic gives me a lot of confidence </w:t>
      </w:r>
      <w:r w:rsidR="00443C2B">
        <w:t xml:space="preserve">as they have had consistent growth that has been accelerated during the pandemic </w:t>
      </w:r>
      <w:r w:rsidR="00066619">
        <w:t xml:space="preserve">despite supply chain issues. </w:t>
      </w:r>
      <w:r w:rsidR="00A374AA">
        <w:t xml:space="preserve">Their expansive in-house brands offers quality alternatives to name brands at </w:t>
      </w:r>
      <w:r w:rsidR="00A616E0">
        <w:t xml:space="preserve">affordable prices that gives consumers </w:t>
      </w:r>
      <w:r w:rsidR="004B4769">
        <w:t xml:space="preserve">options while dealing with inflationary </w:t>
      </w:r>
      <w:r w:rsidR="008E1DDB">
        <w:t xml:space="preserve">conditions. As the supply chain returns to form, I see Target learning lessons on improving their e-commerce market to adapt to consumer needs which </w:t>
      </w:r>
      <w:r w:rsidR="00114139">
        <w:t xml:space="preserve">lends itself to opportunities like expanding operations abroad. </w:t>
      </w:r>
      <w:r w:rsidR="008F5C60">
        <w:t xml:space="preserve">Target providing dividends </w:t>
      </w:r>
      <w:r w:rsidR="00071E4A">
        <w:t xml:space="preserve">is not only another sign of stability within the company, it is a smart option to allow you to passively </w:t>
      </w:r>
      <w:r w:rsidR="00C4643A">
        <w:t xml:space="preserve">earn income on your investment. </w:t>
      </w:r>
    </w:p>
    <w:p w14:paraId="06C91DDB" w14:textId="77777777" w:rsidR="00EB5F43" w:rsidRDefault="002B591A">
      <w:pPr>
        <w:spacing w:after="19" w:line="259" w:lineRule="auto"/>
        <w:ind w:left="0" w:firstLine="0"/>
      </w:pPr>
      <w:r>
        <w:t xml:space="preserve"> </w:t>
      </w:r>
    </w:p>
    <w:p w14:paraId="5A486EF6" w14:textId="65312C59" w:rsidR="00EB5F43" w:rsidRDefault="002B591A" w:rsidP="000842F9">
      <w:pPr>
        <w:pStyle w:val="Heading1"/>
        <w:ind w:left="-5"/>
      </w:pPr>
      <w:r>
        <w:t xml:space="preserve">Ratio Comparison Table  </w:t>
      </w:r>
    </w:p>
    <w:p w14:paraId="726E954D" w14:textId="77777777" w:rsidR="00282159" w:rsidRDefault="00282159">
      <w:pPr>
        <w:ind w:left="-5"/>
      </w:pPr>
    </w:p>
    <w:tbl>
      <w:tblPr>
        <w:tblStyle w:val="TableGrid"/>
        <w:tblW w:w="9350" w:type="dxa"/>
        <w:tblInd w:w="5" w:type="dxa"/>
        <w:tblCellMar>
          <w:left w:w="106" w:type="dxa"/>
          <w:right w:w="109" w:type="dxa"/>
        </w:tblCellMar>
        <w:tblLook w:val="04A0" w:firstRow="1" w:lastRow="0" w:firstColumn="1" w:lastColumn="0" w:noHBand="0" w:noVBand="1"/>
      </w:tblPr>
      <w:tblGrid>
        <w:gridCol w:w="2683"/>
        <w:gridCol w:w="2575"/>
        <w:gridCol w:w="2136"/>
        <w:gridCol w:w="1956"/>
      </w:tblGrid>
      <w:tr w:rsidR="00EB5F43" w:rsidRPr="003347A0" w14:paraId="1982EED3" w14:textId="77777777">
        <w:trPr>
          <w:trHeight w:val="845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BAEB" w14:textId="39B88B99" w:rsidR="00EB5F43" w:rsidRPr="003347A0" w:rsidRDefault="002B591A">
            <w:pPr>
              <w:spacing w:after="27" w:line="259" w:lineRule="auto"/>
              <w:ind w:left="2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>Date of Ratio</w:t>
            </w:r>
            <w:r w:rsidR="004727A1" w:rsidRPr="003347A0">
              <w:rPr>
                <w:b/>
                <w:bCs/>
              </w:rPr>
              <w:t xml:space="preserve">: </w:t>
            </w:r>
            <w:r w:rsidR="003D59B8" w:rsidRPr="003347A0">
              <w:rPr>
                <w:b/>
                <w:bCs/>
              </w:rPr>
              <w:t>1/30/2021</w:t>
            </w:r>
          </w:p>
          <w:p w14:paraId="4D70A442" w14:textId="44290B39" w:rsidR="00EB5F43" w:rsidRPr="003347A0" w:rsidRDefault="002B591A" w:rsidP="00367D41">
            <w:pPr>
              <w:spacing w:after="0" w:line="259" w:lineRule="auto"/>
              <w:jc w:val="both"/>
              <w:rPr>
                <w:b/>
                <w:bCs/>
              </w:rPr>
            </w:pPr>
            <w:r w:rsidRPr="003347A0">
              <w:rPr>
                <w:b/>
                <w:bCs/>
              </w:rPr>
              <w:t xml:space="preserve">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5E7A" w14:textId="48DE0150" w:rsidR="00EB5F43" w:rsidRPr="003347A0" w:rsidRDefault="0061758A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>Target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5ABE" w14:textId="36CD8415" w:rsidR="00EB5F43" w:rsidRPr="003347A0" w:rsidRDefault="0061758A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 xml:space="preserve">Dollar </w:t>
            </w:r>
            <w:r w:rsidR="004727A1" w:rsidRPr="003347A0">
              <w:rPr>
                <w:b/>
                <w:bCs/>
              </w:rPr>
              <w:t>Tree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FE92" w14:textId="79D8FF77" w:rsidR="00EB5F43" w:rsidRPr="003347A0" w:rsidRDefault="004727A1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>Department Stores</w:t>
            </w:r>
          </w:p>
        </w:tc>
      </w:tr>
      <w:tr w:rsidR="00EB5F43" w14:paraId="41F204DA" w14:textId="77777777">
        <w:trPr>
          <w:trHeight w:val="528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C894" w14:textId="3387D46E" w:rsidR="00EB5F43" w:rsidRPr="003347A0" w:rsidRDefault="00953BB7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>Return on Assets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AAE2" w14:textId="559EF0A6" w:rsidR="00F744F1" w:rsidRDefault="002B591A" w:rsidP="00A9003A">
            <w:pPr>
              <w:spacing w:after="0" w:line="259" w:lineRule="auto"/>
              <w:ind w:left="2" w:firstLine="0"/>
            </w:pPr>
            <w:r>
              <w:t xml:space="preserve"> </w:t>
            </w:r>
            <w:r w:rsidR="003F7F31">
              <w:t>9.29%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0138" w14:textId="77777777" w:rsidR="00EB5F43" w:rsidRDefault="002B591A">
            <w:pPr>
              <w:spacing w:after="0" w:line="259" w:lineRule="auto"/>
              <w:ind w:left="2" w:firstLine="0"/>
            </w:pPr>
            <w:r>
              <w:t xml:space="preserve"> </w:t>
            </w:r>
            <w:r w:rsidR="00E725FA">
              <w:t>6.66%</w:t>
            </w:r>
          </w:p>
          <w:p w14:paraId="59078720" w14:textId="25D2F4D3" w:rsidR="0054325B" w:rsidRDefault="0054325B">
            <w:pPr>
              <w:spacing w:after="0" w:line="259" w:lineRule="auto"/>
              <w:ind w:left="2" w:firstLine="0"/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CD77" w14:textId="77777777" w:rsidR="00EB5F43" w:rsidRDefault="002B591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B5F43" w14:paraId="10BBD989" w14:textId="77777777">
        <w:trPr>
          <w:trHeight w:val="528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08FE" w14:textId="5BC049B1" w:rsidR="00EB5F43" w:rsidRPr="003347A0" w:rsidRDefault="00367D41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lastRenderedPageBreak/>
              <w:t xml:space="preserve">Return on Equity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E465" w14:textId="73447F42" w:rsidR="00EB5F43" w:rsidRDefault="002B591A">
            <w:pPr>
              <w:spacing w:after="0" w:line="259" w:lineRule="auto"/>
              <w:ind w:left="2" w:firstLine="0"/>
            </w:pPr>
            <w:r>
              <w:t xml:space="preserve"> </w:t>
            </w:r>
            <w:r w:rsidR="0054325B">
              <w:t>33.25%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D4BB" w14:textId="5F49BAFB" w:rsidR="00EB5F43" w:rsidRDefault="002B591A">
            <w:pPr>
              <w:spacing w:after="0" w:line="259" w:lineRule="auto"/>
              <w:ind w:left="2" w:firstLine="0"/>
            </w:pPr>
            <w:r>
              <w:t xml:space="preserve"> </w:t>
            </w:r>
            <w:r w:rsidR="00E725FA">
              <w:t>19.82%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BBD5" w14:textId="77777777" w:rsidR="00EB5F43" w:rsidRDefault="002B591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B5F43" w14:paraId="4719EBA0" w14:textId="77777777">
        <w:trPr>
          <w:trHeight w:val="526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19B0" w14:textId="0698781F" w:rsidR="00EB5F43" w:rsidRPr="003347A0" w:rsidRDefault="00DF39BF" w:rsidP="0061758A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 xml:space="preserve">Inventory </w:t>
            </w:r>
            <w:r w:rsidR="00244DDE" w:rsidRPr="003347A0">
              <w:rPr>
                <w:b/>
                <w:bCs/>
              </w:rPr>
              <w:t xml:space="preserve">Turnover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4244" w14:textId="0EB235FD" w:rsidR="00EB5F43" w:rsidRDefault="003F7F31">
            <w:pPr>
              <w:spacing w:after="0" w:line="259" w:lineRule="auto"/>
              <w:ind w:left="2" w:firstLine="0"/>
            </w:pPr>
            <w:r>
              <w:t>6.74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EF90" w14:textId="4669150F" w:rsidR="00EB5F43" w:rsidRDefault="002B591A">
            <w:pPr>
              <w:spacing w:after="0" w:line="259" w:lineRule="auto"/>
              <w:ind w:left="2" w:firstLine="0"/>
            </w:pPr>
            <w:r>
              <w:t xml:space="preserve"> </w:t>
            </w:r>
            <w:r w:rsidR="00E725FA">
              <w:t>5.10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3E62" w14:textId="77777777" w:rsidR="00EB5F43" w:rsidRDefault="002B591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B5F43" w14:paraId="54B04F6A" w14:textId="77777777">
        <w:trPr>
          <w:trHeight w:val="528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318A" w14:textId="68CB4389" w:rsidR="00EB5F43" w:rsidRPr="003347A0" w:rsidRDefault="0046081C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>Current Ratio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61DC" w14:textId="074197C2" w:rsidR="00EB5F43" w:rsidRDefault="007B7BD9">
            <w:pPr>
              <w:spacing w:after="0" w:line="259" w:lineRule="auto"/>
              <w:ind w:left="2" w:firstLine="0"/>
            </w:pPr>
            <w:r>
              <w:t>1.03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0FE2" w14:textId="200BD589" w:rsidR="00EB5F43" w:rsidRDefault="002B591A">
            <w:pPr>
              <w:spacing w:after="0" w:line="259" w:lineRule="auto"/>
              <w:ind w:left="2" w:firstLine="0"/>
            </w:pPr>
            <w:r>
              <w:t xml:space="preserve"> </w:t>
            </w:r>
            <w:r w:rsidR="00E725FA">
              <w:t>1.35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3E93" w14:textId="77777777" w:rsidR="00EB5F43" w:rsidRDefault="002B591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B5F43" w14:paraId="4B99F528" w14:textId="77777777">
        <w:trPr>
          <w:trHeight w:val="528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7053" w14:textId="23304301" w:rsidR="00EB5F43" w:rsidRPr="003347A0" w:rsidRDefault="00BB0DD8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 xml:space="preserve">Net Profit </w:t>
            </w:r>
            <w:r w:rsidR="0061758A" w:rsidRPr="003347A0">
              <w:rPr>
                <w:b/>
                <w:bCs/>
              </w:rPr>
              <w:t xml:space="preserve">Margin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D952" w14:textId="4D82EAE4" w:rsidR="00EB5F43" w:rsidRDefault="002B591A">
            <w:pPr>
              <w:spacing w:after="0" w:line="259" w:lineRule="auto"/>
              <w:ind w:left="2" w:firstLine="0"/>
            </w:pPr>
            <w:r>
              <w:t xml:space="preserve"> </w:t>
            </w:r>
            <w:r w:rsidR="003F7F31">
              <w:t>4.67</w:t>
            </w:r>
            <w:r w:rsidR="00A9003A">
              <w:t>%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0F55" w14:textId="76B1E903" w:rsidR="00EB5F43" w:rsidRDefault="002B591A">
            <w:pPr>
              <w:spacing w:after="0" w:line="259" w:lineRule="auto"/>
              <w:ind w:left="2" w:firstLine="0"/>
            </w:pPr>
            <w:r>
              <w:t xml:space="preserve"> </w:t>
            </w:r>
            <w:r w:rsidR="007B7BD9">
              <w:t>5.26%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02F9" w14:textId="77777777" w:rsidR="00EB5F43" w:rsidRDefault="002B591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C5ECC2E" w14:textId="77777777" w:rsidR="00EB5F43" w:rsidRDefault="002B591A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2B408EDC" w14:textId="429F22E8" w:rsidR="00EB5F43" w:rsidRPr="00CA3A96" w:rsidRDefault="002B591A" w:rsidP="00336E85">
      <w:pPr>
        <w:pStyle w:val="Heading1"/>
        <w:ind w:left="-5"/>
      </w:pPr>
      <w:r w:rsidRPr="00CA3A96">
        <w:t xml:space="preserve">Ratio Explanation </w:t>
      </w:r>
    </w:p>
    <w:p w14:paraId="6E0AFDBD" w14:textId="77777777" w:rsidR="00336E85" w:rsidRPr="00336E85" w:rsidRDefault="00336E85" w:rsidP="00336E85">
      <w:pPr>
        <w:rPr>
          <w:lang w:bidi="ar-SA"/>
        </w:rPr>
      </w:pPr>
    </w:p>
    <w:p w14:paraId="666110BA" w14:textId="2A9B59D3" w:rsidR="00E906A8" w:rsidRPr="00CA21ED" w:rsidRDefault="00AA3901" w:rsidP="0075733F">
      <w:pPr>
        <w:spacing w:after="215" w:line="480" w:lineRule="auto"/>
        <w:ind w:left="-5"/>
        <w:rPr>
          <w:bCs/>
        </w:rPr>
      </w:pPr>
      <w:r w:rsidRPr="00CA21ED">
        <w:rPr>
          <w:bCs/>
        </w:rPr>
        <w:t>The return on assets</w:t>
      </w:r>
      <w:r w:rsidR="005F3227" w:rsidRPr="00CA21ED">
        <w:rPr>
          <w:bCs/>
        </w:rPr>
        <w:t xml:space="preserve"> and return on equity ratios are profitability </w:t>
      </w:r>
      <w:r w:rsidR="007C1275" w:rsidRPr="00CA21ED">
        <w:rPr>
          <w:bCs/>
        </w:rPr>
        <w:t xml:space="preserve">ratios that </w:t>
      </w:r>
      <w:r w:rsidR="001A5FC1" w:rsidRPr="00CA21ED">
        <w:rPr>
          <w:bCs/>
        </w:rPr>
        <w:t xml:space="preserve">gives insight into </w:t>
      </w:r>
      <w:r w:rsidR="00B44880" w:rsidRPr="00CA21ED">
        <w:rPr>
          <w:bCs/>
        </w:rPr>
        <w:t xml:space="preserve">how </w:t>
      </w:r>
      <w:r w:rsidR="003303EF" w:rsidRPr="00CA21ED">
        <w:rPr>
          <w:bCs/>
        </w:rPr>
        <w:t xml:space="preserve">much profit a company is able to generate from their assets and from shareholders equity. For ROA, </w:t>
      </w:r>
      <w:r w:rsidR="00F0295A" w:rsidRPr="00CA21ED">
        <w:rPr>
          <w:bCs/>
        </w:rPr>
        <w:t xml:space="preserve">a ratio above 5% is considered good. For ROE, a ratio between </w:t>
      </w:r>
      <w:r w:rsidR="00194D5A" w:rsidRPr="00CA21ED">
        <w:rPr>
          <w:bCs/>
        </w:rPr>
        <w:t>15-20% is considered good.</w:t>
      </w:r>
      <w:r w:rsidR="00EC7AD0" w:rsidRPr="00CA21ED">
        <w:rPr>
          <w:bCs/>
        </w:rPr>
        <w:t xml:space="preserve"> Inventory turnover </w:t>
      </w:r>
      <w:r w:rsidR="00325F31" w:rsidRPr="00CA21ED">
        <w:rPr>
          <w:bCs/>
        </w:rPr>
        <w:t xml:space="preserve">is a ratio that </w:t>
      </w:r>
      <w:r w:rsidR="003650BC" w:rsidRPr="00CA21ED">
        <w:rPr>
          <w:bCs/>
        </w:rPr>
        <w:t xml:space="preserve">indicates the rate in which a company </w:t>
      </w:r>
      <w:r w:rsidR="005A4093" w:rsidRPr="00CA21ED">
        <w:rPr>
          <w:bCs/>
        </w:rPr>
        <w:t xml:space="preserve">sells through their stock of goods. A ratio between 5-10 is considered good. </w:t>
      </w:r>
      <w:r w:rsidR="001A374F" w:rsidRPr="00CA21ED">
        <w:rPr>
          <w:bCs/>
        </w:rPr>
        <w:t xml:space="preserve">Current ratio </w:t>
      </w:r>
      <w:r w:rsidR="00097109" w:rsidRPr="00CA21ED">
        <w:rPr>
          <w:bCs/>
        </w:rPr>
        <w:t xml:space="preserve">measures the liquidity of a company and their ability to meet their short-term obligations. </w:t>
      </w:r>
      <w:r w:rsidR="00EF3B17" w:rsidRPr="00CA21ED">
        <w:rPr>
          <w:bCs/>
        </w:rPr>
        <w:t>A ratio between 1.5-3 is considered good.</w:t>
      </w:r>
      <w:r w:rsidR="00406EAC" w:rsidRPr="00CA21ED">
        <w:rPr>
          <w:bCs/>
        </w:rPr>
        <w:t xml:space="preserve"> Net profit margin </w:t>
      </w:r>
      <w:r w:rsidR="00AC2ADA" w:rsidRPr="00CA21ED">
        <w:rPr>
          <w:bCs/>
        </w:rPr>
        <w:t xml:space="preserve">measures a company's profitability </w:t>
      </w:r>
      <w:r w:rsidR="00101265" w:rsidRPr="00CA21ED">
        <w:rPr>
          <w:bCs/>
        </w:rPr>
        <w:t xml:space="preserve">as a percentage of revenue. </w:t>
      </w:r>
      <w:r w:rsidR="008A476A" w:rsidRPr="00CA21ED">
        <w:rPr>
          <w:bCs/>
        </w:rPr>
        <w:t>10% is considered average and 20% is considered good.</w:t>
      </w:r>
    </w:p>
    <w:p w14:paraId="24D1B00C" w14:textId="150311FD" w:rsidR="000615D1" w:rsidRPr="00CA21ED" w:rsidRDefault="000615D1" w:rsidP="0075733F">
      <w:pPr>
        <w:spacing w:after="215" w:line="480" w:lineRule="auto"/>
        <w:ind w:left="-5"/>
        <w:rPr>
          <w:bCs/>
        </w:rPr>
      </w:pPr>
      <w:r w:rsidRPr="00CA21ED">
        <w:rPr>
          <w:bCs/>
        </w:rPr>
        <w:t xml:space="preserve">I find these ratios to be important because they are able to </w:t>
      </w:r>
      <w:r w:rsidR="0069732B" w:rsidRPr="00CA21ED">
        <w:rPr>
          <w:bCs/>
        </w:rPr>
        <w:t xml:space="preserve">highlight how is the company generating a profit, how are they </w:t>
      </w:r>
      <w:r w:rsidR="005B5AD0" w:rsidRPr="00CA21ED">
        <w:rPr>
          <w:bCs/>
        </w:rPr>
        <w:t xml:space="preserve">working through inventories, </w:t>
      </w:r>
      <w:r w:rsidR="00914AB6" w:rsidRPr="00CA21ED">
        <w:rPr>
          <w:bCs/>
        </w:rPr>
        <w:t xml:space="preserve">how are they able to navigate </w:t>
      </w:r>
      <w:r w:rsidR="00C1318B" w:rsidRPr="00CA21ED">
        <w:rPr>
          <w:bCs/>
        </w:rPr>
        <w:t>difficult situations and meeting obligations how well are they generating a profit.</w:t>
      </w:r>
    </w:p>
    <w:p w14:paraId="31D5C48B" w14:textId="79F97A4D" w:rsidR="007B60B4" w:rsidRPr="00CA21ED" w:rsidRDefault="007B60B4" w:rsidP="0075733F">
      <w:pPr>
        <w:spacing w:after="215" w:line="480" w:lineRule="auto"/>
        <w:ind w:left="-5"/>
        <w:rPr>
          <w:bCs/>
        </w:rPr>
      </w:pPr>
      <w:r w:rsidRPr="00CA21ED">
        <w:rPr>
          <w:bCs/>
        </w:rPr>
        <w:t xml:space="preserve">As I compare these two, </w:t>
      </w:r>
      <w:r w:rsidR="00332593" w:rsidRPr="00CA21ED">
        <w:rPr>
          <w:bCs/>
        </w:rPr>
        <w:t xml:space="preserve">I put significant focus on ROA, ROE and inventory turnover </w:t>
      </w:r>
      <w:r w:rsidR="000C729F" w:rsidRPr="00CA21ED">
        <w:rPr>
          <w:bCs/>
        </w:rPr>
        <w:t>ratios</w:t>
      </w:r>
      <w:r w:rsidR="00E96D38" w:rsidRPr="00CA21ED">
        <w:rPr>
          <w:bCs/>
        </w:rPr>
        <w:t>. I do so because the ability to generate significant returns and working through inventories</w:t>
      </w:r>
      <w:r w:rsidR="00040282" w:rsidRPr="00CA21ED">
        <w:rPr>
          <w:bCs/>
        </w:rPr>
        <w:t xml:space="preserve"> to me shows a level of stability</w:t>
      </w:r>
      <w:r w:rsidR="000C729F" w:rsidRPr="00CA21ED">
        <w:rPr>
          <w:bCs/>
        </w:rPr>
        <w:t xml:space="preserve">. Target has a significant advantage with these ratios. </w:t>
      </w:r>
      <w:r w:rsidR="000D5CB5" w:rsidRPr="00CA21ED">
        <w:rPr>
          <w:bCs/>
        </w:rPr>
        <w:t xml:space="preserve">They are able to move inventories more effectively </w:t>
      </w:r>
      <w:r w:rsidR="00683E22" w:rsidRPr="00CA21ED">
        <w:rPr>
          <w:bCs/>
        </w:rPr>
        <w:t xml:space="preserve">and generate a better </w:t>
      </w:r>
      <w:r w:rsidR="00683E22" w:rsidRPr="00CA21ED">
        <w:rPr>
          <w:bCs/>
        </w:rPr>
        <w:lastRenderedPageBreak/>
        <w:t xml:space="preserve">return for investors. I do have some concern on </w:t>
      </w:r>
      <w:r w:rsidR="00B64861" w:rsidRPr="00CA21ED">
        <w:rPr>
          <w:bCs/>
        </w:rPr>
        <w:t xml:space="preserve">the current ratios for both, particularly with Dollar Tree as they navigate through consolidation and restructuring </w:t>
      </w:r>
      <w:r w:rsidR="00F83A61" w:rsidRPr="00CA21ED">
        <w:rPr>
          <w:bCs/>
        </w:rPr>
        <w:t xml:space="preserve">their Dollar Tree and Family Dollar brands. </w:t>
      </w:r>
      <w:r w:rsidR="001E2D8C" w:rsidRPr="00CA21ED">
        <w:rPr>
          <w:bCs/>
        </w:rPr>
        <w:t xml:space="preserve">Despite my concern, I see it more as ratios of note rather than influencing my decision. </w:t>
      </w:r>
    </w:p>
    <w:p w14:paraId="66B54E82" w14:textId="77777777" w:rsidR="00EB5F43" w:rsidRDefault="002B591A">
      <w:pPr>
        <w:spacing w:after="19" w:line="259" w:lineRule="auto"/>
        <w:ind w:left="0" w:firstLine="0"/>
      </w:pPr>
      <w:r>
        <w:t xml:space="preserve"> </w:t>
      </w:r>
    </w:p>
    <w:p w14:paraId="5491C118" w14:textId="77777777" w:rsidR="00EB5F43" w:rsidRDefault="002B591A">
      <w:pPr>
        <w:pStyle w:val="Heading1"/>
        <w:ind w:left="-5"/>
      </w:pPr>
      <w:r>
        <w:t xml:space="preserve">Ratio Trend Table </w:t>
      </w:r>
    </w:p>
    <w:p w14:paraId="76A996D3" w14:textId="175C089B" w:rsidR="00EB5F43" w:rsidRDefault="00EB5F43">
      <w:pPr>
        <w:spacing w:after="200"/>
        <w:ind w:left="-5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C84C44" w:rsidRPr="00473F2A" w14:paraId="15CE6747" w14:textId="345A5BB5" w:rsidTr="00C84C44">
        <w:tc>
          <w:tcPr>
            <w:tcW w:w="1557" w:type="dxa"/>
          </w:tcPr>
          <w:p w14:paraId="4988E8CE" w14:textId="17CC9488" w:rsidR="00C84C44" w:rsidRPr="00473F2A" w:rsidRDefault="00AC2D96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Target </w:t>
            </w:r>
            <w:r w:rsidR="00776421" w:rsidRPr="00473F2A">
              <w:rPr>
                <w:b/>
                <w:bCs/>
              </w:rPr>
              <w:t>R</w:t>
            </w:r>
            <w:r w:rsidRPr="00473F2A">
              <w:rPr>
                <w:b/>
                <w:bCs/>
              </w:rPr>
              <w:t>atios</w:t>
            </w:r>
          </w:p>
        </w:tc>
        <w:tc>
          <w:tcPr>
            <w:tcW w:w="1557" w:type="dxa"/>
          </w:tcPr>
          <w:p w14:paraId="24580A91" w14:textId="3456A03C" w:rsidR="00C84C44" w:rsidRPr="00473F2A" w:rsidRDefault="00E90B31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1/30/2021</w:t>
            </w:r>
          </w:p>
        </w:tc>
        <w:tc>
          <w:tcPr>
            <w:tcW w:w="1558" w:type="dxa"/>
          </w:tcPr>
          <w:p w14:paraId="609A2D72" w14:textId="6A7AA211" w:rsidR="00C84C44" w:rsidRPr="00473F2A" w:rsidRDefault="00E90B31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2/1/2020</w:t>
            </w:r>
          </w:p>
        </w:tc>
        <w:tc>
          <w:tcPr>
            <w:tcW w:w="1558" w:type="dxa"/>
          </w:tcPr>
          <w:p w14:paraId="097D0AB2" w14:textId="39517397" w:rsidR="00C84C44" w:rsidRPr="00473F2A" w:rsidRDefault="00165F3A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2/2/2019</w:t>
            </w:r>
          </w:p>
        </w:tc>
        <w:tc>
          <w:tcPr>
            <w:tcW w:w="1558" w:type="dxa"/>
          </w:tcPr>
          <w:p w14:paraId="1D0FFD46" w14:textId="58E81EEC" w:rsidR="00C84C44" w:rsidRPr="00473F2A" w:rsidRDefault="00165F3A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2/3/2018</w:t>
            </w:r>
          </w:p>
        </w:tc>
        <w:tc>
          <w:tcPr>
            <w:tcW w:w="1558" w:type="dxa"/>
          </w:tcPr>
          <w:p w14:paraId="09741929" w14:textId="0AF92A4F" w:rsidR="00C84C44" w:rsidRPr="00473F2A" w:rsidRDefault="00165F3A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1/28/2017</w:t>
            </w:r>
          </w:p>
        </w:tc>
      </w:tr>
      <w:tr w:rsidR="00C84C44" w14:paraId="29E8B866" w14:textId="52EBDB1A" w:rsidTr="00C84C44">
        <w:tc>
          <w:tcPr>
            <w:tcW w:w="1557" w:type="dxa"/>
          </w:tcPr>
          <w:p w14:paraId="3D14BD1A" w14:textId="40237018" w:rsidR="00C84C44" w:rsidRPr="00473F2A" w:rsidRDefault="00165F3A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Return on Assets </w:t>
            </w:r>
          </w:p>
        </w:tc>
        <w:tc>
          <w:tcPr>
            <w:tcW w:w="1557" w:type="dxa"/>
          </w:tcPr>
          <w:p w14:paraId="5FA7710D" w14:textId="11C70FBE" w:rsidR="00C84C44" w:rsidRDefault="003071B4">
            <w:pPr>
              <w:spacing w:after="200"/>
              <w:ind w:left="0" w:firstLine="0"/>
            </w:pPr>
            <w:r>
              <w:t>9.29%</w:t>
            </w:r>
          </w:p>
        </w:tc>
        <w:tc>
          <w:tcPr>
            <w:tcW w:w="1558" w:type="dxa"/>
          </w:tcPr>
          <w:p w14:paraId="35A8DB10" w14:textId="58660775" w:rsidR="00C84C44" w:rsidRDefault="003071B4">
            <w:pPr>
              <w:spacing w:after="200"/>
              <w:ind w:left="0" w:firstLine="0"/>
            </w:pPr>
            <w:r>
              <w:t>7.81%</w:t>
            </w:r>
          </w:p>
        </w:tc>
        <w:tc>
          <w:tcPr>
            <w:tcW w:w="1558" w:type="dxa"/>
          </w:tcPr>
          <w:p w14:paraId="3D41636A" w14:textId="5C58621D" w:rsidR="00C84C44" w:rsidRDefault="00496A70">
            <w:pPr>
              <w:spacing w:after="200"/>
              <w:ind w:left="0" w:firstLine="0"/>
            </w:pPr>
            <w:r>
              <w:t>7.20%</w:t>
            </w:r>
          </w:p>
        </w:tc>
        <w:tc>
          <w:tcPr>
            <w:tcW w:w="1558" w:type="dxa"/>
          </w:tcPr>
          <w:p w14:paraId="108FB3BA" w14:textId="4C0C2F14" w:rsidR="00C84C44" w:rsidRDefault="00496A70">
            <w:pPr>
              <w:spacing w:after="200"/>
              <w:ind w:left="0" w:firstLine="0"/>
            </w:pPr>
            <w:r>
              <w:t>7.50%</w:t>
            </w:r>
          </w:p>
        </w:tc>
        <w:tc>
          <w:tcPr>
            <w:tcW w:w="1558" w:type="dxa"/>
          </w:tcPr>
          <w:p w14:paraId="73EE8E5B" w14:textId="401B6500" w:rsidR="00C84C44" w:rsidRDefault="00496A70">
            <w:pPr>
              <w:spacing w:after="200"/>
              <w:ind w:left="0" w:firstLine="0"/>
            </w:pPr>
            <w:r>
              <w:t>7.04%</w:t>
            </w:r>
          </w:p>
        </w:tc>
      </w:tr>
      <w:tr w:rsidR="00C84C44" w14:paraId="1F1F0BF2" w14:textId="07987DF3" w:rsidTr="00C84C44">
        <w:tc>
          <w:tcPr>
            <w:tcW w:w="1557" w:type="dxa"/>
          </w:tcPr>
          <w:p w14:paraId="22505973" w14:textId="1478C76B" w:rsidR="00C84C44" w:rsidRPr="00473F2A" w:rsidRDefault="009677E7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Return on Equity </w:t>
            </w:r>
          </w:p>
        </w:tc>
        <w:tc>
          <w:tcPr>
            <w:tcW w:w="1557" w:type="dxa"/>
          </w:tcPr>
          <w:p w14:paraId="7F844A65" w14:textId="79D919DA" w:rsidR="00C84C44" w:rsidRDefault="00496A70">
            <w:pPr>
              <w:spacing w:after="200"/>
              <w:ind w:left="0" w:firstLine="0"/>
            </w:pPr>
            <w:r>
              <w:t>33.25%</w:t>
            </w:r>
          </w:p>
        </w:tc>
        <w:tc>
          <w:tcPr>
            <w:tcW w:w="1558" w:type="dxa"/>
          </w:tcPr>
          <w:p w14:paraId="1126F8AF" w14:textId="0104B39E" w:rsidR="00C84C44" w:rsidRDefault="00496A70">
            <w:pPr>
              <w:spacing w:after="200"/>
              <w:ind w:left="0" w:firstLine="0"/>
            </w:pPr>
            <w:r>
              <w:t>28.37%</w:t>
            </w:r>
          </w:p>
        </w:tc>
        <w:tc>
          <w:tcPr>
            <w:tcW w:w="1558" w:type="dxa"/>
          </w:tcPr>
          <w:p w14:paraId="00247CDE" w14:textId="6D0C036C" w:rsidR="00C84C44" w:rsidRDefault="00C26E55">
            <w:pPr>
              <w:spacing w:after="200"/>
              <w:ind w:left="0" w:firstLine="0"/>
            </w:pPr>
            <w:r>
              <w:t>25.60%</w:t>
            </w:r>
          </w:p>
        </w:tc>
        <w:tc>
          <w:tcPr>
            <w:tcW w:w="1558" w:type="dxa"/>
          </w:tcPr>
          <w:p w14:paraId="12D6FCDC" w14:textId="3BA53807" w:rsidR="00C84C44" w:rsidRDefault="00C26E55">
            <w:pPr>
              <w:spacing w:after="200"/>
              <w:ind w:left="0" w:firstLine="0"/>
            </w:pPr>
            <w:r>
              <w:t>25.78%</w:t>
            </w:r>
          </w:p>
        </w:tc>
        <w:tc>
          <w:tcPr>
            <w:tcW w:w="1558" w:type="dxa"/>
          </w:tcPr>
          <w:p w14:paraId="5CAF3DD7" w14:textId="082F66FB" w:rsidR="00C84C44" w:rsidRDefault="00C26E55">
            <w:pPr>
              <w:spacing w:after="200"/>
              <w:ind w:left="0" w:firstLine="0"/>
            </w:pPr>
            <w:r>
              <w:t>22.87%</w:t>
            </w:r>
          </w:p>
        </w:tc>
      </w:tr>
      <w:tr w:rsidR="00C84C44" w14:paraId="0F2CBF67" w14:textId="2ED47A89" w:rsidTr="00C84C44">
        <w:tc>
          <w:tcPr>
            <w:tcW w:w="1557" w:type="dxa"/>
          </w:tcPr>
          <w:p w14:paraId="459D0F42" w14:textId="3B7D00BD" w:rsidR="00C84C44" w:rsidRPr="00473F2A" w:rsidRDefault="004D3750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Inventory Turnover </w:t>
            </w:r>
          </w:p>
        </w:tc>
        <w:tc>
          <w:tcPr>
            <w:tcW w:w="1557" w:type="dxa"/>
          </w:tcPr>
          <w:p w14:paraId="355F396F" w14:textId="279A62AF" w:rsidR="00C84C44" w:rsidRDefault="00DF7376">
            <w:pPr>
              <w:spacing w:after="200"/>
              <w:ind w:left="0" w:firstLine="0"/>
            </w:pPr>
            <w:r>
              <w:t>6.74</w:t>
            </w:r>
          </w:p>
        </w:tc>
        <w:tc>
          <w:tcPr>
            <w:tcW w:w="1558" w:type="dxa"/>
          </w:tcPr>
          <w:p w14:paraId="212B24BA" w14:textId="196F2153" w:rsidR="00C84C44" w:rsidRDefault="00DF7376">
            <w:pPr>
              <w:spacing w:after="200"/>
              <w:ind w:left="0" w:firstLine="0"/>
            </w:pPr>
            <w:r>
              <w:t>5.93</w:t>
            </w:r>
          </w:p>
        </w:tc>
        <w:tc>
          <w:tcPr>
            <w:tcW w:w="1558" w:type="dxa"/>
          </w:tcPr>
          <w:p w14:paraId="286D9A0F" w14:textId="0F653808" w:rsidR="00C84C44" w:rsidRDefault="00FE3F66">
            <w:pPr>
              <w:spacing w:after="200"/>
              <w:ind w:left="0" w:firstLine="0"/>
            </w:pPr>
            <w:r>
              <w:t>5.89</w:t>
            </w:r>
          </w:p>
        </w:tc>
        <w:tc>
          <w:tcPr>
            <w:tcW w:w="1558" w:type="dxa"/>
          </w:tcPr>
          <w:p w14:paraId="0FBC0572" w14:textId="4AE761A8" w:rsidR="00C84C44" w:rsidRDefault="00FE3F66">
            <w:pPr>
              <w:spacing w:after="200"/>
              <w:ind w:left="0" w:firstLine="0"/>
            </w:pPr>
            <w:r>
              <w:t>6.05</w:t>
            </w:r>
          </w:p>
        </w:tc>
        <w:tc>
          <w:tcPr>
            <w:tcW w:w="1558" w:type="dxa"/>
          </w:tcPr>
          <w:p w14:paraId="3B29B1A5" w14:textId="726EDD37" w:rsidR="00C84C44" w:rsidRDefault="00FE3F66">
            <w:pPr>
              <w:spacing w:after="200"/>
              <w:ind w:left="0" w:firstLine="0"/>
            </w:pPr>
            <w:r>
              <w:t>5.81</w:t>
            </w:r>
          </w:p>
        </w:tc>
      </w:tr>
      <w:tr w:rsidR="00C84C44" w14:paraId="658BBD87" w14:textId="1AA2AD55" w:rsidTr="00C84C44">
        <w:tc>
          <w:tcPr>
            <w:tcW w:w="1557" w:type="dxa"/>
          </w:tcPr>
          <w:p w14:paraId="2A5CC1BF" w14:textId="65A701B1" w:rsidR="00C84C44" w:rsidRPr="00473F2A" w:rsidRDefault="004D3750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Current Ratio</w:t>
            </w:r>
          </w:p>
        </w:tc>
        <w:tc>
          <w:tcPr>
            <w:tcW w:w="1557" w:type="dxa"/>
          </w:tcPr>
          <w:p w14:paraId="438183A5" w14:textId="4E0EB0DB" w:rsidR="00C84C44" w:rsidRDefault="00FE3F66">
            <w:pPr>
              <w:spacing w:after="200"/>
              <w:ind w:left="0" w:firstLine="0"/>
            </w:pPr>
            <w:r>
              <w:t>1.03</w:t>
            </w:r>
          </w:p>
        </w:tc>
        <w:tc>
          <w:tcPr>
            <w:tcW w:w="1558" w:type="dxa"/>
          </w:tcPr>
          <w:p w14:paraId="5AA420D0" w14:textId="535B66F1" w:rsidR="00C84C44" w:rsidRDefault="004B72D3">
            <w:pPr>
              <w:spacing w:after="200"/>
              <w:ind w:left="0" w:firstLine="0"/>
            </w:pPr>
            <w:r>
              <w:t>0.89</w:t>
            </w:r>
          </w:p>
        </w:tc>
        <w:tc>
          <w:tcPr>
            <w:tcW w:w="1558" w:type="dxa"/>
          </w:tcPr>
          <w:p w14:paraId="6DE05DCF" w14:textId="497682B7" w:rsidR="00C84C44" w:rsidRDefault="004B72D3">
            <w:pPr>
              <w:spacing w:after="200"/>
              <w:ind w:left="0" w:firstLine="0"/>
            </w:pPr>
            <w:r>
              <w:t>0.83</w:t>
            </w:r>
          </w:p>
        </w:tc>
        <w:tc>
          <w:tcPr>
            <w:tcW w:w="1558" w:type="dxa"/>
          </w:tcPr>
          <w:p w14:paraId="537BB66C" w14:textId="775250B1" w:rsidR="00C84C44" w:rsidRDefault="004B72D3">
            <w:pPr>
              <w:spacing w:after="200"/>
              <w:ind w:left="0" w:firstLine="0"/>
            </w:pPr>
            <w:r>
              <w:t>0.96</w:t>
            </w:r>
          </w:p>
        </w:tc>
        <w:tc>
          <w:tcPr>
            <w:tcW w:w="1558" w:type="dxa"/>
          </w:tcPr>
          <w:p w14:paraId="4C12408C" w14:textId="1C732639" w:rsidR="00C84C44" w:rsidRDefault="004B72D3">
            <w:pPr>
              <w:spacing w:after="200"/>
              <w:ind w:left="0" w:firstLine="0"/>
            </w:pPr>
            <w:r>
              <w:t>0.94</w:t>
            </w:r>
          </w:p>
        </w:tc>
      </w:tr>
      <w:tr w:rsidR="00C84C44" w14:paraId="1591AD9B" w14:textId="7B125BFC" w:rsidTr="00C84C44">
        <w:tc>
          <w:tcPr>
            <w:tcW w:w="1557" w:type="dxa"/>
          </w:tcPr>
          <w:p w14:paraId="3CF2C873" w14:textId="55309BEC" w:rsidR="00C84C44" w:rsidRPr="00473F2A" w:rsidRDefault="003071B4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Net Profit Margin </w:t>
            </w:r>
          </w:p>
        </w:tc>
        <w:tc>
          <w:tcPr>
            <w:tcW w:w="1557" w:type="dxa"/>
          </w:tcPr>
          <w:p w14:paraId="4900A68A" w14:textId="7576DF0C" w:rsidR="00C84C44" w:rsidRDefault="004B72D3">
            <w:pPr>
              <w:spacing w:after="200"/>
              <w:ind w:left="0" w:firstLine="0"/>
            </w:pPr>
            <w:r>
              <w:t>4.67%</w:t>
            </w:r>
          </w:p>
        </w:tc>
        <w:tc>
          <w:tcPr>
            <w:tcW w:w="1558" w:type="dxa"/>
          </w:tcPr>
          <w:p w14:paraId="3901CFE7" w14:textId="51680E86" w:rsidR="00C84C44" w:rsidRDefault="004B72D3">
            <w:pPr>
              <w:spacing w:after="200"/>
              <w:ind w:left="0" w:firstLine="0"/>
            </w:pPr>
            <w:r>
              <w:t>4.20%</w:t>
            </w:r>
          </w:p>
        </w:tc>
        <w:tc>
          <w:tcPr>
            <w:tcW w:w="1558" w:type="dxa"/>
          </w:tcPr>
          <w:p w14:paraId="0A5FC39E" w14:textId="57BA84BB" w:rsidR="00C84C44" w:rsidRDefault="003C6B61">
            <w:pPr>
              <w:spacing w:after="200"/>
              <w:ind w:left="0" w:firstLine="0"/>
            </w:pPr>
            <w:r>
              <w:t>3.90%</w:t>
            </w:r>
          </w:p>
        </w:tc>
        <w:tc>
          <w:tcPr>
            <w:tcW w:w="1558" w:type="dxa"/>
          </w:tcPr>
          <w:p w14:paraId="16E03BA0" w14:textId="65FC1897" w:rsidR="00C84C44" w:rsidRDefault="003C6B61">
            <w:pPr>
              <w:spacing w:after="200"/>
              <w:ind w:left="0" w:firstLine="0"/>
            </w:pPr>
            <w:r>
              <w:t>4.01%</w:t>
            </w:r>
          </w:p>
        </w:tc>
        <w:tc>
          <w:tcPr>
            <w:tcW w:w="1558" w:type="dxa"/>
          </w:tcPr>
          <w:p w14:paraId="335C1795" w14:textId="6B1AF391" w:rsidR="00C84C44" w:rsidRDefault="003C6B61">
            <w:pPr>
              <w:spacing w:after="200"/>
              <w:ind w:left="0" w:firstLine="0"/>
            </w:pPr>
            <w:r>
              <w:t>3.89%</w:t>
            </w:r>
          </w:p>
        </w:tc>
      </w:tr>
    </w:tbl>
    <w:p w14:paraId="03D1D52D" w14:textId="77777777" w:rsidR="007D1006" w:rsidRDefault="007D1006">
      <w:pPr>
        <w:spacing w:after="200"/>
        <w:ind w:left="-5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776421" w:rsidRPr="00473F2A" w14:paraId="275B0174" w14:textId="68313B6D" w:rsidTr="00776421">
        <w:tc>
          <w:tcPr>
            <w:tcW w:w="1557" w:type="dxa"/>
          </w:tcPr>
          <w:p w14:paraId="2E3B9B6F" w14:textId="7EF134CF" w:rsidR="00776421" w:rsidRPr="00473F2A" w:rsidRDefault="000924B7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Dollar Tree Ratios</w:t>
            </w:r>
          </w:p>
        </w:tc>
        <w:tc>
          <w:tcPr>
            <w:tcW w:w="1557" w:type="dxa"/>
          </w:tcPr>
          <w:p w14:paraId="3FC6BA4E" w14:textId="060E1EEB" w:rsidR="00776421" w:rsidRPr="00473F2A" w:rsidRDefault="00E30154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1/30/2021</w:t>
            </w:r>
          </w:p>
        </w:tc>
        <w:tc>
          <w:tcPr>
            <w:tcW w:w="1558" w:type="dxa"/>
          </w:tcPr>
          <w:p w14:paraId="45E61907" w14:textId="12851752" w:rsidR="00776421" w:rsidRPr="00473F2A" w:rsidRDefault="00DA2DD3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2/1/2020</w:t>
            </w:r>
          </w:p>
        </w:tc>
        <w:tc>
          <w:tcPr>
            <w:tcW w:w="1558" w:type="dxa"/>
          </w:tcPr>
          <w:p w14:paraId="43C1AFBF" w14:textId="692B565D" w:rsidR="00776421" w:rsidRPr="00473F2A" w:rsidRDefault="00DA2DD3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2/2/2019</w:t>
            </w:r>
          </w:p>
        </w:tc>
        <w:tc>
          <w:tcPr>
            <w:tcW w:w="1558" w:type="dxa"/>
          </w:tcPr>
          <w:p w14:paraId="7880027B" w14:textId="21F8BF8A" w:rsidR="00776421" w:rsidRPr="00473F2A" w:rsidRDefault="00DA2DD3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2/3/2018</w:t>
            </w:r>
          </w:p>
        </w:tc>
        <w:tc>
          <w:tcPr>
            <w:tcW w:w="1558" w:type="dxa"/>
          </w:tcPr>
          <w:p w14:paraId="61EC2F8E" w14:textId="52979CC6" w:rsidR="00776421" w:rsidRPr="00473F2A" w:rsidRDefault="004A4223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>1/28/2017</w:t>
            </w:r>
          </w:p>
        </w:tc>
      </w:tr>
      <w:tr w:rsidR="000924B7" w14:paraId="7096355E" w14:textId="77777777" w:rsidTr="00776421">
        <w:tc>
          <w:tcPr>
            <w:tcW w:w="1557" w:type="dxa"/>
          </w:tcPr>
          <w:p w14:paraId="24B78784" w14:textId="15EACC1F" w:rsidR="000924B7" w:rsidRPr="00473F2A" w:rsidRDefault="000924B7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Return on Assets </w:t>
            </w:r>
          </w:p>
        </w:tc>
        <w:tc>
          <w:tcPr>
            <w:tcW w:w="1557" w:type="dxa"/>
          </w:tcPr>
          <w:p w14:paraId="2FD6AAD8" w14:textId="1B7F2C95" w:rsidR="000924B7" w:rsidRDefault="00171163">
            <w:pPr>
              <w:spacing w:after="200"/>
              <w:ind w:left="0" w:firstLine="0"/>
            </w:pPr>
            <w:r>
              <w:t>6.66%</w:t>
            </w:r>
          </w:p>
        </w:tc>
        <w:tc>
          <w:tcPr>
            <w:tcW w:w="1558" w:type="dxa"/>
          </w:tcPr>
          <w:p w14:paraId="5964FCC7" w14:textId="638EE16A" w:rsidR="000924B7" w:rsidRDefault="00171163">
            <w:pPr>
              <w:spacing w:after="200"/>
              <w:ind w:left="0" w:firstLine="0"/>
            </w:pPr>
            <w:r>
              <w:t>5.00%</w:t>
            </w:r>
          </w:p>
        </w:tc>
        <w:tc>
          <w:tcPr>
            <w:tcW w:w="1558" w:type="dxa"/>
          </w:tcPr>
          <w:p w14:paraId="1242561B" w14:textId="134F2985" w:rsidR="000924B7" w:rsidRDefault="00171163">
            <w:pPr>
              <w:spacing w:after="200"/>
              <w:ind w:left="0" w:firstLine="0"/>
            </w:pPr>
            <w:r>
              <w:t>-10.66%</w:t>
            </w:r>
          </w:p>
        </w:tc>
        <w:tc>
          <w:tcPr>
            <w:tcW w:w="1558" w:type="dxa"/>
          </w:tcPr>
          <w:p w14:paraId="15EE0E4C" w14:textId="4D670959" w:rsidR="000924B7" w:rsidRDefault="0056065D">
            <w:pPr>
              <w:spacing w:after="200"/>
              <w:ind w:left="0" w:firstLine="0"/>
            </w:pPr>
            <w:r>
              <w:t>10.70%</w:t>
            </w:r>
          </w:p>
        </w:tc>
        <w:tc>
          <w:tcPr>
            <w:tcW w:w="1558" w:type="dxa"/>
          </w:tcPr>
          <w:p w14:paraId="68A72DD5" w14:textId="415D4A39" w:rsidR="000924B7" w:rsidRDefault="0056065D">
            <w:pPr>
              <w:spacing w:after="200"/>
              <w:ind w:left="0" w:firstLine="0"/>
            </w:pPr>
            <w:r>
              <w:t>5.67%</w:t>
            </w:r>
          </w:p>
        </w:tc>
      </w:tr>
      <w:tr w:rsidR="00776421" w14:paraId="0E8D3577" w14:textId="3C5C4215" w:rsidTr="00776421">
        <w:tc>
          <w:tcPr>
            <w:tcW w:w="1557" w:type="dxa"/>
          </w:tcPr>
          <w:p w14:paraId="2498D92C" w14:textId="45B2EC64" w:rsidR="00776421" w:rsidRPr="00473F2A" w:rsidRDefault="000924B7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Return on Equity </w:t>
            </w:r>
          </w:p>
        </w:tc>
        <w:tc>
          <w:tcPr>
            <w:tcW w:w="1557" w:type="dxa"/>
          </w:tcPr>
          <w:p w14:paraId="16D0275B" w14:textId="1E4020A3" w:rsidR="00776421" w:rsidRDefault="0056065D">
            <w:pPr>
              <w:spacing w:after="200"/>
              <w:ind w:left="0" w:firstLine="0"/>
            </w:pPr>
            <w:r>
              <w:t>19.82%</w:t>
            </w:r>
          </w:p>
        </w:tc>
        <w:tc>
          <w:tcPr>
            <w:tcW w:w="1558" w:type="dxa"/>
          </w:tcPr>
          <w:p w14:paraId="4A8294A4" w14:textId="70FB0E9C" w:rsidR="00776421" w:rsidRDefault="0056065D">
            <w:pPr>
              <w:spacing w:after="200"/>
              <w:ind w:left="0" w:firstLine="0"/>
            </w:pPr>
            <w:r>
              <w:t>13.90%</w:t>
            </w:r>
          </w:p>
        </w:tc>
        <w:tc>
          <w:tcPr>
            <w:tcW w:w="1558" w:type="dxa"/>
          </w:tcPr>
          <w:p w14:paraId="3A5FE4DD" w14:textId="652DCEDE" w:rsidR="00776421" w:rsidRDefault="0056065D">
            <w:pPr>
              <w:spacing w:after="200"/>
              <w:ind w:left="0" w:firstLine="0"/>
            </w:pPr>
            <w:r>
              <w:t>-24.81%</w:t>
            </w:r>
          </w:p>
        </w:tc>
        <w:tc>
          <w:tcPr>
            <w:tcW w:w="1558" w:type="dxa"/>
          </w:tcPr>
          <w:p w14:paraId="0BDBC5D5" w14:textId="01153306" w:rsidR="00776421" w:rsidRDefault="00E93C0B">
            <w:pPr>
              <w:spacing w:after="200"/>
              <w:ind w:left="0" w:firstLine="0"/>
            </w:pPr>
            <w:r>
              <w:t>27.27%</w:t>
            </w:r>
          </w:p>
        </w:tc>
        <w:tc>
          <w:tcPr>
            <w:tcW w:w="1558" w:type="dxa"/>
          </w:tcPr>
          <w:p w14:paraId="0941442A" w14:textId="06871400" w:rsidR="00776421" w:rsidRDefault="00E93C0B">
            <w:pPr>
              <w:spacing w:after="200"/>
              <w:ind w:left="0" w:firstLine="0"/>
            </w:pPr>
            <w:r>
              <w:t>18.30%</w:t>
            </w:r>
          </w:p>
        </w:tc>
      </w:tr>
      <w:tr w:rsidR="00776421" w14:paraId="4B93BA08" w14:textId="252029D4" w:rsidTr="00776421">
        <w:tc>
          <w:tcPr>
            <w:tcW w:w="1557" w:type="dxa"/>
          </w:tcPr>
          <w:p w14:paraId="214921FB" w14:textId="47770E43" w:rsidR="00776421" w:rsidRPr="00473F2A" w:rsidRDefault="000924B7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Inventory Turnover </w:t>
            </w:r>
          </w:p>
        </w:tc>
        <w:tc>
          <w:tcPr>
            <w:tcW w:w="1557" w:type="dxa"/>
          </w:tcPr>
          <w:p w14:paraId="0DA96604" w14:textId="470E8049" w:rsidR="00776421" w:rsidRDefault="00E25E0A">
            <w:pPr>
              <w:spacing w:after="200"/>
              <w:ind w:left="0" w:firstLine="0"/>
            </w:pPr>
            <w:r>
              <w:t>5.10</w:t>
            </w:r>
          </w:p>
        </w:tc>
        <w:tc>
          <w:tcPr>
            <w:tcW w:w="1558" w:type="dxa"/>
          </w:tcPr>
          <w:p w14:paraId="36BB5409" w14:textId="32A4A91F" w:rsidR="00776421" w:rsidRDefault="00E25E0A">
            <w:pPr>
              <w:spacing w:after="200"/>
              <w:ind w:left="0" w:firstLine="0"/>
            </w:pPr>
            <w:r>
              <w:t>4.70</w:t>
            </w:r>
          </w:p>
        </w:tc>
        <w:tc>
          <w:tcPr>
            <w:tcW w:w="1558" w:type="dxa"/>
          </w:tcPr>
          <w:p w14:paraId="5DF17A90" w14:textId="4FF5921C" w:rsidR="00776421" w:rsidRDefault="00E25E0A">
            <w:pPr>
              <w:spacing w:after="200"/>
              <w:ind w:left="0" w:firstLine="0"/>
            </w:pPr>
            <w:r>
              <w:t>4.74</w:t>
            </w:r>
          </w:p>
        </w:tc>
        <w:tc>
          <w:tcPr>
            <w:tcW w:w="1558" w:type="dxa"/>
          </w:tcPr>
          <w:p w14:paraId="13F7CA45" w14:textId="2CA36201" w:rsidR="00776421" w:rsidRDefault="00E25E0A">
            <w:pPr>
              <w:spacing w:after="200"/>
              <w:ind w:left="0" w:firstLine="0"/>
            </w:pPr>
            <w:r>
              <w:t>5.05</w:t>
            </w:r>
          </w:p>
        </w:tc>
        <w:tc>
          <w:tcPr>
            <w:tcW w:w="1558" w:type="dxa"/>
          </w:tcPr>
          <w:p w14:paraId="24177862" w14:textId="3F8A46BE" w:rsidR="00776421" w:rsidRDefault="00BA2163">
            <w:pPr>
              <w:spacing w:after="200"/>
              <w:ind w:left="0" w:firstLine="0"/>
            </w:pPr>
            <w:r>
              <w:t>4.98</w:t>
            </w:r>
          </w:p>
        </w:tc>
      </w:tr>
      <w:tr w:rsidR="00776421" w14:paraId="42E41C98" w14:textId="5B19725A" w:rsidTr="00776421">
        <w:tc>
          <w:tcPr>
            <w:tcW w:w="1557" w:type="dxa"/>
          </w:tcPr>
          <w:p w14:paraId="695385CC" w14:textId="472155B4" w:rsidR="00776421" w:rsidRPr="00473F2A" w:rsidRDefault="00E30154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lastRenderedPageBreak/>
              <w:t xml:space="preserve">Current Ratio </w:t>
            </w:r>
          </w:p>
        </w:tc>
        <w:tc>
          <w:tcPr>
            <w:tcW w:w="1557" w:type="dxa"/>
          </w:tcPr>
          <w:p w14:paraId="4440C7F7" w14:textId="5156EBE4" w:rsidR="00776421" w:rsidRDefault="004A4223">
            <w:pPr>
              <w:spacing w:after="200"/>
              <w:ind w:left="0" w:firstLine="0"/>
            </w:pPr>
            <w:r>
              <w:t>1.35</w:t>
            </w:r>
          </w:p>
        </w:tc>
        <w:tc>
          <w:tcPr>
            <w:tcW w:w="1558" w:type="dxa"/>
          </w:tcPr>
          <w:p w14:paraId="044414F1" w14:textId="7B9D545B" w:rsidR="00776421" w:rsidRDefault="004A4223">
            <w:pPr>
              <w:spacing w:after="200"/>
              <w:ind w:left="0" w:firstLine="0"/>
            </w:pPr>
            <w:r>
              <w:t>1.20</w:t>
            </w:r>
          </w:p>
        </w:tc>
        <w:tc>
          <w:tcPr>
            <w:tcW w:w="1558" w:type="dxa"/>
          </w:tcPr>
          <w:p w14:paraId="7A44C57A" w14:textId="4D804226" w:rsidR="00776421" w:rsidRDefault="004A4223">
            <w:pPr>
              <w:spacing w:after="200"/>
              <w:ind w:left="0" w:firstLine="0"/>
            </w:pPr>
            <w:r>
              <w:t>2.05</w:t>
            </w:r>
          </w:p>
        </w:tc>
        <w:tc>
          <w:tcPr>
            <w:tcW w:w="1558" w:type="dxa"/>
          </w:tcPr>
          <w:p w14:paraId="3B58D0E8" w14:textId="78B517A6" w:rsidR="00776421" w:rsidRDefault="004A4223">
            <w:pPr>
              <w:spacing w:after="200"/>
              <w:ind w:left="0" w:firstLine="0"/>
            </w:pPr>
            <w:r>
              <w:t>1.60</w:t>
            </w:r>
          </w:p>
        </w:tc>
        <w:tc>
          <w:tcPr>
            <w:tcW w:w="1558" w:type="dxa"/>
          </w:tcPr>
          <w:p w14:paraId="59532A39" w14:textId="79193645" w:rsidR="00776421" w:rsidRDefault="00E25E0A">
            <w:pPr>
              <w:spacing w:after="200"/>
              <w:ind w:left="0" w:firstLine="0"/>
            </w:pPr>
            <w:r>
              <w:t>1.87</w:t>
            </w:r>
          </w:p>
        </w:tc>
      </w:tr>
      <w:tr w:rsidR="00776421" w14:paraId="6AD442AE" w14:textId="5CE20FA9" w:rsidTr="00776421">
        <w:tc>
          <w:tcPr>
            <w:tcW w:w="1557" w:type="dxa"/>
          </w:tcPr>
          <w:p w14:paraId="4429D227" w14:textId="0A4B7D21" w:rsidR="00776421" w:rsidRPr="00473F2A" w:rsidRDefault="00E30154">
            <w:pPr>
              <w:spacing w:after="200"/>
              <w:ind w:left="0" w:firstLine="0"/>
              <w:rPr>
                <w:b/>
                <w:bCs/>
              </w:rPr>
            </w:pPr>
            <w:r w:rsidRPr="00473F2A">
              <w:rPr>
                <w:b/>
                <w:bCs/>
              </w:rPr>
              <w:t xml:space="preserve">Net Profit Margin </w:t>
            </w:r>
          </w:p>
        </w:tc>
        <w:tc>
          <w:tcPr>
            <w:tcW w:w="1557" w:type="dxa"/>
          </w:tcPr>
          <w:p w14:paraId="13700154" w14:textId="5BBB830E" w:rsidR="00776421" w:rsidRDefault="00BA2163">
            <w:pPr>
              <w:spacing w:after="200"/>
              <w:ind w:left="0" w:firstLine="0"/>
            </w:pPr>
            <w:r>
              <w:t>5.26%</w:t>
            </w:r>
          </w:p>
        </w:tc>
        <w:tc>
          <w:tcPr>
            <w:tcW w:w="1558" w:type="dxa"/>
          </w:tcPr>
          <w:p w14:paraId="4AEFC137" w14:textId="30F7C674" w:rsidR="00776421" w:rsidRDefault="00BA2163">
            <w:pPr>
              <w:spacing w:after="200"/>
              <w:ind w:left="0" w:firstLine="0"/>
            </w:pPr>
            <w:r>
              <w:t>3.50%</w:t>
            </w:r>
          </w:p>
        </w:tc>
        <w:tc>
          <w:tcPr>
            <w:tcW w:w="1558" w:type="dxa"/>
          </w:tcPr>
          <w:p w14:paraId="677FAFD1" w14:textId="069BE505" w:rsidR="00776421" w:rsidRDefault="00171163">
            <w:pPr>
              <w:spacing w:after="200"/>
              <w:ind w:left="0" w:firstLine="0"/>
            </w:pPr>
            <w:r>
              <w:t>-6.97%</w:t>
            </w:r>
          </w:p>
        </w:tc>
        <w:tc>
          <w:tcPr>
            <w:tcW w:w="1558" w:type="dxa"/>
          </w:tcPr>
          <w:p w14:paraId="2888D492" w14:textId="407FAA2F" w:rsidR="00776421" w:rsidRDefault="00171163">
            <w:pPr>
              <w:spacing w:after="200"/>
              <w:ind w:left="0" w:firstLine="0"/>
            </w:pPr>
            <w:r>
              <w:t>7.71%</w:t>
            </w:r>
          </w:p>
        </w:tc>
        <w:tc>
          <w:tcPr>
            <w:tcW w:w="1558" w:type="dxa"/>
          </w:tcPr>
          <w:p w14:paraId="244FB13E" w14:textId="74AC9594" w:rsidR="00776421" w:rsidRDefault="00171163">
            <w:pPr>
              <w:spacing w:after="200"/>
              <w:ind w:left="0" w:firstLine="0"/>
            </w:pPr>
            <w:r>
              <w:t>4.33%</w:t>
            </w:r>
          </w:p>
        </w:tc>
      </w:tr>
    </w:tbl>
    <w:p w14:paraId="06ACE9A5" w14:textId="77777777" w:rsidR="00776421" w:rsidRDefault="00776421">
      <w:pPr>
        <w:spacing w:after="200"/>
        <w:ind w:left="-5"/>
      </w:pPr>
    </w:p>
    <w:p w14:paraId="5F51F69E" w14:textId="479D5C8F" w:rsidR="00EB5F43" w:rsidRPr="00CA3A96" w:rsidRDefault="002B591A" w:rsidP="000A625D">
      <w:pPr>
        <w:spacing w:after="22" w:line="480" w:lineRule="auto"/>
        <w:ind w:left="-5"/>
      </w:pPr>
      <w:r w:rsidRPr="00CA3A96">
        <w:rPr>
          <w:b/>
        </w:rPr>
        <w:t xml:space="preserve">Ratio Trend Analysis Explanation </w:t>
      </w:r>
    </w:p>
    <w:p w14:paraId="00350F0E" w14:textId="0E8F46AF" w:rsidR="00980469" w:rsidRPr="00562B5A" w:rsidRDefault="00980469" w:rsidP="000A625D">
      <w:pPr>
        <w:spacing w:line="480" w:lineRule="auto"/>
        <w:ind w:left="-5"/>
        <w:rPr>
          <w:u w:val="single"/>
        </w:rPr>
      </w:pPr>
    </w:p>
    <w:p w14:paraId="29975CB4" w14:textId="745CABF3" w:rsidR="00980469" w:rsidRDefault="00980469" w:rsidP="000A625D">
      <w:pPr>
        <w:spacing w:line="480" w:lineRule="auto"/>
        <w:ind w:left="-5"/>
      </w:pPr>
      <w:r>
        <w:t xml:space="preserve">Target has shown a number of promising signs when reflecting on </w:t>
      </w:r>
      <w:r w:rsidR="00F21D0D">
        <w:t xml:space="preserve">these ratio trends. </w:t>
      </w:r>
      <w:r w:rsidR="00892968">
        <w:t xml:space="preserve">There has been consistent growth in terms of ROA and ROE </w:t>
      </w:r>
      <w:r w:rsidR="00001D48">
        <w:t xml:space="preserve">while inventory turnover has </w:t>
      </w:r>
      <w:r w:rsidR="007C758D">
        <w:t>been relatively steady prior to 2021</w:t>
      </w:r>
      <w:r w:rsidR="00D3066C">
        <w:t xml:space="preserve"> numbers. </w:t>
      </w:r>
      <w:r w:rsidR="00A23229">
        <w:t xml:space="preserve">What stands out to me with Target is the considerable jump in each metric for 2021 and I believe the pandemic played an impact in that. </w:t>
      </w:r>
      <w:r w:rsidR="0088192D">
        <w:t xml:space="preserve">Their distribution channels enabled this growth as demand for goods, particularly through digital </w:t>
      </w:r>
      <w:r w:rsidR="00903327">
        <w:t>mediums.</w:t>
      </w:r>
    </w:p>
    <w:p w14:paraId="223D8955" w14:textId="2DCA45B1" w:rsidR="00903327" w:rsidRDefault="00903327" w:rsidP="000A625D">
      <w:pPr>
        <w:spacing w:line="480" w:lineRule="auto"/>
        <w:ind w:left="-5"/>
      </w:pPr>
    </w:p>
    <w:p w14:paraId="43E0598A" w14:textId="1DA16DB7" w:rsidR="00903327" w:rsidRDefault="00903327" w:rsidP="000A625D">
      <w:pPr>
        <w:spacing w:line="480" w:lineRule="auto"/>
        <w:ind w:left="-5"/>
      </w:pPr>
      <w:r>
        <w:t xml:space="preserve">Dollar Tree </w:t>
      </w:r>
      <w:r w:rsidR="00401E87">
        <w:t xml:space="preserve">and their figures needs a different consideration when evaluating. </w:t>
      </w:r>
      <w:r w:rsidR="00CC4447">
        <w:t xml:space="preserve">Their dip in 2019 in terms of ROA, ROE and profit margin I would attribute to their consolidation efforts and their growth in consecutive years reflects that these decisions have been </w:t>
      </w:r>
      <w:r w:rsidR="00B2533B">
        <w:t xml:space="preserve">worth the risk so far. </w:t>
      </w:r>
      <w:r w:rsidR="00054998">
        <w:t xml:space="preserve">Their numbers in 2018 were rather strong and I would infer that </w:t>
      </w:r>
      <w:r w:rsidR="00FD3F94">
        <w:t xml:space="preserve">in the next year's reporting, numbers should be closer to 2018. </w:t>
      </w:r>
      <w:r w:rsidR="001F3F47">
        <w:t xml:space="preserve">Despite being in the same industry as Target, they have not had the same pandemic successes due to limited </w:t>
      </w:r>
      <w:r w:rsidR="00F32F33">
        <w:t xml:space="preserve">channels, but as the economy began to reopen around the country, I believe this </w:t>
      </w:r>
      <w:r w:rsidR="00944FD0">
        <w:t xml:space="preserve">will have a positive impact on their figures. </w:t>
      </w:r>
    </w:p>
    <w:p w14:paraId="666F04EE" w14:textId="77777777" w:rsidR="00EB5F43" w:rsidRDefault="002B591A">
      <w:pPr>
        <w:spacing w:after="27" w:line="259" w:lineRule="auto"/>
        <w:ind w:left="0" w:firstLine="0"/>
      </w:pPr>
      <w:r>
        <w:t xml:space="preserve">  </w:t>
      </w:r>
      <w:r>
        <w:rPr>
          <w:b/>
        </w:rPr>
        <w:t xml:space="preserve"> </w:t>
      </w:r>
    </w:p>
    <w:p w14:paraId="4C1D1020" w14:textId="77777777" w:rsidR="00EB5F43" w:rsidRDefault="002B591A">
      <w:pPr>
        <w:pStyle w:val="Heading1"/>
        <w:ind w:left="-5"/>
      </w:pPr>
      <w:r>
        <w:t xml:space="preserve">Stock Price Trend Table  </w:t>
      </w:r>
    </w:p>
    <w:p w14:paraId="12008A86" w14:textId="40968200" w:rsidR="00EB5F43" w:rsidRDefault="00EB5F43">
      <w:pPr>
        <w:ind w:left="-5"/>
        <w:rPr>
          <w:b/>
        </w:rPr>
      </w:pPr>
    </w:p>
    <w:p w14:paraId="0EF4883A" w14:textId="77777777" w:rsidR="00937779" w:rsidRDefault="00937779">
      <w:pPr>
        <w:ind w:left="-5"/>
        <w:rPr>
          <w:b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DA1DB3" w:rsidRPr="0061277B" w14:paraId="1B1940ED" w14:textId="77777777" w:rsidTr="00DA1DB3">
        <w:tc>
          <w:tcPr>
            <w:tcW w:w="1557" w:type="dxa"/>
          </w:tcPr>
          <w:p w14:paraId="2D4D6987" w14:textId="6460114D" w:rsidR="00DA1DB3" w:rsidRPr="0061277B" w:rsidRDefault="00C22F46">
            <w:pPr>
              <w:ind w:left="0" w:firstLine="0"/>
              <w:rPr>
                <w:b/>
                <w:bCs/>
              </w:rPr>
            </w:pPr>
            <w:r w:rsidRPr="0061277B">
              <w:rPr>
                <w:b/>
                <w:bCs/>
              </w:rPr>
              <w:lastRenderedPageBreak/>
              <w:t xml:space="preserve">Target </w:t>
            </w:r>
          </w:p>
        </w:tc>
        <w:tc>
          <w:tcPr>
            <w:tcW w:w="1557" w:type="dxa"/>
          </w:tcPr>
          <w:p w14:paraId="214B77C4" w14:textId="0F4485D4" w:rsidR="00DA1DB3" w:rsidRPr="0061277B" w:rsidRDefault="0061277B">
            <w:pPr>
              <w:ind w:left="0" w:firstLine="0"/>
              <w:rPr>
                <w:b/>
                <w:bCs/>
              </w:rPr>
            </w:pPr>
            <w:r w:rsidRPr="0061277B">
              <w:rPr>
                <w:b/>
                <w:bCs/>
              </w:rPr>
              <w:t>2021</w:t>
            </w:r>
          </w:p>
        </w:tc>
        <w:tc>
          <w:tcPr>
            <w:tcW w:w="1558" w:type="dxa"/>
          </w:tcPr>
          <w:p w14:paraId="72D0A768" w14:textId="07CC3427" w:rsidR="00DA1DB3" w:rsidRPr="0061277B" w:rsidRDefault="0061277B">
            <w:pPr>
              <w:ind w:left="0" w:firstLine="0"/>
              <w:rPr>
                <w:b/>
                <w:bCs/>
              </w:rPr>
            </w:pPr>
            <w:r w:rsidRPr="0061277B">
              <w:rPr>
                <w:b/>
                <w:bCs/>
              </w:rPr>
              <w:t>2020</w:t>
            </w:r>
          </w:p>
        </w:tc>
        <w:tc>
          <w:tcPr>
            <w:tcW w:w="1558" w:type="dxa"/>
          </w:tcPr>
          <w:p w14:paraId="3ACA19EB" w14:textId="4029426E" w:rsidR="00DA1DB3" w:rsidRPr="0061277B" w:rsidRDefault="0061277B">
            <w:pPr>
              <w:ind w:left="0" w:firstLine="0"/>
              <w:rPr>
                <w:b/>
                <w:bCs/>
              </w:rPr>
            </w:pPr>
            <w:r w:rsidRPr="0061277B">
              <w:rPr>
                <w:b/>
                <w:bCs/>
              </w:rPr>
              <w:t>2019</w:t>
            </w:r>
          </w:p>
        </w:tc>
        <w:tc>
          <w:tcPr>
            <w:tcW w:w="1558" w:type="dxa"/>
          </w:tcPr>
          <w:p w14:paraId="0DD62DD2" w14:textId="338947B6" w:rsidR="00DA1DB3" w:rsidRPr="0061277B" w:rsidRDefault="0061277B">
            <w:pPr>
              <w:ind w:left="0" w:firstLine="0"/>
              <w:rPr>
                <w:b/>
                <w:bCs/>
              </w:rPr>
            </w:pPr>
            <w:r w:rsidRPr="0061277B">
              <w:rPr>
                <w:b/>
                <w:bCs/>
              </w:rPr>
              <w:t>2018</w:t>
            </w:r>
          </w:p>
        </w:tc>
        <w:tc>
          <w:tcPr>
            <w:tcW w:w="1558" w:type="dxa"/>
          </w:tcPr>
          <w:p w14:paraId="6CA89998" w14:textId="20299927" w:rsidR="00DA1DB3" w:rsidRPr="0061277B" w:rsidRDefault="0061277B">
            <w:pPr>
              <w:ind w:left="0" w:firstLine="0"/>
              <w:rPr>
                <w:b/>
                <w:bCs/>
              </w:rPr>
            </w:pPr>
            <w:r w:rsidRPr="0061277B">
              <w:rPr>
                <w:b/>
                <w:bCs/>
              </w:rPr>
              <w:t>2017</w:t>
            </w:r>
          </w:p>
        </w:tc>
      </w:tr>
      <w:tr w:rsidR="00DA1DB3" w14:paraId="57237672" w14:textId="77777777" w:rsidTr="00DA1DB3">
        <w:tc>
          <w:tcPr>
            <w:tcW w:w="1557" w:type="dxa"/>
          </w:tcPr>
          <w:p w14:paraId="32DC7C5F" w14:textId="56866404" w:rsidR="00DA1DB3" w:rsidRPr="003347A0" w:rsidRDefault="00C22F46">
            <w:pPr>
              <w:ind w:left="0" w:firstLine="0"/>
              <w:rPr>
                <w:b/>
                <w:bCs/>
              </w:rPr>
            </w:pPr>
            <w:r w:rsidRPr="003347A0">
              <w:rPr>
                <w:b/>
                <w:bCs/>
              </w:rPr>
              <w:t xml:space="preserve">Year End Stock Price </w:t>
            </w:r>
          </w:p>
        </w:tc>
        <w:tc>
          <w:tcPr>
            <w:tcW w:w="1557" w:type="dxa"/>
          </w:tcPr>
          <w:p w14:paraId="0FA05CA1" w14:textId="5B041600" w:rsidR="00DA1DB3" w:rsidRDefault="00AE2AB4">
            <w:pPr>
              <w:ind w:left="0" w:firstLine="0"/>
            </w:pPr>
            <w:r>
              <w:t>$259.62</w:t>
            </w:r>
          </w:p>
        </w:tc>
        <w:tc>
          <w:tcPr>
            <w:tcW w:w="1558" w:type="dxa"/>
          </w:tcPr>
          <w:p w14:paraId="0560BA45" w14:textId="125D53C6" w:rsidR="00DA1DB3" w:rsidRDefault="00AE2AB4">
            <w:pPr>
              <w:ind w:left="0" w:firstLine="0"/>
            </w:pPr>
            <w:r>
              <w:t>$176.53</w:t>
            </w:r>
          </w:p>
        </w:tc>
        <w:tc>
          <w:tcPr>
            <w:tcW w:w="1558" w:type="dxa"/>
          </w:tcPr>
          <w:p w14:paraId="4119DDF0" w14:textId="2E36D3B9" w:rsidR="00DA1DB3" w:rsidRDefault="00AE2AB4">
            <w:pPr>
              <w:ind w:left="0" w:firstLine="0"/>
            </w:pPr>
            <w:r>
              <w:t>$128.21</w:t>
            </w:r>
          </w:p>
        </w:tc>
        <w:tc>
          <w:tcPr>
            <w:tcW w:w="1558" w:type="dxa"/>
          </w:tcPr>
          <w:p w14:paraId="4F9C0BCC" w14:textId="34C9BF1C" w:rsidR="00DA1DB3" w:rsidRDefault="00AE2AB4">
            <w:pPr>
              <w:ind w:left="0" w:firstLine="0"/>
            </w:pPr>
            <w:r>
              <w:t>$</w:t>
            </w:r>
            <w:r w:rsidR="0093494D">
              <w:t>66.09</w:t>
            </w:r>
          </w:p>
        </w:tc>
        <w:tc>
          <w:tcPr>
            <w:tcW w:w="1558" w:type="dxa"/>
          </w:tcPr>
          <w:p w14:paraId="307D6F4C" w14:textId="75F4E8B9" w:rsidR="00DA1DB3" w:rsidRDefault="0093494D">
            <w:pPr>
              <w:ind w:left="0" w:firstLine="0"/>
            </w:pPr>
            <w:r>
              <w:t>$65.25</w:t>
            </w:r>
          </w:p>
        </w:tc>
      </w:tr>
    </w:tbl>
    <w:p w14:paraId="5D0C09B2" w14:textId="77777777" w:rsidR="00937779" w:rsidRDefault="00937779">
      <w:pPr>
        <w:ind w:left="-5"/>
      </w:pPr>
    </w:p>
    <w:p w14:paraId="27C802FF" w14:textId="77777777" w:rsidR="00F26B9D" w:rsidRDefault="002B591A">
      <w:pPr>
        <w:spacing w:after="19" w:line="259" w:lineRule="auto"/>
        <w:ind w:left="0" w:firstLine="0"/>
        <w:rPr>
          <w:b/>
        </w:rPr>
      </w:pPr>
      <w:r>
        <w:rPr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F26B9D" w14:paraId="4A64206A" w14:textId="77777777" w:rsidTr="00F26B9D">
        <w:tc>
          <w:tcPr>
            <w:tcW w:w="1557" w:type="dxa"/>
          </w:tcPr>
          <w:p w14:paraId="1D299DF0" w14:textId="607E5BD5" w:rsidR="00F26B9D" w:rsidRDefault="00F26B9D">
            <w:pPr>
              <w:spacing w:after="19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Dollar Tree </w:t>
            </w:r>
          </w:p>
        </w:tc>
        <w:tc>
          <w:tcPr>
            <w:tcW w:w="1557" w:type="dxa"/>
          </w:tcPr>
          <w:p w14:paraId="70C5C3BB" w14:textId="192DA8E2" w:rsidR="00F26B9D" w:rsidRDefault="00F26B9D">
            <w:pPr>
              <w:spacing w:after="1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1558" w:type="dxa"/>
          </w:tcPr>
          <w:p w14:paraId="77EBFE6A" w14:textId="4A8456A0" w:rsidR="00F26B9D" w:rsidRDefault="00F26B9D">
            <w:pPr>
              <w:spacing w:after="1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1558" w:type="dxa"/>
          </w:tcPr>
          <w:p w14:paraId="0085F048" w14:textId="2BAD3C65" w:rsidR="00F26B9D" w:rsidRDefault="00F26B9D">
            <w:pPr>
              <w:spacing w:after="1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1558" w:type="dxa"/>
          </w:tcPr>
          <w:p w14:paraId="609CD275" w14:textId="46842220" w:rsidR="00F26B9D" w:rsidRDefault="00F26B9D">
            <w:pPr>
              <w:spacing w:after="1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1558" w:type="dxa"/>
          </w:tcPr>
          <w:p w14:paraId="7B42BD46" w14:textId="3C29A266" w:rsidR="00F26B9D" w:rsidRDefault="00F26B9D">
            <w:pPr>
              <w:spacing w:after="1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2017</w:t>
            </w:r>
          </w:p>
        </w:tc>
      </w:tr>
      <w:tr w:rsidR="00F26B9D" w14:paraId="56C2F325" w14:textId="77777777" w:rsidTr="00F26B9D">
        <w:tc>
          <w:tcPr>
            <w:tcW w:w="1557" w:type="dxa"/>
          </w:tcPr>
          <w:p w14:paraId="7E3C5141" w14:textId="4105EC42" w:rsidR="00F26B9D" w:rsidRDefault="00F26B9D">
            <w:pPr>
              <w:spacing w:after="19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Year End Stock Price </w:t>
            </w:r>
          </w:p>
        </w:tc>
        <w:tc>
          <w:tcPr>
            <w:tcW w:w="1557" w:type="dxa"/>
          </w:tcPr>
          <w:p w14:paraId="68AD7FCF" w14:textId="48BCFE9A" w:rsidR="00F26B9D" w:rsidRPr="00C9322F" w:rsidRDefault="00C9322F">
            <w:pPr>
              <w:spacing w:after="19" w:line="259" w:lineRule="auto"/>
              <w:ind w:left="0" w:firstLine="0"/>
              <w:rPr>
                <w:bCs/>
              </w:rPr>
            </w:pPr>
            <w:r w:rsidRPr="00C9322F">
              <w:rPr>
                <w:bCs/>
              </w:rPr>
              <w:t>$107.76</w:t>
            </w:r>
          </w:p>
        </w:tc>
        <w:tc>
          <w:tcPr>
            <w:tcW w:w="1558" w:type="dxa"/>
          </w:tcPr>
          <w:p w14:paraId="503B08B6" w14:textId="2EB14465" w:rsidR="00F26B9D" w:rsidRPr="00C9322F" w:rsidRDefault="00C9322F">
            <w:pPr>
              <w:spacing w:after="1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$108.04</w:t>
            </w:r>
          </w:p>
        </w:tc>
        <w:tc>
          <w:tcPr>
            <w:tcW w:w="1558" w:type="dxa"/>
          </w:tcPr>
          <w:p w14:paraId="414FA4B0" w14:textId="5AABAD9F" w:rsidR="00F26B9D" w:rsidRPr="00C9322F" w:rsidRDefault="00067DC2">
            <w:pPr>
              <w:spacing w:after="1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$94.05</w:t>
            </w:r>
          </w:p>
        </w:tc>
        <w:tc>
          <w:tcPr>
            <w:tcW w:w="1558" w:type="dxa"/>
          </w:tcPr>
          <w:p w14:paraId="6B062724" w14:textId="336B1E7F" w:rsidR="00F26B9D" w:rsidRPr="00C9322F" w:rsidRDefault="00067DC2">
            <w:pPr>
              <w:spacing w:after="1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$90.32</w:t>
            </w:r>
          </w:p>
        </w:tc>
        <w:tc>
          <w:tcPr>
            <w:tcW w:w="1558" w:type="dxa"/>
          </w:tcPr>
          <w:p w14:paraId="66188C15" w14:textId="7014ED80" w:rsidR="00F26B9D" w:rsidRPr="00C9322F" w:rsidRDefault="00067DC2">
            <w:pPr>
              <w:spacing w:after="1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$107.31</w:t>
            </w:r>
          </w:p>
        </w:tc>
      </w:tr>
    </w:tbl>
    <w:p w14:paraId="39CEE390" w14:textId="2514BDF4" w:rsidR="00EB5F43" w:rsidRDefault="00EB5F43">
      <w:pPr>
        <w:spacing w:after="19" w:line="259" w:lineRule="auto"/>
        <w:ind w:left="0" w:firstLine="0"/>
        <w:rPr>
          <w:b/>
        </w:rPr>
      </w:pPr>
    </w:p>
    <w:p w14:paraId="05B41024" w14:textId="77777777" w:rsidR="0093494D" w:rsidRDefault="0093494D">
      <w:pPr>
        <w:spacing w:after="19" w:line="259" w:lineRule="auto"/>
        <w:ind w:left="0" w:firstLine="0"/>
      </w:pPr>
    </w:p>
    <w:p w14:paraId="0FCD87E8" w14:textId="1BB9FB6A" w:rsidR="00EB5F43" w:rsidRDefault="002B591A" w:rsidP="000A625D">
      <w:pPr>
        <w:spacing w:after="22" w:line="480" w:lineRule="auto"/>
        <w:ind w:left="-5"/>
      </w:pPr>
      <w:r>
        <w:rPr>
          <w:b/>
        </w:rPr>
        <w:t xml:space="preserve">Stock Price Trend Analysis Explanation </w:t>
      </w:r>
    </w:p>
    <w:p w14:paraId="58E26D8A" w14:textId="01911A9B" w:rsidR="00562B5A" w:rsidRDefault="00562B5A" w:rsidP="000A625D">
      <w:pPr>
        <w:spacing w:line="480" w:lineRule="auto"/>
        <w:ind w:left="-5"/>
      </w:pPr>
    </w:p>
    <w:p w14:paraId="36B66D1F" w14:textId="196A6864" w:rsidR="00562B5A" w:rsidRDefault="000D08F5" w:rsidP="000A625D">
      <w:pPr>
        <w:spacing w:line="480" w:lineRule="auto"/>
        <w:ind w:left="-5"/>
      </w:pPr>
      <w:r>
        <w:t xml:space="preserve">I don’t find Dollar Tree's dip between 2018 and 2019 concerning as their restructuring </w:t>
      </w:r>
      <w:r w:rsidR="00C55E74">
        <w:t xml:space="preserve">likely played a role in the price fluctuations. What I find </w:t>
      </w:r>
      <w:r w:rsidR="009518A5">
        <w:t xml:space="preserve">optimism in is that in the following years, stock prices have returned to pre-restructure </w:t>
      </w:r>
      <w:r w:rsidR="00674833">
        <w:t xml:space="preserve">levels and have remained consistent despite the uncertainty in the markets from the pandemic. </w:t>
      </w:r>
    </w:p>
    <w:p w14:paraId="22337329" w14:textId="2AD5B387" w:rsidR="00674833" w:rsidRDefault="00674833" w:rsidP="000A625D">
      <w:pPr>
        <w:spacing w:line="480" w:lineRule="auto"/>
        <w:ind w:left="-5"/>
      </w:pPr>
    </w:p>
    <w:p w14:paraId="63550E65" w14:textId="05A168DB" w:rsidR="00674833" w:rsidRDefault="00674833" w:rsidP="000A625D">
      <w:pPr>
        <w:spacing w:line="480" w:lineRule="auto"/>
        <w:ind w:left="-5"/>
      </w:pPr>
      <w:r>
        <w:t xml:space="preserve">Target has shown to be a worthwhile investment in terms of stock gains. </w:t>
      </w:r>
      <w:r w:rsidR="005C0B00">
        <w:t xml:space="preserve">Each year there has been an increase in price with </w:t>
      </w:r>
      <w:r w:rsidR="00734C2E">
        <w:t xml:space="preserve">a 94% increase from 2018 to 2019 and significant growth each year following. </w:t>
      </w:r>
      <w:r w:rsidR="00C7213E">
        <w:t xml:space="preserve">The fact that </w:t>
      </w:r>
      <w:r w:rsidR="00573447">
        <w:t xml:space="preserve">valuation increases were not impacted </w:t>
      </w:r>
      <w:r w:rsidR="00CF2D56">
        <w:t xml:space="preserve">by or reliant on market volatility or </w:t>
      </w:r>
      <w:r w:rsidR="00C57AD9">
        <w:t xml:space="preserve">increased demand by the pandemic should bring confidence to current and potential investors. </w:t>
      </w:r>
    </w:p>
    <w:p w14:paraId="5AE37C89" w14:textId="77777777" w:rsidR="00EB5F43" w:rsidRDefault="002B591A" w:rsidP="000A625D">
      <w:pPr>
        <w:spacing w:after="19" w:line="480" w:lineRule="auto"/>
        <w:ind w:left="0" w:firstLine="0"/>
      </w:pPr>
      <w:r>
        <w:t xml:space="preserve"> </w:t>
      </w:r>
    </w:p>
    <w:p w14:paraId="642D88E1" w14:textId="77777777" w:rsidR="00EB5F43" w:rsidRDefault="002B591A" w:rsidP="000A625D">
      <w:pPr>
        <w:pStyle w:val="Heading1"/>
        <w:spacing w:line="480" w:lineRule="auto"/>
        <w:ind w:left="-5"/>
      </w:pPr>
      <w:r>
        <w:t xml:space="preserve">SWOT Analysis </w:t>
      </w:r>
    </w:p>
    <w:p w14:paraId="085152E9" w14:textId="77777777" w:rsidR="00F018C9" w:rsidRDefault="00F018C9" w:rsidP="000A625D">
      <w:pPr>
        <w:spacing w:after="209" w:line="480" w:lineRule="auto"/>
        <w:ind w:left="-5"/>
      </w:pPr>
    </w:p>
    <w:p w14:paraId="1A3D6862" w14:textId="372E5A77" w:rsidR="00C42B26" w:rsidRDefault="00FD3AC5" w:rsidP="000A625D">
      <w:pPr>
        <w:spacing w:after="209" w:line="480" w:lineRule="auto"/>
        <w:ind w:left="-5"/>
      </w:pPr>
      <w:r>
        <w:t xml:space="preserve">Both Target and Dollar Tree </w:t>
      </w:r>
      <w:r w:rsidR="009374C1">
        <w:t xml:space="preserve">had their financial performance acknowledged as </w:t>
      </w:r>
      <w:r w:rsidR="002F4EA1">
        <w:t>a strength</w:t>
      </w:r>
      <w:r w:rsidR="00A92DE4">
        <w:t xml:space="preserve"> as well as multiple selling channels. It’s the point about Target's </w:t>
      </w:r>
      <w:r w:rsidR="00B36DF7">
        <w:t xml:space="preserve">inventory </w:t>
      </w:r>
      <w:r w:rsidR="00B36DF7">
        <w:lastRenderedPageBreak/>
        <w:t xml:space="preserve">turnover ratio that further supports my recommendation </w:t>
      </w:r>
      <w:r w:rsidR="009E6F9F">
        <w:t xml:space="preserve">and I think also supports the opportunities </w:t>
      </w:r>
      <w:r w:rsidR="005942C6">
        <w:t>in launching new products and putting emphasis on e-commerce</w:t>
      </w:r>
      <w:r w:rsidR="001444E4">
        <w:t xml:space="preserve">. I find that the e-commerce opportunity for Dollar Tree is not only valid, but the next step for the company, but Target's current presence provides </w:t>
      </w:r>
      <w:r w:rsidR="00E01140">
        <w:t xml:space="preserve">more stability in investment. </w:t>
      </w:r>
    </w:p>
    <w:p w14:paraId="5DF608FB" w14:textId="38E3D8DB" w:rsidR="009E45B1" w:rsidRDefault="00E01140" w:rsidP="000A625D">
      <w:pPr>
        <w:spacing w:after="209" w:line="480" w:lineRule="auto"/>
        <w:ind w:left="-5"/>
      </w:pPr>
      <w:r>
        <w:t xml:space="preserve">As it is a strength for Target, it's </w:t>
      </w:r>
      <w:r w:rsidR="0024776D">
        <w:t xml:space="preserve">appropriate for inventory turnover to be a weakness for Dollar Tree, but I can see this improving as they expand their </w:t>
      </w:r>
      <w:r w:rsidR="00C42B26">
        <w:t xml:space="preserve">network. For Target, </w:t>
      </w:r>
      <w:r w:rsidR="00C02B63">
        <w:t xml:space="preserve">international presence does lack as they primarily </w:t>
      </w:r>
      <w:r w:rsidR="00547110">
        <w:t>operate in the US and this limits their ability to generate revenue, especially compared to competitors in the space</w:t>
      </w:r>
      <w:r w:rsidR="006F3A12">
        <w:t xml:space="preserve">. The threats of supply chain issues and </w:t>
      </w:r>
      <w:r w:rsidR="00DA4495">
        <w:t xml:space="preserve">risk with suppliers is not unique to each of these companies, but </w:t>
      </w:r>
      <w:r w:rsidR="00152573">
        <w:t xml:space="preserve">are two of the biggest </w:t>
      </w:r>
      <w:r w:rsidR="00027EF8">
        <w:t xml:space="preserve">concerns. As companies across all industries </w:t>
      </w:r>
      <w:r w:rsidR="00000CCD">
        <w:t xml:space="preserve">struggle with supply chain issues, </w:t>
      </w:r>
      <w:r w:rsidR="00A52C6D">
        <w:t xml:space="preserve">I believe Target is in a better position to </w:t>
      </w:r>
      <w:r w:rsidR="00F018C9">
        <w:t>adapt as needed.</w:t>
      </w:r>
    </w:p>
    <w:p w14:paraId="26EE5890" w14:textId="77777777" w:rsidR="00EB5F43" w:rsidRDefault="002B591A" w:rsidP="000A625D">
      <w:pPr>
        <w:pStyle w:val="Heading1"/>
        <w:spacing w:line="480" w:lineRule="auto"/>
        <w:ind w:left="-5"/>
      </w:pPr>
      <w:r>
        <w:t xml:space="preserve">Financial Journal Review  </w:t>
      </w:r>
    </w:p>
    <w:p w14:paraId="05582060" w14:textId="77777777" w:rsidR="00EB5F43" w:rsidRDefault="002B591A" w:rsidP="000A625D">
      <w:pPr>
        <w:spacing w:after="19" w:line="480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EA8EF55" w14:textId="2C7F6A27" w:rsidR="008B58A3" w:rsidRPr="00863395" w:rsidRDefault="004E2838" w:rsidP="000A625D">
      <w:pPr>
        <w:spacing w:after="19" w:line="480" w:lineRule="auto"/>
        <w:ind w:left="0" w:firstLine="0"/>
        <w:rPr>
          <w:bCs/>
        </w:rPr>
      </w:pPr>
      <w:r w:rsidRPr="00863395">
        <w:rPr>
          <w:bCs/>
        </w:rPr>
        <w:t xml:space="preserve">Target's multi-channel sales has been a strong point of theirs each year with significant </w:t>
      </w:r>
      <w:r w:rsidR="0069134E" w:rsidRPr="00863395">
        <w:rPr>
          <w:bCs/>
        </w:rPr>
        <w:t xml:space="preserve">increases during the pandemic years. As highlighted in the Motley Fool, </w:t>
      </w:r>
      <w:r w:rsidR="00E038E9" w:rsidRPr="00863395">
        <w:rPr>
          <w:bCs/>
        </w:rPr>
        <w:t xml:space="preserve">comparable sales were up 12.7% in the third quarter earnings released this week </w:t>
      </w:r>
      <w:r w:rsidR="00C016D3" w:rsidRPr="00863395">
        <w:rPr>
          <w:bCs/>
        </w:rPr>
        <w:t xml:space="preserve">with </w:t>
      </w:r>
      <w:r w:rsidR="00F53183" w:rsidRPr="00863395">
        <w:rPr>
          <w:bCs/>
        </w:rPr>
        <w:t xml:space="preserve">high traffic and consumer </w:t>
      </w:r>
      <w:r w:rsidR="00945DC2" w:rsidRPr="00863395">
        <w:rPr>
          <w:bCs/>
        </w:rPr>
        <w:t>demand as well as gains in use of same-day digital fulfillment services.</w:t>
      </w:r>
      <w:r w:rsidR="00D66714" w:rsidRPr="00863395">
        <w:rPr>
          <w:bCs/>
        </w:rPr>
        <w:t xml:space="preserve"> </w:t>
      </w:r>
      <w:r w:rsidR="00F8149A" w:rsidRPr="00863395">
        <w:rPr>
          <w:bCs/>
        </w:rPr>
        <w:t xml:space="preserve">Target's adaptability </w:t>
      </w:r>
      <w:r w:rsidR="008A2CAD" w:rsidRPr="00863395">
        <w:rPr>
          <w:bCs/>
        </w:rPr>
        <w:t xml:space="preserve">and financial strength has provided them the opportunity </w:t>
      </w:r>
      <w:r w:rsidR="00EC0D65" w:rsidRPr="00863395">
        <w:rPr>
          <w:bCs/>
        </w:rPr>
        <w:t>to reroute goods to less congested ports and charter their own shipping vessels (</w:t>
      </w:r>
      <w:proofErr w:type="spellStart"/>
      <w:r w:rsidR="00EC0D65" w:rsidRPr="00863395">
        <w:rPr>
          <w:bCs/>
        </w:rPr>
        <w:t>Kare</w:t>
      </w:r>
      <w:proofErr w:type="spellEnd"/>
      <w:r w:rsidR="00EC0D65" w:rsidRPr="00863395">
        <w:rPr>
          <w:bCs/>
        </w:rPr>
        <w:t xml:space="preserve"> 11, 2021). </w:t>
      </w:r>
      <w:r w:rsidR="007E058C" w:rsidRPr="00863395">
        <w:rPr>
          <w:bCs/>
        </w:rPr>
        <w:t xml:space="preserve">Target's private </w:t>
      </w:r>
      <w:r w:rsidR="0076508E" w:rsidRPr="00863395">
        <w:rPr>
          <w:bCs/>
        </w:rPr>
        <w:t xml:space="preserve">brands gives them additional options in capturing market share and </w:t>
      </w:r>
      <w:r w:rsidR="0078632E" w:rsidRPr="00863395">
        <w:rPr>
          <w:bCs/>
        </w:rPr>
        <w:t xml:space="preserve">now has competitors attempting to copy their success. Of their 48 private brands, 10 are worth </w:t>
      </w:r>
      <w:r w:rsidR="00F94A2B" w:rsidRPr="00863395">
        <w:rPr>
          <w:bCs/>
        </w:rPr>
        <w:t>a billion dollars according to a Target spokesperson (</w:t>
      </w:r>
      <w:proofErr w:type="spellStart"/>
      <w:r w:rsidR="005A6D58" w:rsidRPr="00863395">
        <w:rPr>
          <w:bCs/>
        </w:rPr>
        <w:t>Monteros</w:t>
      </w:r>
      <w:proofErr w:type="spellEnd"/>
      <w:r w:rsidR="005A6D58" w:rsidRPr="00863395">
        <w:rPr>
          <w:bCs/>
        </w:rPr>
        <w:t>, 2021).</w:t>
      </w:r>
    </w:p>
    <w:p w14:paraId="49ECD7CF" w14:textId="77777777" w:rsidR="005A6D58" w:rsidRPr="00863395" w:rsidRDefault="005A6D58" w:rsidP="000A625D">
      <w:pPr>
        <w:spacing w:after="19" w:line="480" w:lineRule="auto"/>
        <w:ind w:left="0" w:firstLine="0"/>
        <w:rPr>
          <w:bCs/>
        </w:rPr>
      </w:pPr>
    </w:p>
    <w:p w14:paraId="4DD06BE5" w14:textId="47C4CA46" w:rsidR="005A6D58" w:rsidRDefault="00870972" w:rsidP="000A625D">
      <w:pPr>
        <w:spacing w:after="19" w:line="480" w:lineRule="auto"/>
        <w:ind w:left="0" w:firstLine="0"/>
        <w:rPr>
          <w:b/>
        </w:rPr>
      </w:pPr>
      <w:r w:rsidRPr="00863395">
        <w:rPr>
          <w:bCs/>
        </w:rPr>
        <w:t>Dollar Tree</w:t>
      </w:r>
      <w:r w:rsidR="00A403A5" w:rsidRPr="00863395">
        <w:rPr>
          <w:bCs/>
        </w:rPr>
        <w:t xml:space="preserve">, as well as other discount stores, </w:t>
      </w:r>
      <w:r w:rsidR="00634505" w:rsidRPr="00863395">
        <w:rPr>
          <w:bCs/>
        </w:rPr>
        <w:t xml:space="preserve">are seeing a drive in sales Jill Shah writes for Bloomberg. Discount stores saw </w:t>
      </w:r>
      <w:r w:rsidR="002552E8" w:rsidRPr="00863395">
        <w:rPr>
          <w:bCs/>
        </w:rPr>
        <w:t xml:space="preserve">a 65% increasing in spending </w:t>
      </w:r>
      <w:r w:rsidR="0042087E" w:rsidRPr="00863395">
        <w:rPr>
          <w:bCs/>
        </w:rPr>
        <w:t xml:space="preserve">compared to 2019 as consumers find ways to manage their budgets due to current inflation </w:t>
      </w:r>
      <w:r w:rsidR="00965A92" w:rsidRPr="00863395">
        <w:rPr>
          <w:bCs/>
        </w:rPr>
        <w:t>concerns.</w:t>
      </w:r>
      <w:r w:rsidR="00616C80" w:rsidRPr="00863395">
        <w:rPr>
          <w:bCs/>
        </w:rPr>
        <w:t xml:space="preserve"> As activist investor Mantle Ridge stakes $1.8 billion into the company, </w:t>
      </w:r>
      <w:r w:rsidR="00AC5133" w:rsidRPr="00863395">
        <w:rPr>
          <w:bCs/>
        </w:rPr>
        <w:t>he looks to capitalize on Dollar Tree's potential, particularly with Family Dollar, to try and expand the company's reach and adjust pricing to improve margins (Lee, 2021</w:t>
      </w:r>
      <w:r w:rsidR="002D1887" w:rsidRPr="00863395">
        <w:rPr>
          <w:bCs/>
        </w:rPr>
        <w:t xml:space="preserve">). These growth opportunities are not </w:t>
      </w:r>
      <w:r w:rsidR="000576B5" w:rsidRPr="00863395">
        <w:rPr>
          <w:bCs/>
        </w:rPr>
        <w:t xml:space="preserve">being wasted with Dollar Tree as earlier this month they announce a partnership with grocery delivery service </w:t>
      </w:r>
      <w:proofErr w:type="spellStart"/>
      <w:r w:rsidR="000576B5" w:rsidRPr="00863395">
        <w:rPr>
          <w:bCs/>
        </w:rPr>
        <w:t>Instacart</w:t>
      </w:r>
      <w:proofErr w:type="spellEnd"/>
      <w:r w:rsidR="006255D3" w:rsidRPr="00863395">
        <w:rPr>
          <w:bCs/>
        </w:rPr>
        <w:t xml:space="preserve"> to provide 1-hour delivery service from it’s nearly 13,000 stores within the US</w:t>
      </w:r>
      <w:r w:rsidR="00863395" w:rsidRPr="00863395">
        <w:rPr>
          <w:bCs/>
        </w:rPr>
        <w:t xml:space="preserve"> (</w:t>
      </w:r>
      <w:proofErr w:type="spellStart"/>
      <w:r w:rsidR="00863395" w:rsidRPr="00863395">
        <w:rPr>
          <w:bCs/>
        </w:rPr>
        <w:t>Mulloy</w:t>
      </w:r>
      <w:proofErr w:type="spellEnd"/>
      <w:r w:rsidR="00863395" w:rsidRPr="00863395">
        <w:rPr>
          <w:bCs/>
        </w:rPr>
        <w:t>, 2021)</w:t>
      </w:r>
      <w:r w:rsidR="006255D3" w:rsidRPr="00863395">
        <w:rPr>
          <w:bCs/>
        </w:rPr>
        <w:t xml:space="preserve">. </w:t>
      </w:r>
      <w:r w:rsidR="00553B76" w:rsidRPr="00863395">
        <w:rPr>
          <w:bCs/>
        </w:rPr>
        <w:t xml:space="preserve">As this partnership develops, Dollar Tree is able to </w:t>
      </w:r>
      <w:r w:rsidR="00EC0011" w:rsidRPr="00863395">
        <w:rPr>
          <w:bCs/>
        </w:rPr>
        <w:t>better serve customers as their shopping habits change and generate additional traffic and revenue.</w:t>
      </w:r>
      <w:r w:rsidR="00EC0011">
        <w:rPr>
          <w:b/>
        </w:rPr>
        <w:t xml:space="preserve"> </w:t>
      </w:r>
    </w:p>
    <w:p w14:paraId="5564F813" w14:textId="77777777" w:rsidR="00F171C2" w:rsidRDefault="00F171C2" w:rsidP="000A625D">
      <w:pPr>
        <w:spacing w:after="19" w:line="480" w:lineRule="auto"/>
        <w:ind w:left="0" w:firstLine="0"/>
      </w:pPr>
    </w:p>
    <w:p w14:paraId="20DEB4B4" w14:textId="77777777" w:rsidR="00EB5F43" w:rsidRDefault="002B591A" w:rsidP="000A625D">
      <w:pPr>
        <w:pStyle w:val="Heading1"/>
        <w:spacing w:line="480" w:lineRule="auto"/>
        <w:ind w:left="-5"/>
      </w:pPr>
      <w:r>
        <w:t xml:space="preserve">Conclusion </w:t>
      </w:r>
    </w:p>
    <w:p w14:paraId="655A05C1" w14:textId="499BB8F8" w:rsidR="00C4643A" w:rsidRDefault="00C4643A" w:rsidP="000A625D">
      <w:pPr>
        <w:spacing w:line="480" w:lineRule="auto"/>
        <w:ind w:left="-5"/>
      </w:pPr>
    </w:p>
    <w:p w14:paraId="7613E598" w14:textId="418BFBE7" w:rsidR="00C4643A" w:rsidRDefault="005607E6" w:rsidP="000A625D">
      <w:pPr>
        <w:spacing w:line="480" w:lineRule="auto"/>
        <w:ind w:left="-5"/>
      </w:pPr>
      <w:r>
        <w:t xml:space="preserve">After assessing the data, Dollar Tree is a stock that would be worth putting on a </w:t>
      </w:r>
      <w:proofErr w:type="spellStart"/>
      <w:r>
        <w:t>watchlist</w:t>
      </w:r>
      <w:proofErr w:type="spellEnd"/>
      <w:r>
        <w:t xml:space="preserve"> rather than in </w:t>
      </w:r>
      <w:r w:rsidR="00841F51">
        <w:t xml:space="preserve">your portfolio at this point, especially considering current supply chain issues and demand. </w:t>
      </w:r>
      <w:r w:rsidR="005B2B69">
        <w:t xml:space="preserve">Diversity is the optimal way to mitigate risks. </w:t>
      </w:r>
      <w:r w:rsidR="00AB0E7D">
        <w:t xml:space="preserve">The growth of Target, particularly when </w:t>
      </w:r>
      <w:r w:rsidR="0009608B">
        <w:t xml:space="preserve">assessed against competitors in the retail space such as Walmart and Amazon, </w:t>
      </w:r>
      <w:r w:rsidR="00CD0F35">
        <w:t xml:space="preserve">is a worthwhile investment. While I do not suggest they will </w:t>
      </w:r>
      <w:r w:rsidR="003F15E2">
        <w:t xml:space="preserve">take market share away from them, they have the ability and infrastructure to remain a major player in the space while generating </w:t>
      </w:r>
      <w:r w:rsidR="00EA4FC9">
        <w:t xml:space="preserve">consistent return on investment through increased </w:t>
      </w:r>
      <w:r w:rsidR="00EA4FC9">
        <w:lastRenderedPageBreak/>
        <w:t xml:space="preserve">stock valuation and dividend </w:t>
      </w:r>
      <w:r w:rsidR="00EE149E">
        <w:t xml:space="preserve">yield. </w:t>
      </w:r>
      <w:r w:rsidR="00AB1C0E">
        <w:t xml:space="preserve">With the current infrastructure in place, Target is better equipped to adapt to the changes in the industry and consumer shopping </w:t>
      </w:r>
      <w:r w:rsidR="00473215">
        <w:t>trends.</w:t>
      </w:r>
    </w:p>
    <w:p w14:paraId="666B11F1" w14:textId="77777777" w:rsidR="00EB5F43" w:rsidRDefault="002B591A" w:rsidP="000A625D">
      <w:pPr>
        <w:spacing w:after="19" w:line="480" w:lineRule="auto"/>
        <w:ind w:left="0" w:firstLine="0"/>
      </w:pPr>
      <w:r>
        <w:rPr>
          <w:b/>
        </w:rPr>
        <w:t xml:space="preserve"> </w:t>
      </w:r>
    </w:p>
    <w:p w14:paraId="349C36E6" w14:textId="77777777" w:rsidR="00EB5F43" w:rsidRDefault="002B591A" w:rsidP="000A625D">
      <w:pPr>
        <w:pStyle w:val="Heading1"/>
        <w:spacing w:line="480" w:lineRule="auto"/>
        <w:ind w:left="-5"/>
      </w:pPr>
      <w:r>
        <w:t xml:space="preserve">Reflection on the Financial Analysis Case </w:t>
      </w:r>
    </w:p>
    <w:p w14:paraId="67F2E20E" w14:textId="77777777" w:rsidR="00EB5F43" w:rsidRDefault="002B591A" w:rsidP="000A625D">
      <w:pPr>
        <w:spacing w:after="203" w:line="480" w:lineRule="auto"/>
        <w:ind w:left="-5"/>
      </w:pPr>
      <w:r>
        <w:t xml:space="preserve">In the reflection section, reflect on what you have learned in this financial analysis case and how you will be able to apply these skills to your personal and work life. </w:t>
      </w:r>
    </w:p>
    <w:p w14:paraId="3DEC6BB8" w14:textId="77777777" w:rsidR="00466C0A" w:rsidRDefault="004523CD" w:rsidP="000A625D">
      <w:pPr>
        <w:spacing w:after="203" w:line="480" w:lineRule="auto"/>
        <w:ind w:left="-5"/>
      </w:pPr>
      <w:r>
        <w:t xml:space="preserve">My thoughts on the financial analysis cases </w:t>
      </w:r>
      <w:r w:rsidR="006A36B5">
        <w:t>changed throughout the term. At the beginning, I saw it as just a major assignment I had to do in order to pass the class</w:t>
      </w:r>
      <w:r w:rsidR="00FE2E4A">
        <w:t xml:space="preserve">. I was relatively indifferent towards these as my undergrad </w:t>
      </w:r>
      <w:r w:rsidR="00CF4793">
        <w:t xml:space="preserve">was in marketing and management and my current concentration is business analytics. After not scoring well on the first </w:t>
      </w:r>
      <w:r w:rsidR="00A6547A">
        <w:t xml:space="preserve">one, according to my standards, I began to reshape my thinking. I may not be </w:t>
      </w:r>
      <w:r w:rsidR="002857A8">
        <w:t xml:space="preserve">in or working towards the accounting and finance functions of business, being able to read reports and analyze them is still incredibly important </w:t>
      </w:r>
      <w:r w:rsidR="000D178B">
        <w:t xml:space="preserve">for my education and future career development. </w:t>
      </w:r>
    </w:p>
    <w:p w14:paraId="3C960111" w14:textId="165674D2" w:rsidR="00EB2D8B" w:rsidRDefault="00F92E46" w:rsidP="009B50C4">
      <w:pPr>
        <w:spacing w:after="203" w:line="480" w:lineRule="auto"/>
        <w:ind w:left="-5"/>
      </w:pPr>
      <w:r>
        <w:t xml:space="preserve">I was able to further my knowledge of financial statements and better understand the decisions made </w:t>
      </w:r>
      <w:r w:rsidR="00A00568">
        <w:t xml:space="preserve">within these companies. I spent time looking at other companies as well to look at how they’ve navigated through the pandemic and the challenges it has brought. </w:t>
      </w:r>
      <w:r w:rsidR="00BD0438">
        <w:t xml:space="preserve">I have </w:t>
      </w:r>
      <w:r w:rsidR="00D90C9A">
        <w:t xml:space="preserve">passion for economics and have been able to find the connection between these two and it has helped me better understand economic conditions and how </w:t>
      </w:r>
      <w:r w:rsidR="00D45AE5">
        <w:t xml:space="preserve">businesses and corporations play a part in that. As I consider my career prospects and the possibility of starting my own business, having a better working knowledge </w:t>
      </w:r>
      <w:r w:rsidR="00F41DBF">
        <w:t>of financial analysis can help me in my own decision making.</w:t>
      </w:r>
    </w:p>
    <w:p w14:paraId="45538465" w14:textId="77777777" w:rsidR="00EB2D8B" w:rsidRDefault="00EB2D8B">
      <w:pPr>
        <w:ind w:left="-5"/>
      </w:pPr>
    </w:p>
    <w:p w14:paraId="5B2556E8" w14:textId="300B01FD" w:rsidR="00EB5F43" w:rsidRDefault="004523CD" w:rsidP="00EB2D8B">
      <w:pPr>
        <w:ind w:left="-5"/>
        <w:jc w:val="center"/>
        <w:rPr>
          <w:b/>
          <w:bCs/>
        </w:rPr>
      </w:pPr>
      <w:r>
        <w:rPr>
          <w:b/>
          <w:bCs/>
        </w:rPr>
        <w:t>References</w:t>
      </w:r>
    </w:p>
    <w:p w14:paraId="1D8E302F" w14:textId="77777777" w:rsidR="00EB2D8B" w:rsidRDefault="00EB2D8B" w:rsidP="00EB2D8B">
      <w:pPr>
        <w:ind w:left="-5"/>
        <w:jc w:val="center"/>
        <w:rPr>
          <w:b/>
          <w:bCs/>
        </w:rPr>
      </w:pPr>
    </w:p>
    <w:p w14:paraId="17A92EE9" w14:textId="77777777" w:rsidR="00C9248B" w:rsidRDefault="00C9248B">
      <w:pPr>
        <w:pStyle w:val="NormalWeb"/>
        <w:ind w:left="567" w:hanging="567"/>
        <w:divId w:val="1950501398"/>
      </w:pPr>
      <w:proofErr w:type="spellStart"/>
      <w:r>
        <w:t>Caplinger</w:t>
      </w:r>
      <w:proofErr w:type="spellEnd"/>
      <w:r>
        <w:t xml:space="preserve">, Dan. “These 2 Companies Just Showed the Strength of the Entire U.S. Economy.” </w:t>
      </w:r>
      <w:r>
        <w:rPr>
          <w:i/>
          <w:iCs/>
        </w:rPr>
        <w:t>The Motley Fool</w:t>
      </w:r>
      <w:r>
        <w:t xml:space="preserve">, The Motley Fool, 17 Nov. 2021, https://www.fool.com/investing/2021/11/17/these-2-companies-just-showed-the-strength-of-the/. </w:t>
      </w:r>
    </w:p>
    <w:p w14:paraId="54F3B66A" w14:textId="77777777" w:rsidR="006C0015" w:rsidRDefault="006C0015">
      <w:pPr>
        <w:pStyle w:val="NormalWeb"/>
        <w:ind w:left="567" w:hanging="567"/>
        <w:divId w:val="1038159843"/>
      </w:pPr>
      <w:proofErr w:type="spellStart"/>
      <w:r>
        <w:t>Monteros</w:t>
      </w:r>
      <w:proofErr w:type="spellEnd"/>
      <w:r>
        <w:t xml:space="preserve">, Maria. “Target Shaped Private Labels into Powerhouse Brands. Now Others Want to Do the Same.7.” </w:t>
      </w:r>
      <w:r>
        <w:rPr>
          <w:i/>
          <w:iCs/>
        </w:rPr>
        <w:t>Retail Dive</w:t>
      </w:r>
      <w:r>
        <w:t xml:space="preserve">, 10 Nov. 2021, https://www.retaildive.com/news/target-shaped-private-labels-into-powerhouse-brands-now-others-want-to-do/609762/. </w:t>
      </w:r>
    </w:p>
    <w:p w14:paraId="5B2764CD" w14:textId="77777777" w:rsidR="00E3747E" w:rsidRDefault="00E3747E">
      <w:pPr>
        <w:pStyle w:val="NormalWeb"/>
        <w:ind w:left="567" w:hanging="567"/>
        <w:divId w:val="1696153248"/>
      </w:pPr>
      <w:r>
        <w:t xml:space="preserve">Press, Author: Associated. “Target Overcomes Supply Chain Issues to See Sales Surge 13.2%.” </w:t>
      </w:r>
      <w:r>
        <w:rPr>
          <w:i/>
          <w:iCs/>
        </w:rPr>
        <w:t>kare11.Com</w:t>
      </w:r>
      <w:r>
        <w:t xml:space="preserve">, 17 Nov. 2021, https://www.kare11.com/article/money/business/target-overcomes-supply-chain-issues-see-sales-surge/89-645e20d6-9bfb-4c69-95e8-bcb8ab4b9db4. </w:t>
      </w:r>
    </w:p>
    <w:p w14:paraId="38824A4E" w14:textId="77777777" w:rsidR="00620EB5" w:rsidRDefault="00620EB5">
      <w:pPr>
        <w:pStyle w:val="NormalWeb"/>
        <w:ind w:left="567" w:hanging="567"/>
        <w:divId w:val="2003239056"/>
      </w:pPr>
      <w:r>
        <w:t xml:space="preserve">Shah, Jill. “Inflation-Pinched Shoppers Are Turning to Discount Stores Ahead of the Holidays.” </w:t>
      </w:r>
      <w:r>
        <w:rPr>
          <w:i/>
          <w:iCs/>
        </w:rPr>
        <w:t>Bloomberg.com</w:t>
      </w:r>
      <w:r>
        <w:t xml:space="preserve">, Bloomberg, 10 Nov. 2021, https://www.bloomberg.com/news/articles/2021-11-10/americans-turn-to-discount-stores-as-inflation-eats-into-budget. </w:t>
      </w:r>
    </w:p>
    <w:p w14:paraId="4AB88062" w14:textId="77777777" w:rsidR="00E42DAA" w:rsidRDefault="00E42DAA">
      <w:pPr>
        <w:pStyle w:val="NormalWeb"/>
        <w:ind w:left="567" w:hanging="567"/>
        <w:divId w:val="2090926623"/>
      </w:pPr>
      <w:r>
        <w:t xml:space="preserve">Lee, </w:t>
      </w:r>
      <w:proofErr w:type="spellStart"/>
      <w:r>
        <w:t>Jinjoo</w:t>
      </w:r>
      <w:proofErr w:type="spellEnd"/>
      <w:r>
        <w:t xml:space="preserve">. “Dollar Tree Shake-up Was Long Overdue.” </w:t>
      </w:r>
      <w:r>
        <w:rPr>
          <w:i/>
          <w:iCs/>
        </w:rPr>
        <w:t>The Wall Street Journal</w:t>
      </w:r>
      <w:r>
        <w:t xml:space="preserve">, Dow Jones &amp; Company, 15 Nov. 2021, https://www.wsj.com/articles/dollar-tree-shake-up-was-long-overdue-11636993746. </w:t>
      </w:r>
    </w:p>
    <w:p w14:paraId="22A413D6" w14:textId="77777777" w:rsidR="00467D42" w:rsidRDefault="00467D42">
      <w:pPr>
        <w:pStyle w:val="NormalWeb"/>
        <w:ind w:left="567" w:hanging="567"/>
        <w:divId w:val="286088723"/>
      </w:pPr>
      <w:proofErr w:type="spellStart"/>
      <w:r>
        <w:t>Mulloy</w:t>
      </w:r>
      <w:proofErr w:type="spellEnd"/>
      <w:r>
        <w:t>, Thomas. “</w:t>
      </w:r>
      <w:proofErr w:type="spellStart"/>
      <w:r>
        <w:t>Instacart</w:t>
      </w:r>
      <w:proofErr w:type="spellEnd"/>
      <w:r>
        <w:t xml:space="preserve"> and Dollar Tree Expand Partnership.” </w:t>
      </w:r>
      <w:proofErr w:type="spellStart"/>
      <w:r>
        <w:rPr>
          <w:i/>
          <w:iCs/>
        </w:rPr>
        <w:t>CStore</w:t>
      </w:r>
      <w:proofErr w:type="spellEnd"/>
      <w:r>
        <w:rPr>
          <w:i/>
          <w:iCs/>
        </w:rPr>
        <w:t xml:space="preserve"> Decisions</w:t>
      </w:r>
      <w:r>
        <w:t xml:space="preserve">, 1 Nov. 2021, https://cstoredecisions.com/2021/11/01/instacart-and-dollar-tree-expand-partnership/. </w:t>
      </w:r>
    </w:p>
    <w:p w14:paraId="5D6D6AB4" w14:textId="77777777" w:rsidR="00EB2D8B" w:rsidRPr="004523CD" w:rsidRDefault="00EB2D8B" w:rsidP="00EB2D8B">
      <w:pPr>
        <w:ind w:left="-5"/>
        <w:rPr>
          <w:b/>
          <w:bCs/>
        </w:rPr>
      </w:pPr>
    </w:p>
    <w:sectPr w:rsidR="00EB2D8B" w:rsidRPr="004523CD">
      <w:footerReference w:type="even" r:id="rId7"/>
      <w:footerReference w:type="default" r:id="rId8"/>
      <w:footerReference w:type="first" r:id="rId9"/>
      <w:pgSz w:w="12240" w:h="15840"/>
      <w:pgMar w:top="1413" w:right="1444" w:bottom="1439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A944" w14:textId="77777777" w:rsidR="005945F5" w:rsidRDefault="005945F5">
      <w:pPr>
        <w:spacing w:after="0" w:line="240" w:lineRule="auto"/>
      </w:pPr>
      <w:r>
        <w:separator/>
      </w:r>
    </w:p>
  </w:endnote>
  <w:endnote w:type="continuationSeparator" w:id="0">
    <w:p w14:paraId="78735656" w14:textId="77777777" w:rsidR="005945F5" w:rsidRDefault="0059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F885" w14:textId="77777777" w:rsidR="00EB5F43" w:rsidRDefault="002B591A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62ECCC1" w14:textId="77777777" w:rsidR="00EB5F43" w:rsidRDefault="002B591A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F299" w14:textId="77777777" w:rsidR="00EB5F43" w:rsidRDefault="002B591A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EF9B7DD" w14:textId="77777777" w:rsidR="00EB5F43" w:rsidRDefault="002B591A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2945" w14:textId="77777777" w:rsidR="00EB5F43" w:rsidRDefault="002B591A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B510426" w14:textId="77777777" w:rsidR="00EB5F43" w:rsidRDefault="002B591A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6825" w14:textId="77777777" w:rsidR="005945F5" w:rsidRDefault="005945F5">
      <w:pPr>
        <w:spacing w:after="0" w:line="240" w:lineRule="auto"/>
      </w:pPr>
      <w:r>
        <w:separator/>
      </w:r>
    </w:p>
  </w:footnote>
  <w:footnote w:type="continuationSeparator" w:id="0">
    <w:p w14:paraId="2B70E265" w14:textId="77777777" w:rsidR="005945F5" w:rsidRDefault="00594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AE0"/>
    <w:multiLevelType w:val="hybridMultilevel"/>
    <w:tmpl w:val="FFFFFFFF"/>
    <w:lvl w:ilvl="0" w:tplc="8B5CD68A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2C2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2F5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EBC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AA1C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E17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6F4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0D1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242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CF139F"/>
    <w:multiLevelType w:val="hybridMultilevel"/>
    <w:tmpl w:val="FFFFFFFF"/>
    <w:lvl w:ilvl="0" w:tplc="E8D6E2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3C0C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9C61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5E2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E2F6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9E39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404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F85A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B41F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33B48"/>
    <w:multiLevelType w:val="hybridMultilevel"/>
    <w:tmpl w:val="FFFFFFFF"/>
    <w:lvl w:ilvl="0" w:tplc="10CCA1AA">
      <w:start w:val="5"/>
      <w:numFmt w:val="decimal"/>
      <w:lvlText w:val="%1.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81B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4A12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0B8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B6F4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C2B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EE3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AA8F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824C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F43"/>
    <w:rsid w:val="00000CCD"/>
    <w:rsid w:val="00001D48"/>
    <w:rsid w:val="00027EF8"/>
    <w:rsid w:val="00040282"/>
    <w:rsid w:val="00054998"/>
    <w:rsid w:val="000576B5"/>
    <w:rsid w:val="000615D1"/>
    <w:rsid w:val="00066619"/>
    <w:rsid w:val="00067DC2"/>
    <w:rsid w:val="00071E4A"/>
    <w:rsid w:val="000842F9"/>
    <w:rsid w:val="000924B7"/>
    <w:rsid w:val="0009608B"/>
    <w:rsid w:val="00097109"/>
    <w:rsid w:val="000A625D"/>
    <w:rsid w:val="000C729F"/>
    <w:rsid w:val="000D08F5"/>
    <w:rsid w:val="000D178B"/>
    <w:rsid w:val="000D5CB5"/>
    <w:rsid w:val="00101265"/>
    <w:rsid w:val="00114139"/>
    <w:rsid w:val="0012034A"/>
    <w:rsid w:val="001444E4"/>
    <w:rsid w:val="00152573"/>
    <w:rsid w:val="00161CF0"/>
    <w:rsid w:val="00165F3A"/>
    <w:rsid w:val="00171163"/>
    <w:rsid w:val="00194D5A"/>
    <w:rsid w:val="001A374F"/>
    <w:rsid w:val="001A5FC1"/>
    <w:rsid w:val="001B13FC"/>
    <w:rsid w:val="001B4CF0"/>
    <w:rsid w:val="001E2D8C"/>
    <w:rsid w:val="001F3F47"/>
    <w:rsid w:val="00244DDE"/>
    <w:rsid w:val="0024776D"/>
    <w:rsid w:val="002552E8"/>
    <w:rsid w:val="00282159"/>
    <w:rsid w:val="002857A8"/>
    <w:rsid w:val="002A62DE"/>
    <w:rsid w:val="002B29EC"/>
    <w:rsid w:val="002B591A"/>
    <w:rsid w:val="002D1887"/>
    <w:rsid w:val="002F4EA1"/>
    <w:rsid w:val="003071B4"/>
    <w:rsid w:val="0032514C"/>
    <w:rsid w:val="00325F31"/>
    <w:rsid w:val="003303EF"/>
    <w:rsid w:val="00332593"/>
    <w:rsid w:val="003347A0"/>
    <w:rsid w:val="00336E85"/>
    <w:rsid w:val="003650BC"/>
    <w:rsid w:val="00367D41"/>
    <w:rsid w:val="003C6B61"/>
    <w:rsid w:val="003D59B8"/>
    <w:rsid w:val="003F15E2"/>
    <w:rsid w:val="003F7F31"/>
    <w:rsid w:val="00400EE7"/>
    <w:rsid w:val="00401E87"/>
    <w:rsid w:val="00406EAC"/>
    <w:rsid w:val="0042087E"/>
    <w:rsid w:val="00443C2B"/>
    <w:rsid w:val="004523CD"/>
    <w:rsid w:val="00455C18"/>
    <w:rsid w:val="0046081C"/>
    <w:rsid w:val="00466C0A"/>
    <w:rsid w:val="00467D42"/>
    <w:rsid w:val="004727A1"/>
    <w:rsid w:val="00473215"/>
    <w:rsid w:val="00473F2A"/>
    <w:rsid w:val="00496A70"/>
    <w:rsid w:val="004A4223"/>
    <w:rsid w:val="004B4769"/>
    <w:rsid w:val="004B49EC"/>
    <w:rsid w:val="004B72D3"/>
    <w:rsid w:val="004D3750"/>
    <w:rsid w:val="004E2838"/>
    <w:rsid w:val="0054325B"/>
    <w:rsid w:val="00547110"/>
    <w:rsid w:val="00553B76"/>
    <w:rsid w:val="0056065D"/>
    <w:rsid w:val="005607E6"/>
    <w:rsid w:val="00562B5A"/>
    <w:rsid w:val="00573447"/>
    <w:rsid w:val="005942C6"/>
    <w:rsid w:val="005945F5"/>
    <w:rsid w:val="005A4093"/>
    <w:rsid w:val="005A6D58"/>
    <w:rsid w:val="005B2B69"/>
    <w:rsid w:val="005B5AD0"/>
    <w:rsid w:val="005C0B00"/>
    <w:rsid w:val="005D0844"/>
    <w:rsid w:val="005F3227"/>
    <w:rsid w:val="0061277B"/>
    <w:rsid w:val="00616C80"/>
    <w:rsid w:val="0061758A"/>
    <w:rsid w:val="00620EB5"/>
    <w:rsid w:val="006255D3"/>
    <w:rsid w:val="00634505"/>
    <w:rsid w:val="00674833"/>
    <w:rsid w:val="00683E22"/>
    <w:rsid w:val="0069134E"/>
    <w:rsid w:val="0069732B"/>
    <w:rsid w:val="006A36B5"/>
    <w:rsid w:val="006C0015"/>
    <w:rsid w:val="006F3A12"/>
    <w:rsid w:val="007078F9"/>
    <w:rsid w:val="00734C2E"/>
    <w:rsid w:val="0075733F"/>
    <w:rsid w:val="0076508E"/>
    <w:rsid w:val="00776421"/>
    <w:rsid w:val="0078632E"/>
    <w:rsid w:val="007A7B95"/>
    <w:rsid w:val="007B60B4"/>
    <w:rsid w:val="007B76B0"/>
    <w:rsid w:val="007B7BD9"/>
    <w:rsid w:val="007C1275"/>
    <w:rsid w:val="007C758D"/>
    <w:rsid w:val="007D1006"/>
    <w:rsid w:val="007E058C"/>
    <w:rsid w:val="007F7E72"/>
    <w:rsid w:val="00841F51"/>
    <w:rsid w:val="00853409"/>
    <w:rsid w:val="00863395"/>
    <w:rsid w:val="00870972"/>
    <w:rsid w:val="0088192D"/>
    <w:rsid w:val="00892968"/>
    <w:rsid w:val="008A2CAD"/>
    <w:rsid w:val="008A476A"/>
    <w:rsid w:val="008B58A3"/>
    <w:rsid w:val="008C6222"/>
    <w:rsid w:val="008E1DDB"/>
    <w:rsid w:val="008F5C60"/>
    <w:rsid w:val="00903327"/>
    <w:rsid w:val="00914AB6"/>
    <w:rsid w:val="0093494D"/>
    <w:rsid w:val="009374C1"/>
    <w:rsid w:val="00937779"/>
    <w:rsid w:val="00944FD0"/>
    <w:rsid w:val="00945DC2"/>
    <w:rsid w:val="009518A5"/>
    <w:rsid w:val="00953BB7"/>
    <w:rsid w:val="00965A92"/>
    <w:rsid w:val="009677E7"/>
    <w:rsid w:val="00980469"/>
    <w:rsid w:val="00981C6C"/>
    <w:rsid w:val="00990307"/>
    <w:rsid w:val="009B50C4"/>
    <w:rsid w:val="009D6601"/>
    <w:rsid w:val="009E45B1"/>
    <w:rsid w:val="009E6F9F"/>
    <w:rsid w:val="00A00568"/>
    <w:rsid w:val="00A23229"/>
    <w:rsid w:val="00A374AA"/>
    <w:rsid w:val="00A403A5"/>
    <w:rsid w:val="00A52C6D"/>
    <w:rsid w:val="00A556D1"/>
    <w:rsid w:val="00A616E0"/>
    <w:rsid w:val="00A6547A"/>
    <w:rsid w:val="00A9003A"/>
    <w:rsid w:val="00A92DE4"/>
    <w:rsid w:val="00AA3901"/>
    <w:rsid w:val="00AB0E7D"/>
    <w:rsid w:val="00AB1C0E"/>
    <w:rsid w:val="00AC2ADA"/>
    <w:rsid w:val="00AC2D96"/>
    <w:rsid w:val="00AC5133"/>
    <w:rsid w:val="00AE2AB4"/>
    <w:rsid w:val="00B2533B"/>
    <w:rsid w:val="00B36DF7"/>
    <w:rsid w:val="00B3730F"/>
    <w:rsid w:val="00B44880"/>
    <w:rsid w:val="00B64861"/>
    <w:rsid w:val="00BA0B47"/>
    <w:rsid w:val="00BA2163"/>
    <w:rsid w:val="00BB0DD8"/>
    <w:rsid w:val="00BD0438"/>
    <w:rsid w:val="00C016D3"/>
    <w:rsid w:val="00C02B63"/>
    <w:rsid w:val="00C1318B"/>
    <w:rsid w:val="00C22F46"/>
    <w:rsid w:val="00C26E55"/>
    <w:rsid w:val="00C42B26"/>
    <w:rsid w:val="00C4643A"/>
    <w:rsid w:val="00C46BC1"/>
    <w:rsid w:val="00C55E74"/>
    <w:rsid w:val="00C57AD9"/>
    <w:rsid w:val="00C7213E"/>
    <w:rsid w:val="00C84C44"/>
    <w:rsid w:val="00C9248B"/>
    <w:rsid w:val="00C9322F"/>
    <w:rsid w:val="00CA21ED"/>
    <w:rsid w:val="00CA3A96"/>
    <w:rsid w:val="00CC4447"/>
    <w:rsid w:val="00CD0F35"/>
    <w:rsid w:val="00CF2D56"/>
    <w:rsid w:val="00CF4793"/>
    <w:rsid w:val="00D3066C"/>
    <w:rsid w:val="00D45AE5"/>
    <w:rsid w:val="00D66714"/>
    <w:rsid w:val="00D90C9A"/>
    <w:rsid w:val="00D93B1E"/>
    <w:rsid w:val="00DA1DB3"/>
    <w:rsid w:val="00DA2DD3"/>
    <w:rsid w:val="00DA4495"/>
    <w:rsid w:val="00DF39BF"/>
    <w:rsid w:val="00DF7376"/>
    <w:rsid w:val="00E01140"/>
    <w:rsid w:val="00E038E9"/>
    <w:rsid w:val="00E25E0A"/>
    <w:rsid w:val="00E30154"/>
    <w:rsid w:val="00E3747E"/>
    <w:rsid w:val="00E42DAA"/>
    <w:rsid w:val="00E725FA"/>
    <w:rsid w:val="00E906A8"/>
    <w:rsid w:val="00E90B31"/>
    <w:rsid w:val="00E93C0B"/>
    <w:rsid w:val="00E96D38"/>
    <w:rsid w:val="00EA4FC9"/>
    <w:rsid w:val="00EB2D8B"/>
    <w:rsid w:val="00EB5F43"/>
    <w:rsid w:val="00EC0011"/>
    <w:rsid w:val="00EC06A4"/>
    <w:rsid w:val="00EC0D65"/>
    <w:rsid w:val="00EC7AD0"/>
    <w:rsid w:val="00EE149E"/>
    <w:rsid w:val="00EF3B17"/>
    <w:rsid w:val="00F018C9"/>
    <w:rsid w:val="00F0295A"/>
    <w:rsid w:val="00F0367D"/>
    <w:rsid w:val="00F171C2"/>
    <w:rsid w:val="00F21D0D"/>
    <w:rsid w:val="00F26B9D"/>
    <w:rsid w:val="00F32F33"/>
    <w:rsid w:val="00F41DBF"/>
    <w:rsid w:val="00F53183"/>
    <w:rsid w:val="00F744F1"/>
    <w:rsid w:val="00F8149A"/>
    <w:rsid w:val="00F83A61"/>
    <w:rsid w:val="00F92E46"/>
    <w:rsid w:val="00F94A2B"/>
    <w:rsid w:val="00FB20B7"/>
    <w:rsid w:val="00FD3AC5"/>
    <w:rsid w:val="00FD3F94"/>
    <w:rsid w:val="00FD440B"/>
    <w:rsid w:val="00FE2E4A"/>
    <w:rsid w:val="00F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026BA"/>
  <w15:docId w15:val="{D06C01DF-3D22-954C-B4D7-C75961AE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8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248B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9</Pages>
  <Words>1831</Words>
  <Characters>10441</Characters>
  <Application>Microsoft Office Word</Application>
  <DocSecurity>0</DocSecurity>
  <Lines>87</Lines>
  <Paragraphs>24</Paragraphs>
  <ScaleCrop>false</ScaleCrop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Nye</dc:creator>
  <cp:keywords/>
  <cp:lastModifiedBy>Adam Nutt</cp:lastModifiedBy>
  <cp:revision>186</cp:revision>
  <dcterms:created xsi:type="dcterms:W3CDTF">2021-11-18T02:30:00Z</dcterms:created>
  <dcterms:modified xsi:type="dcterms:W3CDTF">2021-11-19T03:55:00Z</dcterms:modified>
</cp:coreProperties>
</file>