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color w:val="000000"/>
          <w:sz w:val="24"/>
          <w:szCs w:val="24"/>
          <w:rFonts w:ascii="Times New Roman" w:cs="Times New Roman" w:eastAsia="Times New Roman" w:hAnsi="Times New Roman"/>
        </w:rPr>
        <w:t xml:space="preserve">COVER</w:t>
      </w:r>
    </w:p>
    <w:p>
      <w:pPr>
        <w:sectPr>
          <w:pgSz w:w="11905" w:h="16837" w:orient="portrait"/>
          <w:pgMar w:top="2267" w:right="1700" w:bottom="1700" w:left="2267" w:header="708" w:footer="708" w:gutter="0"/>
          <w:pgNumType/>
          <w:docGrid w:linePitch="360"/>
        </w:sectPr>
      </w:pPr>
    </w:p>
    <w:p>
      <w:pPr>
        <w:jc w:val="center"/>
      </w:pPr>
      <w:r>
        <w:rPr>
          <w:b/>
          <w:bCs/>
          <w:color w:val="000000"/>
          <w:sz w:val="24"/>
          <w:szCs w:val="24"/>
          <w:rFonts w:ascii="Times New Roman" w:cs="Times New Roman" w:eastAsia="Times New Roman" w:hAnsi="Times New Roman"/>
        </w:rPr>
        <w:t xml:space="preserve">KATA PENGANTAR</w:t>
      </w:r>
    </w:p>
    <w:p>
      <w:pPr>
        <w:jc w:val="center"/>
      </w:pPr>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DAFTAR ISI</w:t>
      </w:r>
    </w:p>
    <w:p>
      <w:pPr>
        <w:sectPr>
          <w:footerReference w:type="default" r:id="rId6"/>
          <w:pgSz w:w="11905" w:h="16837" w:orient="portrait"/>
          <w:pgMar w:top="2267" w:right="1700" w:bottom="1700" w:left="2267" w:header="708" w:footer="708" w:gutter="0"/>
          <w:pgNumType w:start="1" w:fmt="lowerRoman" w:chapSep="emDash"/>
          <w:docGrid w:linePitch="360"/>
        </w:sectPr>
      </w:pPr>
    </w:p>
    <w:p>
      <w:pPr>
        <w:jc w:val="center"/>
      </w:pPr>
      <w:r>
        <w:rPr>
          <w:b/>
          <w:bCs/>
          <w:color w:val="000000"/>
          <w:sz w:val="24"/>
          <w:szCs w:val="24"/>
          <w:rFonts w:ascii="Times New Roman" w:cs="Times New Roman" w:eastAsia="Times New Roman" w:hAnsi="Times New Roman"/>
        </w:rPr>
        <w:t xml:space="preserve">BAB I</w:t>
      </w:r>
    </w:p>
    <w:p>
      <w:pPr>
        <w:jc w:val="center"/>
      </w:pPr>
      <w:r>
        <w:rPr>
          <w:b/>
          <w:bCs/>
          <w:color w:val="000000"/>
          <w:sz w:val="24"/>
          <w:szCs w:val="24"/>
          <w:rFonts w:ascii="Times New Roman" w:cs="Times New Roman" w:eastAsia="Times New Roman" w:hAnsi="Times New Roman"/>
        </w:rPr>
        <w:t xml:space="preserve">PENDAHULUAN</w:t>
      </w:r>
    </w:p>
    <w:p>
      <w:pPr>
        <w:jc w:val="center"/>
      </w:pPr>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BAB II</w:t>
      </w:r>
    </w:p>
    <w:p>
      <w:pPr>
        <w:jc w:val="center"/>
      </w:pPr>
      <w:r>
        <w:rPr>
          <w:b/>
          <w:bCs/>
          <w:color w:val="000000"/>
          <w:sz w:val="24"/>
          <w:szCs w:val="24"/>
          <w:rFonts w:ascii="Times New Roman" w:cs="Times New Roman" w:eastAsia="Times New Roman" w:hAnsi="Times New Roman"/>
        </w:rPr>
        <w:t xml:space="preserve">PEMBAHASAN</w:t>
      </w:r>
    </w:p>
    <w:p>
      <w:pPr>
        <w:jc w:val="center"/>
      </w:pPr>
      <w:r>
        <w:rPr>
          <w:color w:val="000000"/>
          <w:sz w:val="24"/>
          <w:szCs w:val="24"/>
          <w:rFonts w:ascii="Times New Roman" w:cs="Times New Roman" w:eastAsia="Times New Roman" w:hAnsi="Times New Roman"/>
        </w:rPr>
      </w:r>
    </w:p>
    <w:p>
      <w:pPr>
        <w:pStyle w:val="bold"/>
        <w:numPr>
          <w:ilvl w:val="0"/>
          <w:numId w:val="7"/>
        </w:numPr>
        <w:spacing w:line="360"/>
        <w:ind w:left="283" w:hanging="272" w:firstLine="0"/>
        <w:jc w:val="both"/>
      </w:pPr>
      <w:r>
        <w:rPr>
          <w:color w:val="000000"/>
          <w:sz w:val="24"/>
          <w:szCs w:val="24"/>
          <w:rFonts w:ascii="Times New Roman" w:cs="Times New Roman" w:eastAsia="Times New Roman" w:hAnsi="Times New Roman"/>
        </w:rPr>
        <w:t xml:space="preserve">Pengertian Tauhid Rububiyyah</w:t>
      </w:r>
    </w:p>
    <w:p>
      <w:pPr>
        <w:pStyle w:val="bold"/>
        <w:numPr>
          <w:ilvl w:val="0"/>
          <w:numId w:val="7"/>
        </w:numPr>
        <w:spacing w:line="360"/>
        <w:ind w:left="283" w:hanging="272" w:firstLine="0"/>
        <w:jc w:val="both"/>
      </w:pPr>
      <w:r>
        <w:rPr>
          <w:color w:val="000000"/>
          <w:sz w:val="24"/>
          <w:szCs w:val="24"/>
          <w:rFonts w:ascii="Times New Roman" w:cs="Times New Roman" w:eastAsia="Times New Roman" w:hAnsi="Times New Roman"/>
        </w:rPr>
        <w:t xml:space="preserve">Ayat-ayat Al-Qur'an yang Membahas Tauhid Rububiyyah</w:t>
      </w:r>
    </w:p>
    <w:p>
      <w:pPr>
        <w:pStyle w:val="bold"/>
        <w:numPr>
          <w:ilvl w:val="0"/>
          <w:numId w:val="7"/>
        </w:numPr>
        <w:spacing w:line="360"/>
        <w:ind w:left="283" w:hanging="272" w:firstLine="0"/>
        <w:jc w:val="both"/>
      </w:pPr>
      <w:r>
        <w:rPr>
          <w:color w:val="000000"/>
          <w:sz w:val="24"/>
          <w:szCs w:val="24"/>
          <w:rFonts w:ascii="Times New Roman" w:cs="Times New Roman" w:eastAsia="Times New Roman" w:hAnsi="Times New Roman"/>
        </w:rPr>
        <w:t xml:space="preserve">Pemahaman Ulama Mengenai Penafsiran Ayat-ayat Tauhid Rububiyyah</w:t>
      </w:r>
    </w:p>
    <w:p>
      <w:pPr>
        <w:pStyle w:val="bold"/>
        <w:numPr>
          <w:ilvl w:val="0"/>
          <w:numId w:val="7"/>
        </w:numPr>
        <w:spacing w:line="360"/>
        <w:ind w:left="283" w:hanging="272" w:firstLine="0"/>
        <w:jc w:val="both"/>
      </w:pPr>
      <w:r>
        <w:rPr>
          <w:color w:val="000000"/>
          <w:sz w:val="24"/>
          <w:szCs w:val="24"/>
          <w:rFonts w:ascii="Times New Roman" w:cs="Times New Roman" w:eastAsia="Times New Roman" w:hAnsi="Times New Roman"/>
        </w:rPr>
        <w:t xml:space="preserve">Contoh Praktek Tauhid Rububiyyah Dalam Kehidupan Sehari-Hari</w:t>
      </w:r>
      <w:r>
        <w:rPr>
          <w:rStyle w:val="FootnoteReference"/>
        </w:rPr>
        <w:footnoteReference w:id="1"/>
      </w:r>
    </w:p>
    <w:p>
      <w:pPr>
        <w:spacing w:line="360"/>
        <w:ind w:left="283" w:firstLine="555"/>
        <w:jc w:val="both"/>
      </w:pPr>
      <w:r>
        <w:rPr>
          <w:color w:val="000000"/>
          <w:sz w:val="24"/>
          <w:szCs w:val="24"/>
          <w:rFonts w:ascii="Times New Roman" w:cs="Times New Roman" w:eastAsia="Times New Roman" w:hAnsi="Times New Roman"/>
        </w:rPr>
        <w:t xml:space="preserve">Tauhid rububiyyah berarti bahwa beriman hanya kepada Allah SWT, Allah adalah satu-satunya Rabb yang memiliki, menciptakan, mengatur, merencanakan, menghidupkan dan mematikan serta menjaga seluruh alam semesta. Sebagaimana firman Allah SWT dalam Q.s Az-Zumar : 62</w:t>
      </w:r>
      <w:r>
        <w:rPr>
          <w:rStyle w:val="FootnoteReference"/>
        </w:rPr>
        <w:footnoteReference w:id="2"/>
      </w:r>
    </w:p>
    <w:p>
      <w:pPr>
        <w:spacing w:line="360"/>
        <w:ind w:left="283" w:firstLine="555"/>
        <w:jc w:val="both"/>
      </w:pP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 Kita harus selalu meyakini dan menanamkan dalam diri kita bahwa hanya Dia-lah Allah tuhan yang maha esa, dengan tidak melakukan dosa syirik atau menyekutukan Allah dengan menyembah sesembahan selain Allah atau yang lainnya.misalnya dalam keadaan sakit kita berdoa kepada Allah untuk kesembuhan kita bukan dengan cara pergi ke dukun.</w:t>
      </w:r>
      <w:r>
        <w:rPr>
          <w:rStyle w:val="FootnoteReference"/>
        </w:rPr>
        <w:footnoteReference w:id="3"/>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Menyadari bahwa segala nikmat dan berkah dalam hidup kita datang dari Allah SWT. Oleh karena itu, kita harus selalu bersyukur kepada Allah atas segala nikmat yang telah diberikan kepada kita. </w:t>
      </w:r>
      <w:r>
        <w:rPr>
          <w:rStyle w:val="FootnoteReference"/>
        </w:rPr>
        <w:footnoteReference w:id="4"/>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Menyadari dan mengakui bahwa kita tidak memiliki kekuatan dan kemampuan untuk mengendalikan atau mengubah apapun dalam hidup kita tanpa izin Allah. Misalnya kita tidak bisa membuat hujan turun, karena hal tersebut merupakan kekuasaan Allah. </w:t>
      </w:r>
      <w:r>
        <w:rPr>
          <w:rStyle w:val="FootnoteReference"/>
        </w:rPr>
        <w:footnoteReference w:id="5"/>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meyakini bahwa Allah SWT yang memiliki, menciptakan serta memelihara segala sesuatu yang ada di alam semesta ini. Sebagimana firman Allah dalm Q.s Al-A'raf : 54 :</w:t>
      </w:r>
      <w:r>
        <w:rPr>
          <w:rStyle w:val="FootnoteReference"/>
        </w:rPr>
        <w:footnoteReference w:id="6"/>
      </w:r>
    </w:p>
    <w:p>
      <w:pPr>
        <w:spacing w:line="360"/>
        <w:ind w:left="566" w:firstLine="555"/>
        <w:jc w:val="both"/>
      </w:pPr>
      <w:r>
        <w:rPr>
          <w:color w:val="000000"/>
          <w:sz w:val="24"/>
          <w:szCs w:val="24"/>
          <w:rFonts w:ascii="Times New Roman" w:cs="Times New Roman" w:eastAsia="Times New Roman" w:hAnsi="Times New Roman"/>
        </w:rPr>
        <w:t xml:space="preserve">Artinya : Sesungguhnya Tuhanmu adalah Allah yang telah menciptakan langit dan bumi dalam enam masa,274) kemudian Dia bersemayam di atas ʻArasy.275) Dia menutupkan malam pada siang yang mengikutinya dengan cepat. (Dia ciptakan) matahari, bulan, dan bintang-bintang tunduk pada perintah-Nya. Ingatlah! Hanya milik-Nyalah segala penciptaan dan urusan. Maha berlimpah anugerah Allah, Tuhan semesta alam. (Al-A'raf : 54)</w:t>
      </w:r>
      <w:r>
        <w:rPr>
          <w:rStyle w:val="FootnoteReference"/>
        </w:rPr>
        <w:footnoteReference w:id="7"/>
      </w:r>
    </w:p>
    <w:p>
      <w:pPr>
        <w:spacing w:line="360"/>
        <w:ind w:left="566" w:firstLine="555"/>
        <w:jc w:val="both"/>
      </w:pPr>
      <w:r>
        <w:rPr>
          <w:color w:val="000000"/>
          <w:sz w:val="24"/>
          <w:szCs w:val="24"/>
          <w:rFonts w:ascii="Times New Roman" w:cs="Times New Roman" w:eastAsia="Times New Roman" w:hAnsi="Times New Roman"/>
        </w:rPr>
        <w:t xml:space="preserve">Tidak ada zat lain yang mampu menciptakan alam semesta, bahkan sebuah biji yang paling kecil pun adalah ciptaan Allah.</w:t>
      </w:r>
      <w:r>
        <w:rPr>
          <w:rStyle w:val="FootnoteReference"/>
        </w:rPr>
        <w:footnoteReference w:id="8"/>
      </w:r>
      <w:r>
        <w:rPr>
          <w:color w:val="000000"/>
          <w:sz w:val="24"/>
          <w:szCs w:val="24"/>
          <w:rFonts w:ascii="Times New Roman" w:cs="Times New Roman" w:eastAsia="Times New Roman" w:hAnsi="Times New Roman"/>
        </w:rPr>
        <w:t xml:space="preserve"> Jika ada seseorang yang percaya bahwa ada yang mampu menciptakan selain Allah, maka sungguh ia masuk ke dalam dosa yang sangat besar. Misalnya  ketika pasangan suami istri yang telah lama menikah, namun belum memiliki anak lalu mereka mendatangi seorang dukun untuk mendapatkan anak. Maka, mereka sudah masuk ke dalam syirik rububiyah. Sebab, mereka menganggap bahwa dukun tersebut mampu menciptakan bayi sebagai momongan mereka. Padahal hanya Allah lah tempat memohon dan meminta.</w:t>
      </w:r>
      <w:r>
        <w:rPr>
          <w:rStyle w:val="FootnoteReference"/>
        </w:rPr>
        <w:footnoteReference w:id="9"/>
      </w:r>
    </w:p>
    <w:p>
      <w:pPr>
        <w:pStyle w:val="normal"/>
        <w:numPr>
          <w:ilvl w:val="1"/>
          <w:numId w:val="8"/>
        </w:numPr>
        <w:spacing w:line="360"/>
        <w:ind w:left="566" w:hanging="277" w:firstLine="277"/>
        <w:jc w:val="both"/>
      </w:pPr>
      <w:r>
        <w:rPr>
          <w:color w:val="000000"/>
          <w:sz w:val="24"/>
          <w:szCs w:val="24"/>
          <w:rFonts w:ascii="Times New Roman" w:cs="Times New Roman" w:eastAsia="Times New Roman" w:hAnsi="Times New Roman"/>
        </w:rPr>
        <w:t xml:space="preserve">Percaya bahwa Allah Yang Memberi Rezeki Hanya Allah lah yang memberikan rezeki kepada setiap mahluk karena sesungguhnya semua makhluk tidak akan bisa mendapatkan rezekinya sendiri kecuali atas ridho Allah SWT. Sebagimana firman Allah dalam Q.s Fatir : 3</w:t>
      </w:r>
      <w:r>
        <w:rPr>
          <w:rStyle w:val="FootnoteReference"/>
        </w:rPr>
        <w:footnoteReference w:id="10"/>
      </w:r>
    </w:p>
    <w:p>
      <w:pPr>
        <w:spacing w:line="360"/>
        <w:ind w:left="566" w:firstLine="555"/>
        <w:jc w:val="both"/>
      </w:pPr>
      <w:r>
        <w:rPr>
          <w:color w:val="000000"/>
          <w:sz w:val="24"/>
          <w:szCs w:val="24"/>
          <w:rFonts w:ascii="Times New Roman" w:cs="Times New Roman" w:eastAsia="Times New Roman" w:hAnsi="Times New Roman"/>
        </w:rPr>
        <w:t xml:space="preserve">Artinya : Wahai manusia, ingatlah nikmat Allah kepadamu! Adakah pencipta selain Allah yang dapat memberikan rezeki kepadamu dari langit dan bumi? Tidak ada Tuhan selain Dia. Lalu, bagaimana kamu dapat dipalingkan (dari ketauhidan)? (Q.s Fatir : 3)</w:t>
      </w:r>
      <w:r>
        <w:rPr>
          <w:rStyle w:val="FootnoteReference"/>
        </w:rPr>
        <w:footnoteReference w:id="11"/>
      </w:r>
    </w:p>
    <w:p>
      <w:pPr>
        <w:pStyle w:val="bold"/>
        <w:numPr>
          <w:ilvl w:val="0"/>
          <w:numId w:val="7"/>
        </w:numPr>
        <w:spacing w:line="360"/>
        <w:ind w:left="283" w:hanging="272" w:firstLine="0"/>
        <w:jc w:val="both"/>
      </w:pPr>
      <w:r>
        <w:rPr>
          <w:color w:val="000000"/>
          <w:sz w:val="24"/>
          <w:szCs w:val="24"/>
          <w:rFonts w:ascii="Times New Roman" w:cs="Times New Roman" w:eastAsia="Times New Roman" w:hAnsi="Times New Roman"/>
        </w:rPr>
        <w:t xml:space="preserve">Penyimpangan-penyimpangan Praktek Tauhid Rububiyyah</w:t>
      </w:r>
    </w:p>
    <w:p>
      <w:r>
        <w:rPr>
          <w:color w:val="000000"/>
          <w:sz w:val="24"/>
          <w:szCs w:val="24"/>
          <w:rFonts w:ascii="Times New Roman" w:cs="Times New Roman" w:eastAsia="Times New Roman" w:hAnsi="Times New Roman"/>
        </w:rPr>
      </w:r>
    </w:p>
    <w:p>
      <w:pPr>
        <w:jc w:val="center"/>
      </w:pPr>
      <w:r>
        <w:rPr>
          <w:b/>
          <w:bCs/>
          <w:color w:val="000000"/>
          <w:sz w:val="24"/>
          <w:szCs w:val="24"/>
          <w:rFonts w:ascii="Times New Roman" w:cs="Times New Roman" w:eastAsia="Times New Roman" w:hAnsi="Times New Roman"/>
        </w:rPr>
        <w:t xml:space="preserve">BAB III</w:t>
      </w:r>
    </w:p>
    <w:p>
      <w:pPr>
        <w:jc w:val="center"/>
      </w:pPr>
      <w:r>
        <w:rPr>
          <w:b/>
          <w:bCs/>
          <w:color w:val="000000"/>
          <w:sz w:val="24"/>
          <w:szCs w:val="24"/>
          <w:rFonts w:ascii="Times New Roman" w:cs="Times New Roman" w:eastAsia="Times New Roman" w:hAnsi="Times New Roman"/>
        </w:rPr>
        <w:t xml:space="preserve">KESIMPULAN</w:t>
      </w:r>
    </w:p>
    <w:p>
      <w:pPr>
        <w:jc w:val="center"/>
      </w:pPr>
      <w:r>
        <w:rPr>
          <w:color w:val="000000"/>
          <w:sz w:val="24"/>
          <w:szCs w:val="24"/>
          <w:rFonts w:ascii="Times New Roman" w:cs="Times New Roman" w:eastAsia="Times New Roman" w:hAnsi="Times New Roman"/>
        </w:rPr>
      </w:r>
    </w:p>
    <w:p>
      <w:pPr>
        <w:sectPr>
          <w:footerReference w:type="default" r:id="rId7"/>
          <w:pgSz w:w="11905" w:h="16837" w:orient="portrait"/>
          <w:pgMar w:top="2267" w:right="1700" w:bottom="1700" w:left="2267" w:header="708" w:footer="708" w:gutter="0"/>
          <w:pgNumType w:start="1" w:fmt="decimal" w:chapSep="emDash"/>
          <w:docGrid w:linePitch="360"/>
        </w:sectPr>
      </w:pPr>
    </w:p>
    <w:p>
      <w:pPr>
        <w:jc w:val="center"/>
      </w:pPr>
      <w:r>
        <w:rPr>
          <w:b/>
          <w:bCs/>
          <w:color w:val="000000"/>
          <w:sz w:val="24"/>
          <w:szCs w:val="24"/>
          <w:rFonts w:ascii="Times New Roman" w:cs="Times New Roman" w:eastAsia="Times New Roman" w:hAnsi="Times New Roman"/>
        </w:rPr>
        <w:t xml:space="preserve">DAFTAR PUSTAKA</w:t>
      </w:r>
    </w:p>
    <w:p>
      <w:pPr>
        <w:jc w:val="center"/>
      </w:pPr>
      <w:r>
        <w:rPr>
          <w:color w:val="000000"/>
          <w:sz w:val="24"/>
          <w:szCs w:val="24"/>
          <w:rFonts w:ascii="Times New Roman" w:cs="Times New Roman" w:eastAsia="Times New Roman" w:hAnsi="Times New Roman"/>
        </w:rPr>
      </w:r>
    </w:p>
    <w:p>
      <w:pPr>
        <w:spacing w:line="360"/>
        <w:jc w:val="both"/>
      </w:pPr>
      <w:r>
        <w:rPr>
          <w:color w:val="000000"/>
          <w:sz w:val="24"/>
          <w:szCs w:val="24"/>
          <w:rFonts w:ascii="Times New Roman" w:cs="Times New Roman" w:eastAsia="Times New Roman" w:hAnsi="Times New Roman"/>
        </w:rPr>
        <w:t xml:space="preserve">Ali Imran. 2021. "Nilai-nilai Pendidikan Tauhid Imam Ahmad Bin Hambal". </w:t>
      </w:r>
      <w:r>
        <w:rPr>
          <w:i/>
          <w:iCs/>
          <w:color w:val="000000"/>
          <w:sz w:val="24"/>
          <w:szCs w:val="24"/>
          <w:rFonts w:ascii="Times New Roman" w:cs="Times New Roman" w:eastAsia="Times New Roman" w:hAnsi="Times New Roman"/>
        </w:rPr>
        <w:t xml:space="preserve"> Jurnal Pendidikan Agama Islam Universitas Wahid Hasyim Semarang, </w:t>
      </w:r>
      <w:r>
        <w:rPr>
          <w:color w:val="000000"/>
          <w:sz w:val="24"/>
          <w:szCs w:val="24"/>
          <w:rFonts w:ascii="Times New Roman" w:cs="Times New Roman" w:eastAsia="Times New Roman" w:hAnsi="Times New Roman"/>
        </w:rPr>
        <w:t xml:space="preserve">Vol. 9, No. 1.</w:t>
      </w:r>
    </w:p>
    <w:sectPr>
      <w:footerReference w:type="default" r:id="rId8"/>
      <w:pgSz w:w="11905" w:h="16837" w:orient="portrait"/>
      <w:pgMar w:top="2267" w:right="1700" w:bottom="1700" w:left="2267" w:header="708" w:footer="708" w:gutter="0"/>
      <w:pgNumType w:chapSep="emDash"/>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000000"/>
        <w:sz w:val="22"/>
        <w:szCs w:val="22"/>
        <w:rFonts w:ascii="Times New Roman" w:cs="Times New Roman" w:eastAsia="Times New Roman" w:hAnsi="Times New Roman"/>
      </w:rPr>
      <w:fldChar w:fldCharType="begin"/>
      <w:instrText xml:space="preserve">PAGE</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000000"/>
        <w:sz w:val="22"/>
        <w:szCs w:val="22"/>
        <w:rFonts w:ascii="Times New Roman" w:cs="Times New Roman" w:eastAsia="Times New Roman" w:hAnsi="Times New Roman"/>
      </w:rPr>
      <w:fldChar w:fldCharType="begin"/>
      <w:instrText xml:space="preserve">PAGE</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pPr>
        <w:spacing w:line="240"/>
        <w:jc w:val="both"/>
      </w:pPr>
      <w:r>
        <w:rPr>
          <w:rStyle w:val="FootnoteReference"/>
        </w:rPr>
        <w:footnoteRef/>
      </w:r>
      <w:r>
        <w:rPr>
          <w:color w:val="000000"/>
          <w:sz w:val="20"/>
          <w:szCs w:val="20"/>
          <w:rFonts w:ascii="Times New Roman" w:cs="Times New Roman" w:eastAsia="Times New Roman" w:hAnsi="Times New Roman"/>
        </w:rPr>
        <w:t xml:space="preserve">Ali Imran, "Nilai-nilai Pendidikan Tauhid Imam Ahmad Bin Hambal", </w:t>
      </w:r>
      <w:r>
        <w:rPr>
          <w:i/>
          <w:iCs/>
          <w:color w:val="000000"/>
          <w:sz w:val="20"/>
          <w:szCs w:val="20"/>
          <w:rFonts w:ascii="Times New Roman" w:cs="Times New Roman" w:eastAsia="Times New Roman" w:hAnsi="Times New Roman"/>
        </w:rPr>
        <w:t xml:space="preserve"> Jurnal Pendidikan Agama Islam Universitas Wahid Hasyim Semarang, </w:t>
      </w:r>
      <w:r>
        <w:rPr>
          <w:color w:val="000000"/>
          <w:sz w:val="20"/>
          <w:szCs w:val="20"/>
          <w:rFonts w:ascii="Times New Roman" w:cs="Times New Roman" w:eastAsia="Times New Roman" w:hAnsi="Times New Roman"/>
        </w:rPr>
        <w:t xml:space="preserve">Vol. 9, No. 1 (2021), Hal. 93.</w:t>
      </w:r>
    </w:p>
  </w:footnote>
  <w:footnote w:id="2">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r>
        <w:rPr>
          <w:color w:val="000000"/>
          <w:sz w:val="20"/>
          <w:szCs w:val="20"/>
          <w:rFonts w:ascii="Times New Roman" w:cs="Times New Roman" w:eastAsia="Times New Roman" w:hAnsi="Times New Roman"/>
        </w:rPr>
      </w:r>
    </w:p>
  </w:footnote>
  <w:footnote w:id="3">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r>
        <w:rPr>
          <w:color w:val="000000"/>
          <w:sz w:val="20"/>
          <w:szCs w:val="20"/>
          <w:rFonts w:ascii="Times New Roman" w:cs="Times New Roman" w:eastAsia="Times New Roman" w:hAnsi="Times New Roman"/>
        </w:rPr>
      </w:r>
    </w:p>
  </w:footnote>
  <w:footnote w:id="4">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r>
        <w:rPr>
          <w:color w:val="000000"/>
          <w:sz w:val="20"/>
          <w:szCs w:val="20"/>
          <w:rFonts w:ascii="Times New Roman" w:cs="Times New Roman" w:eastAsia="Times New Roman" w:hAnsi="Times New Roman"/>
        </w:rPr>
      </w:r>
    </w:p>
  </w:footnote>
  <w:footnote w:id="5">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r>
        <w:rPr>
          <w:color w:val="000000"/>
          <w:sz w:val="20"/>
          <w:szCs w:val="20"/>
          <w:rFonts w:ascii="Times New Roman" w:cs="Times New Roman" w:eastAsia="Times New Roman" w:hAnsi="Times New Roman"/>
        </w:rPr>
      </w:r>
    </w:p>
  </w:footnote>
  <w:footnote w:id="6">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r>
        <w:rPr>
          <w:color w:val="000000"/>
          <w:sz w:val="20"/>
          <w:szCs w:val="20"/>
          <w:rFonts w:ascii="Times New Roman" w:cs="Times New Roman" w:eastAsia="Times New Roman" w:hAnsi="Times New Roman"/>
        </w:rPr>
      </w:r>
    </w:p>
  </w:footnote>
  <w:footnote w:id="7">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r>
        <w:rPr>
          <w:color w:val="000000"/>
          <w:sz w:val="20"/>
          <w:szCs w:val="20"/>
          <w:rFonts w:ascii="Times New Roman" w:cs="Times New Roman" w:eastAsia="Times New Roman" w:hAnsi="Times New Roman"/>
        </w:rPr>
        <w:t xml:space="preserve">94</w:t>
      </w:r>
    </w:p>
  </w:footnote>
  <w:footnote w:id="8">
    <w:p>
      <w:pPr>
        <w:spacing w:line="240"/>
        <w:jc w:val="both"/>
      </w:pPr>
      <w:r>
        <w:rPr>
          <w:rStyle w:val="FootnoteReference"/>
        </w:rPr>
        <w:footnoteRef/>
      </w:r>
      <w:r>
        <w:rPr>
          <w:color w:val="000000"/>
          <w:sz w:val="20"/>
          <w:szCs w:val="20"/>
          <w:rFonts w:ascii="Times New Roman" w:cs="Times New Roman" w:eastAsia="Times New Roman" w:hAnsi="Times New Roman"/>
        </w:rPr>
        <w:t xml:space="preserve">Ibid.,</w:t>
      </w:r>
      <w:r>
        <w:rPr>
          <w:color w:val="000000"/>
          <w:sz w:val="20"/>
          <w:szCs w:val="20"/>
          <w:rFonts w:ascii="Times New Roman" w:cs="Times New Roman" w:eastAsia="Times New Roman" w:hAnsi="Times New Roman"/>
        </w:rPr>
        <w:t xml:space="preserve">94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upperLetter"/>
      <w:lvlText w:val="%1."/>
      <w:lvlJc w:val="left"/>
    </w:lvl>
  </w:abstractNum>
  <w:abstractNum w:abstractNumId="3" w15:restartNumberingAfterBreak="0">
    <w:multiLevelType w:val="hybridMultilevel"/>
    <w:lvl w:ilvl="1" w15:tentative="1">
      <w:start w:val="1"/>
      <w:numFmt w:val="decimal"/>
      <w:lvlText w:val="%2."/>
      <w:lvlJc w:val="left"/>
    </w:lvl>
  </w:abstractNum>
  <w:abstractNum w:abstractNumId="4" w15:restartNumberingAfterBreak="0">
    <w:multiLevelType w:val="hybridMultilevel"/>
    <w:lvl w:ilvl="2" w15:tentative="1">
      <w:start w:val="1"/>
      <w:numFmt w:val="lowerLetter"/>
      <w:lvlText w:val="%3."/>
      <w:lvlJc w:val="left"/>
    </w:lvl>
  </w:abstractNum>
  <w:abstractNum w:abstractNumId="5" w15:restartNumberingAfterBreak="0">
    <w:multiLevelType w:val="hybridMultilevel"/>
    <w:lvl w:ilvl="3" w15:tentative="1">
      <w:start w:val="1"/>
      <w:numFmt w:val="decimal"/>
      <w:lvlText w:val="%4)"/>
      <w:lvlJc w:val="left"/>
    </w:lvl>
  </w:abstractNum>
  <w:abstractNum w:abstractNumId="6" w15:restartNumberingAfterBreak="0">
    <w:multiLevelType w:val="hybridMultilevel"/>
    <w:lvl w:ilvl="4" w15:tentative="1">
      <w:start w:val="1"/>
      <w:numFmt w:val="lowerLetter"/>
      <w:lvlText w:val="%5)"/>
      <w:lvlJc w:val="left"/>
    </w:lvl>
  </w:abstractNum>
  <w:num w:numId="1">
    <w:abstractNumId w:val="1"/>
    <w:lvlOverride w:ilvl="0">
      <w:startOverride w:val="1"/>
    </w:lvlOverride>
  </w:num>
  <w:num w:numId="7">
    <w:abstractNumId w:val="2"/>
    <w:lvlOverride w:ilvl="0">
      <w:startOverride w:val="1"/>
    </w:lvlOverride>
  </w:num>
  <w:num w:numId="8">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doNotExpandShiftReturn/>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old">
    <w:name w:val="Bold"/>
    <w:basedOn w:val="Normal"/>
    <w:next w:val="Normal"/>
    <w:rPr>
      <w:b/>
      <w:bCs/>
      <w:color w:val="000000"/>
      <w:sz w:val="24"/>
      <w:szCs w:val="24"/>
      <w:rFonts w:ascii="Times New Roman" w:cs="Times New Roman" w:eastAsia="Times New Roman" w:hAnsi="Times New Roman"/>
    </w:rPr>
  </w:style>
  <w:style w:type="paragraph" w:styleId="normal">
    <w:name w:val="Normal"/>
    <w:basedOn w:val="Normal"/>
    <w:next w:val="Normal"/>
    <w:rPr>
      <w:color w:val="000000"/>
      <w:sz w:val="24"/>
      <w:szCs w:val="24"/>
      <w:rFonts w:ascii="Times New Roman" w:cs="Times New Roman" w:eastAsia="Times New Roman" w:hAnsi="Times New Roman"/>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2024-03-09T07:31:21.293Z</dcterms:created>
  <dcterms:modified xsi:type="dcterms:W3CDTF">2024-03-09T07:31:21.293Z</dcterms:modified>
</cp:coreProperties>
</file>

<file path=docProps/custom.xml><?xml version="1.0" encoding="utf-8"?>
<Properties xmlns="http://schemas.openxmlformats.org/officeDocument/2006/custom-properties" xmlns:vt="http://schemas.openxmlformats.org/officeDocument/2006/docPropsVTypes"/>
</file>