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color w:val="000000"/>
          <w:sz w:val="24"/>
          <w:szCs w:val="24"/>
          <w:rFonts w:ascii="Times New Roman" w:cs="Times New Roman" w:eastAsia="Times New Roman" w:hAnsi="Times New Roman"/>
        </w:rPr>
        <w:t xml:space="preserve">COVER</w:t>
      </w:r>
    </w:p>
    <w:p>
      <w:pPr>
        <w:sectPr>
          <w:pgSz w:w="11905" w:h="16837" w:orient="portrait"/>
          <w:pgMar w:top="2267" w:right="1700" w:bottom="1700" w:left="2267" w:header="708" w:footer="708" w:gutter="0"/>
          <w:pgNumType/>
          <w:docGrid w:linePitch="360"/>
        </w:sectPr>
      </w:pPr>
    </w:p>
    <w:p>
      <w:pPr>
        <w:jc w:val="center"/>
      </w:pPr>
      <w:r>
        <w:rPr>
          <w:b/>
          <w:bCs/>
          <w:color w:val="000000"/>
          <w:sz w:val="24"/>
          <w:szCs w:val="24"/>
          <w:rFonts w:ascii="Times New Roman" w:cs="Times New Roman" w:eastAsia="Times New Roman" w:hAnsi="Times New Roman"/>
        </w:rPr>
        <w:t xml:space="preserve">KATA PENGANTAR</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DAFTAR ISI</w:t>
      </w:r>
    </w:p>
    <w:p>
      <w:pPr>
        <w:sectPr>
          <w:footerReference w:type="default" r:id="rId6"/>
          <w:pgSz w:w="11905" w:h="16837" w:orient="portrait"/>
          <w:pgMar w:top="2267" w:right="1700" w:bottom="1700" w:left="2267" w:header="708" w:footer="708" w:gutter="0"/>
          <w:pgNumType w:start="1" w:fmt="lowerRoman" w:chapSep="emDash"/>
          <w:docGrid w:linePitch="360"/>
        </w:sectPr>
      </w:pPr>
    </w:p>
    <w:p>
      <w:pPr>
        <w:jc w:val="center"/>
      </w:pPr>
      <w:r>
        <w:rPr>
          <w:b/>
          <w:bCs/>
          <w:color w:val="000000"/>
          <w:sz w:val="24"/>
          <w:szCs w:val="24"/>
          <w:rFonts w:ascii="Times New Roman" w:cs="Times New Roman" w:eastAsia="Times New Roman" w:hAnsi="Times New Roman"/>
        </w:rPr>
        <w:t xml:space="preserve">BAB I</w:t>
      </w:r>
    </w:p>
    <w:p>
      <w:pPr>
        <w:jc w:val="center"/>
      </w:pPr>
      <w:r>
        <w:rPr>
          <w:b/>
          <w:bCs/>
          <w:color w:val="000000"/>
          <w:sz w:val="24"/>
          <w:szCs w:val="24"/>
          <w:rFonts w:ascii="Times New Roman" w:cs="Times New Roman" w:eastAsia="Times New Roman" w:hAnsi="Times New Roman"/>
        </w:rPr>
        <w:t xml:space="preserve">PENDAHULUAN</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w:t>
      </w:r>
    </w:p>
    <w:p>
      <w:pPr>
        <w:jc w:val="center"/>
      </w:pPr>
      <w:r>
        <w:rPr>
          <w:b/>
          <w:bCs/>
          <w:color w:val="000000"/>
          <w:sz w:val="24"/>
          <w:szCs w:val="24"/>
          <w:rFonts w:ascii="Times New Roman" w:cs="Times New Roman" w:eastAsia="Times New Roman" w:hAnsi="Times New Roman"/>
        </w:rPr>
        <w:t xml:space="preserve">PEMBAHASAN</w:t>
      </w:r>
    </w:p>
    <w:p>
      <w:pPr>
        <w:jc w:val="center"/>
      </w:pPr>
      <w:r>
        <w:rPr>
          <w:color w:val="000000"/>
          <w:sz w:val="24"/>
          <w:szCs w:val="24"/>
          <w:rFonts w:ascii="Times New Roman" w:cs="Times New Roman" w:eastAsia="Times New Roman" w:hAnsi="Times New Roman"/>
        </w:rPr>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r>
        <w:rPr>
          <w:rStyle w:val="FootnoteReference"/>
        </w:rPr>
        <w:footnoteReference w:id="1"/>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w:t>
      </w:r>
      <w:r>
        <w:rPr>
          <w:rStyle w:val="FootnoteReference"/>
        </w:rPr>
        <w:footnoteReference w:id="2"/>
      </w:r>
      <w:r>
        <w:rPr>
          <w:color w:val="000000"/>
          <w:sz w:val="24"/>
          <w:szCs w:val="24"/>
          <w:rFonts w:ascii="Times New Roman" w:cs="Times New Roman" w:eastAsia="Times New Roman" w:hAnsi="Times New Roman"/>
        </w:rPr>
        <w:t xml:space="preserve"> artinya barangsiapa yang mendirikan shalat maka telah mendirikan "agama Islam dan</w:t>
      </w:r>
      <w:r>
        <w:rPr>
          <w:rStyle w:val="FootnoteReference"/>
        </w:rPr>
        <w:footnoteReference w:id="3"/>
      </w:r>
      <w:r>
        <w:rPr>
          <w:color w:val="000000"/>
          <w:sz w:val="24"/>
          <w:szCs w:val="24"/>
          <w:rFonts w:ascii="Times New Roman" w:cs="Times New Roman" w:eastAsia="Times New Roman" w:hAnsi="Times New Roman"/>
        </w:rPr>
        <w:t xml:space="preserve"> barangsiapa yang meninggalkan 'shalat maka telah merobohkan agama Islam. Shalat merupakan salah satu komponen utama dalam Islam.</w:t>
      </w:r>
      <w:r>
        <w:rPr>
          <w:rStyle w:val="FootnoteReference"/>
        </w:rPr>
        <w:footnoteReference w:id="4"/>
      </w:r>
    </w:p>
    <w:p>
      <w:pPr>
        <w:pStyle w:val="bold"/>
        <w:numPr>
          <w:ilvl w:val="0"/>
          <w:numId w:val="40"/>
        </w:numPr>
        <w:spacing w:line="360"/>
        <w:ind w:left="283" w:hanging="272" w:firstLine="0"/>
        <w:jc w:val="both"/>
      </w:pPr>
      <w:r>
        <w:rPr>
          <w:color w:val="000000"/>
          <w:sz w:val="24"/>
          <w:szCs w:val="24"/>
          <w:rFonts w:ascii="Times New Roman" w:cs="Times New Roman" w:eastAsia="Times New Roman" w:hAnsi="Times New Roman"/>
        </w:rPr>
        <w:t xml:space="preserve">Latar "Belakang</w:t>
      </w:r>
      <w:r>
        <w:rPr>
          <w:rStyle w:val="FootnoteReference"/>
        </w:rPr>
        <w:footnoteReference w:id="5"/>
      </w:r>
    </w:p>
    <w:p>
      <w:pPr>
        <w:spacing w:line="360"/>
        <w:ind w:left="283"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w:t>
      </w:r>
      <w:r>
        <w:rPr>
          <w:rStyle w:val="FootnoteReference"/>
        </w:rPr>
        <w:footnoteReference w:id="6"/>
      </w:r>
      <w:r>
        <w:rPr>
          <w:color w:val="000000"/>
          <w:sz w:val="24"/>
          <w:szCs w:val="24"/>
          <w:rFonts w:ascii="Times New Roman" w:cs="Times New Roman" w:eastAsia="Times New Roman" w:hAnsi="Times New Roman"/>
        </w:rPr>
        <w:t xml:space="preserve">maka telah merobohkan agama Islam. Shalat merupakan salah satu komponen utama dalam Islam.</w:t>
      </w:r>
      <w:r>
        <w:rPr>
          <w:rStyle w:val="FootnoteReference"/>
        </w:rPr>
        <w:footnoteReference w:id="7"/>
      </w:r>
    </w:p>
    <w:p>
      <w:pPr>
        <w:pStyle w:val="bold"/>
        <w:numPr>
          <w:ilvl w:val="0"/>
          <w:numId w:val="40"/>
        </w:numPr>
        <w:spacing w:line="360"/>
        <w:ind w:left="283" w:hanging="272" w:firstLine="0"/>
        <w:jc w:val="both"/>
      </w:pPr>
      <w:r>
        <w:rPr>
          <w:color w:val="000000"/>
          <w:sz w:val="24"/>
          <w:szCs w:val="24"/>
          <w:rFonts w:ascii="Times New Roman" w:cs="Times New Roman" w:eastAsia="Times New Roman" w:hAnsi="Times New Roman"/>
        </w:rPr>
        <w:t xml:space="preserve">Rumusan Masalah</w:t>
      </w:r>
    </w:p>
    <w:p>
      <w:pPr>
        <w:pStyle w:val="normal"/>
        <w:numPr>
          <w:ilvl w:val="1"/>
          <w:numId w:val="41"/>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Rawatib?</w:t>
      </w:r>
      <w:r>
        <w:rPr>
          <w:rStyle w:val="FootnoteReference"/>
        </w:rPr>
        <w:footnoteReference w:id="8"/>
      </w:r>
    </w:p>
    <w:p>
      <w:pPr>
        <w:pStyle w:val="normal"/>
        <w:numPr>
          <w:ilvl w:val="2"/>
          <w:numId w:val="42"/>
        </w:numPr>
        <w:spacing w:line="360"/>
        <w:ind w:left="850" w:hanging="283" w:firstLine="283"/>
        <w:jc w:val="both"/>
      </w:pPr>
      <w:r>
        <w:rPr>
          <w:color w:val="000000"/>
          <w:sz w:val="24"/>
          <w:szCs w:val="24"/>
          <w:rFonts w:ascii="Times New Roman" w:cs="Times New Roman" w:eastAsia="Times New Roman" w:hAnsi="Times New Roman"/>
        </w:rPr>
        <w:t xml:space="preserve">Dua Raka‟at Qabliyah (sebelum) Shubuh Shalat Sunnah Rawatib yangpaling "ditekankan" adalah shalat Sunnah 2 raka‟at Qabliyah Shubuh.</w:t>
      </w:r>
      <w:r>
        <w:rPr>
          <w:rStyle w:val="FootnoteReference"/>
        </w:rPr>
        <w:footnoteReference w:id="9"/>
      </w:r>
      <w:r>
        <w:rPr>
          <w:color w:val="000000"/>
          <w:sz w:val="24"/>
          <w:szCs w:val="24"/>
          <w:rFonts w:ascii="Times New Roman" w:cs="Times New Roman" w:eastAsia="Times New Roman" w:hAnsi="Times New Roman"/>
        </w:rPr>
        <w:t xml:space="preserve">Shalat Sunnah Qabliyah Shubuh Dikenal juga dengan sebutan Shalat </w:t>
      </w:r>
      <w:r>
        <w:rPr>
          <w:rStyle w:val="FootnoteReference"/>
        </w:rPr>
        <w:footnoteReference w:id="10"/>
      </w:r>
      <w:r>
        <w:rPr>
          <w:color w:val="000000"/>
          <w:sz w:val="24"/>
          <w:szCs w:val="24"/>
          <w:rFonts w:ascii="Times New Roman" w:cs="Times New Roman" w:eastAsia="Times New Roman" w:hAnsi="Times New Roman"/>
        </w:rPr>
        <w:t xml:space="preserve">Dua Raka‟at Qabliyah (sebelum) Shubuh Shalat Sunnah Rawatib yangpaling "ditekankan" adalah shalat Sunnah 2 raka‟at Qabliyah Shubuh.</w:t>
      </w:r>
      <w:r>
        <w:rPr>
          <w:rStyle w:val="FootnoteReference"/>
        </w:rPr>
        <w:footnoteReference w:id="11"/>
      </w:r>
    </w:p>
    <w:p>
      <w:pPr>
        <w:pStyle w:val="normal"/>
        <w:numPr>
          <w:ilvl w:val="3"/>
          <w:numId w:val="43"/>
        </w:numPr>
        <w:spacing w:line="360"/>
        <w:ind w:left="1133"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2"/>
      </w:r>
    </w:p>
    <w:p>
      <w:pPr>
        <w:pStyle w:val="normal"/>
        <w:numPr>
          <w:ilvl w:val="4"/>
          <w:numId w:val="44"/>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3"/>
      </w:r>
    </w:p>
    <w:p>
      <w:pPr>
        <w:pStyle w:val="normal"/>
        <w:numPr>
          <w:ilvl w:val="4"/>
          <w:numId w:val="44"/>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4"/>
      </w:r>
    </w:p>
    <w:p>
      <w:pPr>
        <w:pStyle w:val="normal"/>
        <w:numPr>
          <w:ilvl w:val="1"/>
          <w:numId w:val="41"/>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Tahajjud?</w:t>
      </w:r>
    </w:p>
    <w:p>
      <w:pPr>
        <w:pStyle w:val="normal"/>
        <w:numPr>
          <w:ilvl w:val="1"/>
          <w:numId w:val="41"/>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Witir?</w:t>
      </w:r>
    </w:p>
    <w:p>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III</w:t>
      </w:r>
    </w:p>
    <w:p>
      <w:pPr>
        <w:jc w:val="center"/>
      </w:pPr>
      <w:r>
        <w:rPr>
          <w:b/>
          <w:bCs/>
          <w:color w:val="000000"/>
          <w:sz w:val="24"/>
          <w:szCs w:val="24"/>
          <w:rFonts w:ascii="Times New Roman" w:cs="Times New Roman" w:eastAsia="Times New Roman" w:hAnsi="Times New Roman"/>
        </w:rPr>
        <w:t xml:space="preserve">KESIMPULAN</w:t>
      </w:r>
    </w:p>
    <w:p>
      <w:pPr>
        <w:jc w:val="center"/>
      </w:pPr>
      <w:r>
        <w:rPr>
          <w:color w:val="000000"/>
          <w:sz w:val="24"/>
          <w:szCs w:val="24"/>
          <w:rFonts w:ascii="Times New Roman" w:cs="Times New Roman" w:eastAsia="Times New Roman" w:hAnsi="Times New Roman"/>
        </w:rPr>
      </w:r>
    </w:p>
    <w:sectPr>
      <w:footerReference w:type="default" r:id="rId7"/>
      <w:pgSz w:w="11905" w:h="16837" w:orient="portrait"/>
      <w:pgMar w:top="2267" w:right="1700" w:bottom="1700" w:left="2267" w:header="708" w:footer="708" w:gutter="0"/>
      <w:pgNumType w:start="1" w:fmt="decimal" w:chapSep="emDash"/>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2">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3">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4">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5">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6">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7">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8">
    <w:p>
      <w:pPr>
        <w:spacing w:line="240"/>
        <w:jc w:val="both"/>
      </w:pPr>
      <w:r>
        <w:rPr>
          <w:rStyle w:val="FootnoteReference"/>
        </w:rPr>
        <w:footnoteRef/>
      </w:r>
      <w:r>
        <w:rPr>
          <w:color w:val="000000"/>
          <w:sz w:val="20"/>
          <w:szCs w:val="20"/>
          <w:rFonts w:ascii="Times New Roman" w:cs="Times New Roman" w:eastAsia="Times New Roman" w:hAnsi="Times New Roman"/>
        </w:rPr>
        <w:t xml:space="preserve">Muryid Rahman, Tesis: "Perkembangan Struktur Ekonomi Menengah Kebawah Setelah Mempelajari Kecakapan Teknologi Informasi" (Yogyakarta: UGN, 2005), Hal. 85.</w:t>
      </w:r>
    </w:p>
  </w:footnote>
  <w:footnote w:id="9">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10">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11">
    <w:p>
      <w:pPr>
        <w:spacing w:line="240"/>
        <w:jc w:val="both"/>
      </w:pPr>
      <w:r>
        <w:rPr>
          <w:rStyle w:val="FootnoteReference"/>
        </w:rPr>
        <w:footnoteRef/>
      </w:r>
      <w:r>
        <w:rPr>
          <w:color w:val="000000"/>
          <w:sz w:val="20"/>
          <w:szCs w:val="20"/>
          <w:rFonts w:ascii="Times New Roman" w:cs="Times New Roman" w:eastAsia="Times New Roman" w:hAnsi="Times New Roman"/>
        </w:rPr>
        <w:t xml:space="preserve">M. Quraish shihab,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12">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13">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14">
    <w:p>
      <w:pPr>
        <w:spacing w:line="240"/>
        <w:jc w:val="both"/>
      </w:pPr>
      <w:r>
        <w:rPr>
          <w:rStyle w:val="FootnoteReference"/>
        </w:rPr>
        <w:footnoteRef/>
      </w:r>
      <w:r>
        <w:rPr>
          <w:color w:val="000000"/>
          <w:sz w:val="20"/>
          <w:szCs w:val="20"/>
          <w:rFonts w:ascii="Times New Roman" w:cs="Times New Roman" w:eastAsia="Times New Roman" w:hAnsi="Times New Roman"/>
        </w:rPr>
        <w:t xml:space="preserve">Imam Taufik Alkhotob,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5" w15:restartNumberingAfterBreak="0">
    <w:multiLevelType w:val="hybridMultilevel"/>
    <w:lvl w:ilvl="0" w15:tentative="1">
      <w:start w:val="1"/>
      <w:numFmt w:val="upperLetter"/>
      <w:lvlText w:val="%1."/>
      <w:lvlJc w:val="left"/>
    </w:lvl>
  </w:abstractNum>
  <w:abstractNum w:abstractNumId="36" w15:restartNumberingAfterBreak="0">
    <w:multiLevelType w:val="hybridMultilevel"/>
    <w:lvl w:ilvl="1" w15:tentative="1">
      <w:start w:val="1"/>
      <w:numFmt w:val="decimal"/>
      <w:lvlText w:val="%2."/>
      <w:lvlJc w:val="left"/>
    </w:lvl>
  </w:abstractNum>
  <w:abstractNum w:abstractNumId="37" w15:restartNumberingAfterBreak="0">
    <w:multiLevelType w:val="hybridMultilevel"/>
    <w:lvl w:ilvl="2" w15:tentative="1">
      <w:start w:val="1"/>
      <w:numFmt w:val="lowerLetter"/>
      <w:lvlText w:val="%3."/>
      <w:lvlJc w:val="left"/>
    </w:lvl>
  </w:abstractNum>
  <w:abstractNum w:abstractNumId="38" w15:restartNumberingAfterBreak="0">
    <w:multiLevelType w:val="hybridMultilevel"/>
    <w:lvl w:ilvl="3" w15:tentative="1">
      <w:start w:val="1"/>
      <w:numFmt w:val="decimal"/>
      <w:lvlText w:val="%4)"/>
      <w:lvlJc w:val="left"/>
    </w:lvl>
  </w:abstractNum>
  <w:abstractNum w:abstractNumId="39" w15:restartNumberingAfterBreak="0">
    <w:multiLevelType w:val="hybridMultilevel"/>
    <w:lvl w:ilvl="4" w15:tentative="1">
      <w:start w:val="1"/>
      <w:numFmt w:val="lowerLetter"/>
      <w:lvlText w:val="%5)"/>
      <w:lvlJc w:val="left"/>
    </w:lvl>
  </w:abstractNum>
  <w:num w:numId="1">
    <w:abstractNumId w:val="34"/>
    <w:lvlOverride w:ilvl="0">
      <w:startOverride w:val="1"/>
    </w:lvlOverride>
  </w:num>
  <w:num w:numId="40">
    <w:abstractNumId w:val="35"/>
    <w:lvlOverride w:ilvl="0">
      <w:startOverride w:val="1"/>
    </w:lvlOverride>
  </w:num>
  <w:num w:numId="41">
    <w:abstractNumId w:val="36"/>
    <w:lvlOverride w:ilvl="0">
      <w:startOverride w:val="1"/>
    </w:lvlOverride>
  </w:num>
  <w:num w:numId="42">
    <w:abstractNumId w:val="37"/>
    <w:lvlOverride w:ilvl="0">
      <w:startOverride w:val="1"/>
    </w:lvlOverride>
  </w:num>
  <w:num w:numId="43">
    <w:abstractNumId w:val="38"/>
    <w:lvlOverride w:ilvl="0">
      <w:startOverride w:val="1"/>
    </w:lvlOverride>
  </w:num>
  <w:num w:numId="44">
    <w:abstractNumId w:val="3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2024-02-19T08:33:02.185Z</dcterms:created>
  <dcterms:modified xsi:type="dcterms:W3CDTF">2024-02-19T08:33:02.185Z</dcterms:modified>
</cp:coreProperties>
</file>

<file path=docProps/custom.xml><?xml version="1.0" encoding="utf-8"?>
<Properties xmlns="http://schemas.openxmlformats.org/officeDocument/2006/custom-properties" xmlns:vt="http://schemas.openxmlformats.org/officeDocument/2006/docPropsVTypes"/>
</file>