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color w:val="000000"/>
          <w:sz w:val="24"/>
          <w:szCs w:val="24"/>
          <w:rFonts w:ascii="Times New Roman" w:cs="Times New Roman" w:eastAsia="Times New Roman" w:hAnsi="Times New Roman"/>
        </w:rPr>
        <w:t xml:space="preserve">COVER</w:t>
      </w:r>
    </w:p>
    <w:p>
      <w:pPr>
        <w:sectPr>
          <w:pgSz w:w="11905" w:h="16837" w:orient="portrait"/>
          <w:pgMar w:top="2267" w:right="1700" w:bottom="1700" w:left="2267" w:header="708" w:footer="708" w:gutter="0"/>
          <w:pgNumType/>
          <w:docGrid w:linePitch="360"/>
        </w:sectPr>
      </w:pPr>
    </w:p>
    <w:p>
      <w:pPr>
        <w:jc w:val="center"/>
      </w:pPr>
      <w:r>
        <w:rPr>
          <w:b/>
          <w:bCs/>
          <w:color w:val="000000"/>
          <w:sz w:val="24"/>
          <w:szCs w:val="24"/>
          <w:rFonts w:ascii="Times New Roman" w:cs="Times New Roman" w:eastAsia="Times New Roman" w:hAnsi="Times New Roman"/>
        </w:rPr>
        <w:t xml:space="preserve">KATA PENGANTAR</w:t>
      </w:r>
    </w:p>
    <w:p>
      <w:pPr>
        <w:jc w:val="center"/>
      </w:pPr>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DAFTAR ISI</w:t>
      </w:r>
    </w:p>
    <w:p>
      <w:pPr>
        <w:sectPr>
          <w:footerReference w:type="default" r:id="rId6"/>
          <w:pgSz w:w="11905" w:h="16837" w:orient="portrait"/>
          <w:pgMar w:top="2267" w:right="1700" w:bottom="1700" w:left="2267" w:header="708" w:footer="708" w:gutter="0"/>
          <w:pgNumType w:start="1" w:fmt="lowerRoman" w:chapSep="emDash"/>
          <w:docGrid w:linePitch="360"/>
        </w:sectPr>
      </w:pPr>
    </w:p>
    <w:p>
      <w:pPr>
        <w:jc w:val="center"/>
      </w:pPr>
      <w:r>
        <w:rPr>
          <w:b/>
          <w:bCs/>
          <w:color w:val="000000"/>
          <w:sz w:val="24"/>
          <w:szCs w:val="24"/>
          <w:rFonts w:ascii="Times New Roman" w:cs="Times New Roman" w:eastAsia="Times New Roman" w:hAnsi="Times New Roman"/>
        </w:rPr>
        <w:t xml:space="preserve">BAB I</w:t>
      </w:r>
    </w:p>
    <w:p>
      <w:pPr>
        <w:jc w:val="center"/>
      </w:pPr>
      <w:r>
        <w:rPr>
          <w:b/>
          <w:bCs/>
          <w:color w:val="000000"/>
          <w:sz w:val="24"/>
          <w:szCs w:val="24"/>
          <w:rFonts w:ascii="Times New Roman" w:cs="Times New Roman" w:eastAsia="Times New Roman" w:hAnsi="Times New Roman"/>
        </w:rPr>
        <w:t xml:space="preserve">PENDAHULUAN</w:t>
      </w:r>
    </w:p>
    <w:p>
      <w:pPr>
        <w:jc w:val="center"/>
      </w:pPr>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BAB II</w:t>
      </w:r>
    </w:p>
    <w:p>
      <w:pPr>
        <w:jc w:val="center"/>
      </w:pPr>
      <w:r>
        <w:rPr>
          <w:b/>
          <w:bCs/>
          <w:color w:val="000000"/>
          <w:sz w:val="24"/>
          <w:szCs w:val="24"/>
          <w:rFonts w:ascii="Times New Roman" w:cs="Times New Roman" w:eastAsia="Times New Roman" w:hAnsi="Times New Roman"/>
        </w:rPr>
        <w:t xml:space="preserve">PEMBAHASAN</w:t>
      </w:r>
    </w:p>
    <w:p>
      <w:pPr>
        <w:jc w:val="center"/>
      </w:pPr>
      <w:r>
        <w:rPr>
          <w:color w:val="000000"/>
          <w:sz w:val="24"/>
          <w:szCs w:val="24"/>
          <w:rFonts w:ascii="Times New Roman" w:cs="Times New Roman" w:eastAsia="Times New Roman" w:hAnsi="Times New Roman"/>
        </w:rPr>
      </w:r>
    </w:p>
    <w:p>
      <w:pPr>
        <w:pStyle w:val="bold"/>
        <w:numPr>
          <w:ilvl w:val="0"/>
          <w:numId w:val="58"/>
        </w:numPr>
        <w:spacing w:line="360"/>
        <w:ind w:left="283" w:hanging="272" w:firstLine="0"/>
        <w:jc w:val="both"/>
      </w:pPr>
      <w:r>
        <w:rPr>
          <w:color w:val="000000"/>
          <w:sz w:val="24"/>
          <w:szCs w:val="24"/>
          <w:rFonts w:ascii="Times New Roman" w:cs="Times New Roman" w:eastAsia="Times New Roman" w:hAnsi="Times New Roman"/>
        </w:rPr>
        <w:t xml:space="preserve">Pengertian Jihad</w:t>
      </w:r>
    </w:p>
    <w:p>
      <w:pPr>
        <w:spacing w:line="360"/>
        <w:ind w:left="283" w:firstLine="555"/>
        <w:jc w:val="both"/>
      </w:pPr>
      <w:r>
        <w:rPr>
          <w:color w:val="000000"/>
          <w:sz w:val="24"/>
          <w:szCs w:val="24"/>
          <w:rFonts w:ascii="Times New Roman" w:cs="Times New Roman" w:eastAsia="Times New Roman" w:hAnsi="Times New Roman"/>
        </w:rPr>
        <w:t xml:space="preserve">Kata “jihad” berasal dari kata “jahada”, yang berarti “usaha”, atau “jahdun” (جَهْدٌ), yang berarti “kekuatan”, dan “juhdun”(جُهْدٌ), yang berarti “kekuatan”. "Mengeluarkan segala kemampuan, kesungguhan, kekuatan, dan kesanggupan pada jalan yang diyakini kebenarannya" adalah definisi bahasa jihad. Akibatnya, kata ini juga dapat berarti ijtihad, yang berarti bersungguh-sungguh, rajin, giat, atau mencurahkan kemampuan, daya upaya, atau usaha keras untuk mencapai atau memperoleh sesuatu serta melepaskan diri dari keraguan sehingga mencapai peringkat yang yakin. Menurut pengertian bahasa, jihad sebenarnya memiliki makna yang sangat luas. Oleh karena itu, jihad secara bahasa dapat diterjemahkan sebagai usaha yang sungguh-sungguh dan berkualitas untuk menghasilkan sesuatu yang bermanfaat dan diridhai oleh Allah SWT. Usaha-usaha ini dapat mencakup amal saleh secara keseluruhan, keimanan yang kuat di dalam hati, atau upaya untuk menolak sesuatu yang dimurkai oleh Allah SWT.</w:t>
      </w:r>
      <w:r>
        <w:rPr>
          <w:color w:val="000000"/>
          <w:sz w:val="24"/>
          <w:szCs w:val="24"/>
          <w:rFonts w:ascii="Times New Roman" w:cs="Times New Roman" w:eastAsia="Times New Roman" w:hAnsi="Times New Roman"/>
        </w:rPr>
      </w:r>
      <w:r>
        <w:rPr>
          <w:rStyle w:val="FootnoteReference"/>
        </w:rPr>
        <w:footnoteReference w:id="1"/>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Muhammad Fuad (1992) menyatakan bahwa term jihad dengan berbagai derivasinya disebutkan dalam Al-Qur'an sebanyak 41 kali. Dari 41 term tersebut, kebanyakan bergandengan dengan term "fisabilillah" (di jalan Allah). Kata jihad yang mengandung pengertian perjuangan tersebut memberikan indikasi bahwa jihad memiliki makna yang luas, yakni perjuangan secara total yang meliputi seluruh aspek kehidupan. Meskipun demikian, tidak dapat dipungkiri bahwa terdapat ayat yang mengandung pengertian jihad sebagai perang fisik atau mengangkat senjata terhadap para pembangkang atau musuh. Namun, ayat-ayat lain justru memaknai jihad sebagai perjuangan yang bersifat universal.</w:t>
      </w:r>
      <w:r>
        <w:rPr>
          <w:color w:val="000000"/>
          <w:sz w:val="24"/>
          <w:szCs w:val="24"/>
          <w:rFonts w:ascii="Times New Roman" w:cs="Times New Roman" w:eastAsia="Times New Roman" w:hAnsi="Times New Roman"/>
        </w:rPr>
      </w:r>
      <w:r>
        <w:rPr>
          <w:rStyle w:val="FootnoteReference"/>
        </w:rPr>
        <w:footnoteReference w:id="2"/>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Sebagaimana ayat-ayat Al-Qur'an yang terbagi dalam dua kategori, yaitu ayat-ayat makkiyyah dan madaniyyah, ayat-ayat tentang jihad juga terbagi menjadi makkiyyah dan madaniyyah. Ayat-ayat jihad yang termasuk kategori makkiyyah lebih tepat dimaknai dengan pengertian menurut bahasa, yaitu mengerahkan segenap kemampuan untuk mencapai ridha Allah SWT. Ayat-ayat makkiyyah yang memerintahkan berjihad terhadap orang-orang kafir tidak dapat diartikan sebagai berperang melawan mereka, karena tidak ada bukti historis tentang peperangan yang dilakukan oleh Rasulullah selama periode Mekah. Keterangan di atas membuktikan bahwa jihad di dalam Al-Qur'an pada umumnya berarti bersungguh-sungguh. Dengan demikian, dapat dipahami bahwa pemahaman tentang jihad yang selalu mengidentikkan dengan perang bukanlah pemahaman yang bersumber dari Al-Qur'an. Oleh karena itu, keliru jika dikatakan bahwa semangat perang lahir dari ayat-ayat jihad dalam Al-Qur'an.</w:t>
      </w:r>
      <w:r>
        <w:rPr>
          <w:color w:val="000000"/>
          <w:sz w:val="24"/>
          <w:szCs w:val="24"/>
          <w:rFonts w:ascii="Times New Roman" w:cs="Times New Roman" w:eastAsia="Times New Roman" w:hAnsi="Times New Roman"/>
        </w:rPr>
      </w:r>
      <w:r>
        <w:rPr>
          <w:rStyle w:val="FootnoteReference"/>
        </w:rPr>
        <w:footnoteReference w:id="3"/>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Adapun kata atau istilah lain dalam Al-Qur'an yang berarti perang adalah "qital" dan "harb". Perang yang dimaksud adalah perang karena latar belakang pribadi atau kelompok dengan tujuan mencari keuntungan, bukan atas dasar meninggikan agama Allah SWT. Terminologi jihad yang telah dikemukakan di atas melahirkan berbagai definisi di kalangan ulama dan intelektual. Menurut Ahmad Thayyeb (2016), jihad dapat dimaknai sebagai usaha keras dalam menaati Allah, dengan melaksanakan perintah-Nya dan menjauhi larangan-Nya. Termasuk juga usaha dalam mengajak orang lain—baik Muslim maupun kafir—untuk menaati Allah, serta usaha dalam memerangi orang kafir untuk meninggikan kalimat Allah. Sebuah upaya dikatakan sebagai jihad jika memenuhi syarat-syarat tertentu, yaitu dengan niat yang ikhlas, tujuan yang benar, dan dilaksanakan sesuai dengan syariat Islam.</w:t>
      </w:r>
    </w:p>
    <w:p>
      <w:pPr>
        <w:spacing w:line="360"/>
        <w:ind w:left="283" w:firstLine="555"/>
        <w:jc w:val="both"/>
      </w:pPr>
      <w:r>
        <w:rPr>
          <w:color w:val="000000"/>
          <w:sz w:val="24"/>
          <w:szCs w:val="24"/>
          <w:rFonts w:ascii="Times New Roman" w:cs="Times New Roman" w:eastAsia="Times New Roman" w:hAnsi="Times New Roman"/>
        </w:rPr>
        <w:t xml:space="preserve">Jihad adalah berjuang dengan sungguh-sungguh menurut syariat Islam. Jihad dilaksanakan untuk menjalankan misi utama manusia, yaitu menegakkan agama Allah atau menjaga agama tetap tegak, dengan cara-cara yang sesuai dengan garis perjuangan para Rasul dan Al-Qur'an. Jihad yang dilaksanakan Rasul adalah berdakwah agar manusia meninggalkan kemusyrikan dan kembali kepada aturan Allah, menyucikan qalbu, memberikan pengajaran kepada umat, dan mendidik manusia agar sesuai dengan tujuan penciptaan mereka, yaitu menjadi khalifah Allah di bumi. 	Arti kata jihad sering disalahpahami oleh orang yang tidak mengenal prinsip-prinsip agama Islam sebagai 'perang suci' (holy war); istilah untuk perang adalah qital, bukan jihad. Jihad dalam bentuk perang dilaksanakan jika terjadi fitnah yang membahayakan eksistensi umat, seperti serangan-serangan dari luar. Pada dasarnya, arti kata jihad adalah "berjuang" atau "berusaha dengan keras", namun bukan berarti "perang dalam makna fisik". Jika sekarang jihad lebih sering diartikan sebagai "perjuangan untuk agama", itu tidak harus berarti perjuangan fisik. Mengartikan jihad hanya sebagai peperangan fisik dan eksternal untuk membela agama sangat berbahaya, karena mudah dimanfaatkan dan rentan terhadap fitnah.</w:t>
      </w:r>
      <w:r>
        <w:rPr>
          <w:color w:val="000000"/>
          <w:sz w:val="24"/>
          <w:szCs w:val="24"/>
          <w:rFonts w:ascii="Times New Roman" w:cs="Times New Roman" w:eastAsia="Times New Roman" w:hAnsi="Times New Roman"/>
        </w:rPr>
      </w:r>
      <w:r>
        <w:rPr>
          <w:rStyle w:val="FootnoteReference"/>
        </w:rPr>
        <w:footnoteReference w:id="4"/>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Quraish Shihab (1996:494) mengatakan bahwa jihad juga mengandung arti "kemampuan" yang menuntut sang mujahid mengeluarkan segala daya dan kemampuannya demi mencapai tujuan. Karena itu, jihad adalah pengorbanan, dan dengan demikian sang mujahid tidak menuntut atau mengambil, tetapi memberi semua yang dimilikinya. Ketika memberi, dia tidak berhenti sebelum tujuannya tercapai atau yang dimilikinya habis.</w:t>
      </w:r>
      <w:r>
        <w:rPr>
          <w:color w:val="000000"/>
          <w:sz w:val="24"/>
          <w:szCs w:val="24"/>
          <w:rFonts w:ascii="Times New Roman" w:cs="Times New Roman" w:eastAsia="Times New Roman" w:hAnsi="Times New Roman"/>
        </w:rPr>
      </w:r>
      <w:r>
        <w:rPr>
          <w:rStyle w:val="FootnoteReference"/>
        </w:rPr>
        <w:footnoteReference w:id="5"/>
      </w:r>
      <w:r>
        <w:rPr>
          <w:color w:val="000000"/>
          <w:sz w:val="24"/>
          <w:szCs w:val="24"/>
          <w:rFonts w:ascii="Times New Roman" w:cs="Times New Roman" w:eastAsia="Times New Roman" w:hAnsi="Times New Roman"/>
        </w:rPr>
      </w:r>
    </w:p>
    <w:p>
      <w:pPr>
        <w:pStyle w:val="bold"/>
        <w:numPr>
          <w:ilvl w:val="0"/>
          <w:numId w:val="58"/>
        </w:numPr>
        <w:spacing w:line="360"/>
        <w:ind w:left="283" w:hanging="272" w:firstLine="0"/>
        <w:jc w:val="both"/>
      </w:pPr>
      <w:r>
        <w:rPr>
          <w:color w:val="000000"/>
          <w:sz w:val="24"/>
          <w:szCs w:val="24"/>
          <w:rFonts w:ascii="Times New Roman" w:cs="Times New Roman" w:eastAsia="Times New Roman" w:hAnsi="Times New Roman"/>
        </w:rPr>
        <w:t xml:space="preserve">Perbedaan Jihad dan Terorisme</w:t>
      </w:r>
    </w:p>
    <w:p>
      <w:pPr>
        <w:spacing w:line="360"/>
        <w:ind w:left="283" w:firstLine="555"/>
        <w:jc w:val="both"/>
      </w:pPr>
      <w:r>
        <w:rPr>
          <w:color w:val="000000"/>
          <w:sz w:val="24"/>
          <w:szCs w:val="24"/>
          <w:rFonts w:ascii="Times New Roman" w:cs="Times New Roman" w:eastAsia="Times New Roman" w:hAnsi="Times New Roman"/>
        </w:rPr>
        <w:t xml:space="preserve">Perbincangan mengenai jihad dan terorisme sering kali menjadi topik yang kompleks dan penuh kontroversi. Kedua istilah ini kerap disalahartikan dan disalahgunakan, baik oleh media maupun oleh individu-individu tertentu, sehingga menciptakan persepsi yang keliru di masyarakat. Maka pemakalah pada point ini mengurai perbedaan mendasar antara jihad, yang memiliki akar religius dan spiritual dalam Islam, dengan terorisme, yang merupakan tindakan kekerasan yang melanggar nilai-nilai kemanusiaan dan hukum internasional.</w:t>
      </w:r>
    </w:p>
    <w:p>
      <w:pPr>
        <w:spacing w:line="360"/>
        <w:ind w:left="283" w:firstLine="555"/>
        <w:jc w:val="both"/>
      </w:pPr>
      <w:r>
        <w:rPr>
          <w:color w:val="000000"/>
          <w:sz w:val="24"/>
          <w:szCs w:val="24"/>
          <w:rFonts w:ascii="Times New Roman" w:cs="Times New Roman" w:eastAsia="Times New Roman" w:hAnsi="Times New Roman"/>
        </w:rPr>
        <w:t xml:space="preserve">Terorisme dapat diartikan sebagai tindakan kekerasan atau ancaman kekerasan yang ditujukan kepada sasaran acak (yang tidak memiliki hubungan langsung dengan pelaku) dan mengakibatkan kerusakan, kematian, ketakutan, ketidakpastian, dan keputusasaan massal. Tindakan terorisme tersebut dilakukan dengan tujuan memaksakan kehendak kepada pihak yang dianggap lawan oleh kelompok teroris, agar kepentingan mereka diakui dan dihargai. Dengan definisi ini, unsur-unsur yang harus ada dalam pengertian terorisme adalah tindakan kekerasan yang mengakibatkan kerusakan, kematian, ketakutan, ketidakpastian, dan keputusasaan massal; sasaran tindakan adalah sasaran acak yang tidak memiliki hubungan langsung dengan pelaku; dan motivasi pelaku tidak dapat dikhususkan hanya pada motivasi politik saja, karena dalam banyak kasus, kepentingan non-politik seperti keyakinan juga merupakan latar belakangnya.</w:t>
      </w:r>
      <w:r>
        <w:rPr>
          <w:color w:val="000000"/>
          <w:sz w:val="24"/>
          <w:szCs w:val="24"/>
          <w:rFonts w:ascii="Times New Roman" w:cs="Times New Roman" w:eastAsia="Times New Roman" w:hAnsi="Times New Roman"/>
        </w:rPr>
      </w:r>
      <w:r>
        <w:rPr>
          <w:rStyle w:val="FootnoteReference"/>
        </w:rPr>
        <w:footnoteReference w:id="6"/>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Fenomena terorisme yang berkembang di dunia internasional saat ini tidak dapat dipisahkan dari adanya wacana yang dibentuk untuk membangun pemahaman bersama terkait terorisme. Rainer Hülsse dan Alexander Spencer menjelaskan bahwa terorisme dihasilkan dari konstruksi sosial. Mereka lebih lanjut menyatakan bahwa realitas terkait terorisme merupakan hasil dari pembentukan wacana oleh musuh para teroris, yang kemudian membentuk motivasi, strategi, serta struktur organisasi dan tujuan para aktor teroris itu sendiri. Sebagai ilustrasi, konstruksi “metafora” Al-Qaeda oleh pers populer Jerman setelah serangan teroris di New York dan Washington pada tahun 2001, Madrid pada tahun 2004, dan London pada tahun 2005 dapat digunakan untuk memahami pendekatan ini. Kasus-kasus tersebut awalnya dimaknai sebagai bentuk “perang” antar aktor dalam lingkup dunia internasional. Namun, sejak tahun 2004 dan seterusnya, wacana yang berkembang menggeser makna serangan Al-Qaeda dari bentuk perang menjadi tindakan kriminal. Hal ini berdampak pada pembangunan makna tentang Al-Qaeda sebagai sebuah institusi kriminal yang kini dikenal sebagai lembaga teroris. Pergeseran ini juga telah mengubah pandangan terhadap Al-Qaeda dari ancaman eksternal menjadi ancaman internal, yang mensyaratkan pergeseran praktik kontra-terorisme dari perang antar militer ke respons instrumen yudisial (Hülsse &amp; Spencer, 2008).</w:t>
      </w:r>
      <w:r>
        <w:rPr>
          <w:color w:val="000000"/>
          <w:sz w:val="24"/>
          <w:szCs w:val="24"/>
          <w:rFonts w:ascii="Times New Roman" w:cs="Times New Roman" w:eastAsia="Times New Roman" w:hAnsi="Times New Roman"/>
        </w:rPr>
      </w:r>
      <w:r>
        <w:rPr>
          <w:rStyle w:val="FootnoteReference"/>
        </w:rPr>
        <w:footnoteReference w:id="7"/>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Sementara itu, dinamika perkembangan terkait isu terorisme di Indonesia sebenarnya sudah ada sejak usia negara Indonesia sendiri. Artinya, sejak Indonesia merdeka pada tahun 1945, sudah ada gerakan-gerakan yang dapat dimasukkan ke dalam kategori konsep terorisme secara terminologi. Bahkan, perjuangan kemerdekaan Indonesia bisa jadi bagi pemerintah kolonial Belanda dikategorikan sebagai aksi teror dengan landasan nasionalis. Peristiwa-peristiwa yang masuk dalam kategori tindakan teror sudah ada jauh sebelum Indonesia memiliki instrumen hukum tentang anti-terorisme. Misalnya, kasus Pemberontakan PKI Madiun (1948), Pemberontakan oleh DII/TII di Jawa Barat (1949), Angkatan Perang Ratu Adil (APRA) pada tahun 1950, Republik Maluku Selatan (1950), Pemberontakan DI/TII Sulawesi Selatan (1952), Pemberontakan DI/TII Aceh (1953), Organisasi Papua Merdeka (1960-an), PRRI/PERMESTA (1958), Pemberontakan PKI (1965), dan Pemberontakan Fretelin di Timor-Timur (1975) (Muradi, 2012). Namun, peristiwa-peristiwa tersebut dipersepsikan sebagai kelompok gerakan pemberontakan oleh pemerintah Indonesia. Indonesia pada waktu itu belum memiliki instrumen hukum yang khusus untuk memaknai kelompok-kelompok tersebut sebagai kelompok teroris.</w:t>
      </w:r>
      <w:r>
        <w:rPr>
          <w:color w:val="000000"/>
          <w:sz w:val="24"/>
          <w:szCs w:val="24"/>
          <w:rFonts w:ascii="Times New Roman" w:cs="Times New Roman" w:eastAsia="Times New Roman" w:hAnsi="Times New Roman"/>
        </w:rPr>
      </w:r>
      <w:r>
        <w:rPr>
          <w:rStyle w:val="FootnoteReference"/>
        </w:rPr>
        <w:footnoteReference w:id="8"/>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Baru pada tahun 2000-an, isu terorisme dianggap sebagai ancaman nasional. Pada waktu itu, aksi teror yang muncul lebih banyak dilandasi alasan tuntutan untuk merdeka atau landasan ideologi, yang dianggap oleh pemerintah Indonesia sebagai tindakan pemberontakan dalam negeri yang mengancam keamanan nasional, bukan sebagai tindakan terorisme yang dilakukan oleh jaringan terorisme internasional seperti yang terjadi saat ini.</w:t>
      </w:r>
      <w:r>
        <w:rPr>
          <w:color w:val="000000"/>
          <w:sz w:val="24"/>
          <w:szCs w:val="24"/>
          <w:rFonts w:ascii="Times New Roman" w:cs="Times New Roman" w:eastAsia="Times New Roman" w:hAnsi="Times New Roman"/>
        </w:rPr>
      </w:r>
      <w:r>
        <w:rPr>
          <w:rStyle w:val="FootnoteReference"/>
        </w:rPr>
        <w:footnoteReference w:id="9"/>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Dari penjelasan di atas tentang terorisme dan apabila kita bandingkan dengan hakikat dari jihad sangatlah berbeda. dimana Jihad terambil dari kata juhd/jahd yang berarti antara lain kesulitan dan kemampuan. Dari sini lahir istilah “ijithad” yang bermakna mengerahkan kemampuan dalam menyelesaikan kesulitan, biasanya identik dengan kegiatan berfikir. Dari kata ini juga lahir “mujahadah” yang identik dengan pergulatan batin dalam melawan hawa nafsu. Kata jihad dalam al-Qur’an diartikan dalam beberapa makna antara lain:</w:t>
      </w:r>
      <w:r>
        <w:rPr>
          <w:color w:val="000000"/>
          <w:sz w:val="24"/>
          <w:szCs w:val="24"/>
          <w:rFonts w:ascii="Times New Roman" w:cs="Times New Roman" w:eastAsia="Times New Roman" w:hAnsi="Times New Roman"/>
        </w:rPr>
      </w:r>
      <w:r>
        <w:rPr>
          <w:rStyle w:val="FootnoteReference"/>
        </w:rPr>
        <w:footnoteReference w:id="10"/>
      </w:r>
      <w:r>
        <w:rPr>
          <w:color w:val="000000"/>
          <w:sz w:val="24"/>
          <w:szCs w:val="24"/>
          <w:rFonts w:ascii="Times New Roman" w:cs="Times New Roman" w:eastAsia="Times New Roman" w:hAnsi="Times New Roman"/>
        </w:rPr>
      </w:r>
    </w:p>
    <w:p>
      <w:pPr>
        <w:pStyle w:val="normal"/>
        <w:numPr>
          <w:ilvl w:val="1"/>
          <w:numId w:val="59"/>
        </w:numPr>
        <w:spacing w:line="360"/>
        <w:ind w:left="566" w:hanging="277" w:firstLine="277"/>
        <w:jc w:val="both"/>
      </w:pPr>
      <w:r>
        <w:rPr>
          <w:color w:val="000000"/>
          <w:sz w:val="24"/>
          <w:szCs w:val="24"/>
          <w:rFonts w:ascii="Times New Roman" w:cs="Times New Roman" w:eastAsia="Times New Roman" w:hAnsi="Times New Roman"/>
        </w:rPr>
        <w:t xml:space="preserve">Mengangkat senjata, sebagaimana dalam QS. An-Nisa: 95:</w:t>
      </w:r>
    </w:p>
    <w:p>
      <w:pPr>
        <w:pStyle w:val="normal"/>
        <w:numPr>
          <w:ilvl w:val="1"/>
          <w:numId w:val="59"/>
        </w:numPr>
        <w:spacing w:line="360"/>
        <w:ind w:left="566" w:hanging="277" w:firstLine="277"/>
        <w:jc w:val="both"/>
      </w:pPr>
      <w:r>
        <w:rPr>
          <w:color w:val="000000"/>
          <w:sz w:val="24"/>
          <w:szCs w:val="24"/>
          <w:rFonts w:ascii="Times New Roman" w:cs="Times New Roman" w:eastAsia="Times New Roman" w:hAnsi="Times New Roman"/>
        </w:rPr>
        <w:t xml:space="preserve">Ucapan, argumen, dan pendapat (qawl), sebagaimana dalam QS. Al-Furqan: 52:</w:t>
      </w:r>
    </w:p>
    <w:p>
      <w:pPr>
        <w:pStyle w:val="normal"/>
        <w:numPr>
          <w:ilvl w:val="1"/>
          <w:numId w:val="59"/>
        </w:numPr>
        <w:spacing w:line="360"/>
        <w:ind w:left="566" w:hanging="277" w:firstLine="277"/>
        <w:jc w:val="both"/>
      </w:pPr>
      <w:r>
        <w:rPr>
          <w:color w:val="000000"/>
          <w:sz w:val="24"/>
          <w:szCs w:val="24"/>
          <w:rFonts w:ascii="Times New Roman" w:cs="Times New Roman" w:eastAsia="Times New Roman" w:hAnsi="Times New Roman"/>
        </w:rPr>
        <w:t xml:space="preserve">Amal dan bekerja, sebagaimana dalam QS. Al-Ankabut: 6:</w:t>
      </w:r>
    </w:p>
    <w:p>
      <w:pPr>
        <w:spacing w:line="360"/>
        <w:ind w:left="566" w:firstLine="555"/>
        <w:jc w:val="both"/>
      </w:pPr>
      <w:r>
        <w:rPr>
          <w:color w:val="000000"/>
          <w:sz w:val="24"/>
          <w:szCs w:val="24"/>
          <w:rFonts w:ascii="Times New Roman" w:cs="Times New Roman" w:eastAsia="Times New Roman" w:hAnsi="Times New Roman"/>
        </w:rPr>
        <w:t xml:space="preserve">Harb dalam al-Qur’an memiliki makna antara lain:</w:t>
      </w:r>
    </w:p>
    <w:p>
      <w:pPr>
        <w:pStyle w:val="normal"/>
        <w:numPr>
          <w:ilvl w:val="1"/>
          <w:numId w:val="59"/>
        </w:numPr>
        <w:spacing w:line="360"/>
        <w:ind w:left="566" w:hanging="277" w:firstLine="277"/>
        <w:jc w:val="both"/>
      </w:pPr>
      <w:r>
        <w:rPr>
          <w:color w:val="000000"/>
          <w:sz w:val="24"/>
          <w:szCs w:val="24"/>
          <w:rFonts w:ascii="Times New Roman" w:cs="Times New Roman" w:eastAsia="Times New Roman" w:hAnsi="Times New Roman"/>
        </w:rPr>
        <w:t xml:space="preserve">Perang, sebagaimana dalam QS. Muhammad: 4:</w:t>
      </w:r>
    </w:p>
    <w:p>
      <w:pPr>
        <w:pStyle w:val="normal"/>
        <w:numPr>
          <w:ilvl w:val="1"/>
          <w:numId w:val="59"/>
        </w:numPr>
        <w:spacing w:line="360"/>
        <w:ind w:left="566" w:hanging="277" w:firstLine="277"/>
        <w:jc w:val="both"/>
      </w:pPr>
      <w:r>
        <w:rPr>
          <w:color w:val="000000"/>
          <w:sz w:val="24"/>
          <w:szCs w:val="24"/>
          <w:rFonts w:ascii="Times New Roman" w:cs="Times New Roman" w:eastAsia="Times New Roman" w:hAnsi="Times New Roman"/>
        </w:rPr>
        <w:t xml:space="preserve">Menantang syariah dan melakukan kerusakan di bumi, sebagaimana dalam QS. Al-Maidah: 33:</w:t>
      </w:r>
    </w:p>
    <w:p>
      <w:pPr>
        <w:spacing w:line="360"/>
        <w:ind w:left="566" w:firstLine="555"/>
        <w:jc w:val="both"/>
      </w:pPr>
      <w:r>
        <w:rPr>
          <w:color w:val="000000"/>
          <w:sz w:val="24"/>
          <w:szCs w:val="24"/>
          <w:rFonts w:ascii="Times New Roman" w:cs="Times New Roman" w:eastAsia="Times New Roman" w:hAnsi="Times New Roman"/>
        </w:rPr>
        <w:t xml:space="preserve">Qatl atau qital dalam al-Qur’an memiliki beberapa makna antara lain:</w:t>
      </w:r>
    </w:p>
    <w:p>
      <w:pPr>
        <w:pStyle w:val="normal"/>
        <w:numPr>
          <w:ilvl w:val="1"/>
          <w:numId w:val="59"/>
        </w:numPr>
        <w:spacing w:line="360"/>
        <w:ind w:left="566" w:hanging="277" w:firstLine="277"/>
        <w:jc w:val="both"/>
      </w:pPr>
      <w:r>
        <w:rPr>
          <w:color w:val="000000"/>
          <w:sz w:val="24"/>
          <w:szCs w:val="24"/>
          <w:rFonts w:ascii="Times New Roman" w:cs="Times New Roman" w:eastAsia="Times New Roman" w:hAnsi="Times New Roman"/>
        </w:rPr>
        <w:t xml:space="preserve">Perang, sebagaimana dalam QS. Al-Baqarah: 191:</w:t>
      </w:r>
    </w:p>
    <w:p>
      <w:pPr>
        <w:pStyle w:val="normal"/>
        <w:numPr>
          <w:ilvl w:val="1"/>
          <w:numId w:val="59"/>
        </w:numPr>
        <w:spacing w:line="360"/>
        <w:ind w:left="566" w:hanging="277" w:firstLine="277"/>
        <w:jc w:val="both"/>
      </w:pPr>
      <w:r>
        <w:rPr>
          <w:color w:val="000000"/>
          <w:sz w:val="24"/>
          <w:szCs w:val="24"/>
          <w:rFonts w:ascii="Times New Roman" w:cs="Times New Roman" w:eastAsia="Times New Roman" w:hAnsi="Times New Roman"/>
        </w:rPr>
        <w:t xml:space="preserve">Azab atau siksaan, sebagaimana dalam QS. Al-Ahzab: 61:</w:t>
      </w:r>
    </w:p>
    <w:p>
      <w:pPr>
        <w:pStyle w:val="normal"/>
        <w:numPr>
          <w:ilvl w:val="1"/>
          <w:numId w:val="59"/>
        </w:numPr>
        <w:spacing w:line="360"/>
        <w:ind w:left="566" w:hanging="277" w:firstLine="277"/>
        <w:jc w:val="both"/>
      </w:pPr>
      <w:r>
        <w:rPr>
          <w:color w:val="000000"/>
          <w:sz w:val="24"/>
          <w:szCs w:val="24"/>
          <w:rFonts w:ascii="Times New Roman" w:cs="Times New Roman" w:eastAsia="Times New Roman" w:hAnsi="Times New Roman"/>
        </w:rPr>
        <w:t xml:space="preserve">Qishas, sebagaimana dalam QS. Al-Isra: 33:</w:t>
      </w:r>
    </w:p>
    <w:p>
      <w:pPr>
        <w:spacing w:line="360"/>
        <w:ind w:left="566" w:firstLine="555"/>
        <w:jc w:val="both"/>
      </w:pPr>
      <w:r>
        <w:rPr>
          <w:color w:val="000000"/>
          <w:sz w:val="24"/>
          <w:szCs w:val="24"/>
          <w:rFonts w:ascii="Times New Roman" w:cs="Times New Roman" w:eastAsia="Times New Roman" w:hAnsi="Times New Roman"/>
        </w:rPr>
        <w:t xml:space="preserve">Konteks perang dalam tata aturan Islam hanya diperkenankan membunuh terhadap mereka yang ikut berperang atau menyerang. Sebaliknya, meskipun mereka itu sehat, masih muda dan kuat, terlebih lagi jika mereka orang yang sakit, tua renta, buta, dan terlantar, maka tidak boleh dibunuh sepanjang mereka tidak ikut berperang. Perang dalam Islam dibolehkan dengan beberapa alasan. Pertama, jika pihak lawan menyerang lebih dahulu. Kedua, pihak lawan mengkhianati perjanjian dan kesepakatan bersama.</w:t>
      </w:r>
      <w:r>
        <w:rPr>
          <w:color w:val="000000"/>
          <w:sz w:val="24"/>
          <w:szCs w:val="24"/>
          <w:rFonts w:ascii="Times New Roman" w:cs="Times New Roman" w:eastAsia="Times New Roman" w:hAnsi="Times New Roman"/>
        </w:rPr>
      </w:r>
      <w:r>
        <w:rPr>
          <w:rStyle w:val="FootnoteReference"/>
        </w:rPr>
        <w:footnoteReference w:id="11"/>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Jika melihat realitas sejarah perang dalam Islam, ternyata yang melatarbelakangi terjadinya perang berawal dari penindasan yang dialami oleh kaum muslimin sepeninggal Nabi hijrah ke Madinah yang amat memilukan. Penyiksaan bahkan pembunuhan dilakukan oleh Quraisy Makkah terhadap umat Islam. Kebencian itu terus berlanjut hingga pada upaya menghancurkan dan merusak tatanan masyarakat madani yang dibangun oleh Nabi Muhammad di Yathrib (Madinah). Suasana itu mengantar turunnya perintah jihad melalui perang, seperti yang tersebut dalam QS. Al-Hajj: 39:</w:t>
      </w:r>
      <w:r>
        <w:rPr>
          <w:color w:val="000000"/>
          <w:sz w:val="24"/>
          <w:szCs w:val="24"/>
          <w:rFonts w:ascii="Times New Roman" w:cs="Times New Roman" w:eastAsia="Times New Roman" w:hAnsi="Times New Roman"/>
        </w:rPr>
      </w:r>
      <w:r>
        <w:rPr>
          <w:rStyle w:val="FootnoteReference"/>
        </w:rPr>
        <w:footnoteReference w:id="12"/>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Para ulama sependapat bahwa ayat di atas adalah ayat pertama yang memberi izin kepada umat Muslim untuk mengangkat senjata guna melindungi diri mereka. Ayat ini meletakkan dasar-dasar yang menjadi pedoman bagi umat Muslim dalam melakukan perang defensif. Ayat kemudian memperkuat legalisasi perang secara defensif dengan menjaga pranata sosial dan ibadah dengan tidak merusak secara membabi buta seperti yang disebut dalam QS. Al-Hajj: 40:</w:t>
      </w:r>
      <w:r>
        <w:rPr>
          <w:color w:val="000000"/>
          <w:sz w:val="24"/>
          <w:szCs w:val="24"/>
          <w:rFonts w:ascii="Times New Roman" w:cs="Times New Roman" w:eastAsia="Times New Roman" w:hAnsi="Times New Roman"/>
        </w:rPr>
      </w:r>
      <w:r>
        <w:rPr>
          <w:rStyle w:val="FootnoteReference"/>
        </w:rPr>
        <w:footnoteReference w:id="13"/>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Berdasarkan ayat-ayat di atas, bentuk jihad adalah melakukan perlawanan kepada mereka yang menyerang terlebih dahulu. Jihad dengan senjata hanya dilakukan dalam keadaan terpaksa dan terdesak, seperti yang dipraktikkan Rasulullah saw. Perang yang dibenarkan adalah perang untuk tujuan mulia, yaitu menegakkan kebebasan beragama dan beribadah, membela kehormatan diri dan bangsa.</w:t>
      </w:r>
    </w:p>
    <w:p>
      <w:pPr>
        <w:spacing w:line="360"/>
        <w:ind w:left="566" w:firstLine="555"/>
        <w:jc w:val="both"/>
      </w:pPr>
      <w:r>
        <w:rPr>
          <w:color w:val="000000"/>
          <w:sz w:val="24"/>
          <w:szCs w:val="24"/>
          <w:rFonts w:ascii="Times New Roman" w:cs="Times New Roman" w:eastAsia="Times New Roman" w:hAnsi="Times New Roman"/>
        </w:rPr>
        <w:t xml:space="preserve">Tindakan yang semena-mena dilakukan oleh Quraisy Makkah mendorong Nabi Muhammad saw bersama komunitas yang sudah kuat memasuki kota Makkah. Bayangan perang yang amat dahsyat atau pembalasan yang dilakukan oleh umat Islam segera muncul di benak orang ketika itu. Namun yang terjadi tidak seperti apa yang mereka prediksikan. Mereka mengira akan mendapat perlakuan balas dendam seperti kasus perlakuan saudara-saudara Nabi Yusuf. Namun Nabi Muhammad ternyata memaafkan dan melepaskan mereka dari hukuman. Bayangan orang Quraisy akan pembalasan yang dilakukan Muhammad ternyata berbeda dengan fakta. Pernyataan Nabi “antum thulaqa” artinya kalian bebas tanpa syarat, membuat orang-orang Quraisy simpatik terhadap Muhammad. Nabi Muhammad dan para sahabat sekalipun dalam keadaan kuat tidak pernah memaksakan ideologi Islam kepada kafir Quraisy. Beberapa ayat yang menjadi dasar antara lain:</w:t>
      </w:r>
      <w:r>
        <w:rPr>
          <w:color w:val="000000"/>
          <w:sz w:val="24"/>
          <w:szCs w:val="24"/>
          <w:rFonts w:ascii="Times New Roman" w:cs="Times New Roman" w:eastAsia="Times New Roman" w:hAnsi="Times New Roman"/>
        </w:rPr>
      </w:r>
      <w:r>
        <w:rPr>
          <w:rStyle w:val="FootnoteReference"/>
        </w:rPr>
        <w:footnoteReference w:id="14"/>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ayat-ayat alqur'an: QS. Asy-Syu'ara: 84:, QS. Al-Baqarah: 256:, QS. Ali Imran: 159:</w:t>
      </w:r>
    </w:p>
    <w:p>
      <w:pPr>
        <w:spacing w:line="360"/>
        <w:ind w:left="566" w:firstLine="555"/>
        <w:jc w:val="both"/>
      </w:pPr>
      <w:r>
        <w:rPr>
          <w:color w:val="000000"/>
          <w:sz w:val="24"/>
          <w:szCs w:val="24"/>
          <w:rFonts w:ascii="Times New Roman" w:cs="Times New Roman" w:eastAsia="Times New Roman" w:hAnsi="Times New Roman"/>
        </w:rPr>
        <w:t xml:space="preserve">Meneror musuh yang mengancam stabilitas negara dan bangsa serta membahayakan kehidupan rakyat dibenarkan dalam Islam sebagaimana dalam QS. Al-Anfal: 60:</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dapun tindakan teror yang dilakukan oleh sebagian orang terutama yang melakukannya di negara Indonesia ini adalah tindakan yang tidak dapat diterima dan tidak dapat dilegitimasi oleh ayat maupun hadis. Tindakan teror dengan mengatasnamakan agama sesungguhnya mencederai kemurnian agama yang menjunjung tinggi nilai-nilai kemanusiaan. Orang luar yang mengklaim Islam sebagai agama teror dan orang yang menganggap dirinya muslim tapi mengklaim tindakan terornya benar, sesungguhnya mereka tidak memahami esensi Islam dan mengabaikan banyak ayat dan hadis yang menjelaskan tentang nilai-nilai kerahmatan, toleransi, dan keadilan tanpa melihat jenis, suku, dan agama orang. Dalam analisis penulis, tindakan teror bertentangan dengan beberapa hal:</w:t>
      </w:r>
      <w:r>
        <w:rPr>
          <w:color w:val="000000"/>
          <w:sz w:val="24"/>
          <w:szCs w:val="24"/>
          <w:rFonts w:ascii="Times New Roman" w:cs="Times New Roman" w:eastAsia="Times New Roman" w:hAnsi="Times New Roman"/>
        </w:rPr>
      </w:r>
      <w:r>
        <w:rPr>
          <w:rStyle w:val="FootnoteReference"/>
        </w:rPr>
        <w:footnoteReference w:id="15"/>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Pertama, teks-teks yang menjunjung tinggi nilai-nilai kemanusiaan untuk bebas berkeyakinan, sebagaimana dalam QS. Al-Baqarah: 256:</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Kedua, teks-teks yang menjunjung nilai-nilai keadilan sekalipun kepada orang yang beda agama QS. Al-Maidah: 8:</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Ketiga, teks-teks yang menjunjung tinggi nilai-nilai toleransi Al-An'am ayat 108:</w:t>
      </w:r>
    </w:p>
    <w:p>
      <w:pPr>
        <w:spacing w:line="360"/>
        <w:ind w:left="566" w:firstLine="555"/>
        <w:jc w:val="both"/>
      </w:pPr>
      <w:r>
        <w:rPr>
          <w:color w:val="000000"/>
          <w:sz w:val="24"/>
          <w:szCs w:val="24"/>
          <w:rFonts w:ascii="Times New Roman" w:cs="Times New Roman" w:eastAsia="Times New Roman" w:hAnsi="Times New Roman"/>
        </w:rPr>
        <w:t xml:space="preserve">ayat al-qur'an dan artinya</w:t>
      </w:r>
    </w:p>
    <w:p>
      <w:pPr>
        <w:spacing w:line="360"/>
        <w:ind w:left="566" w:firstLine="555"/>
        <w:jc w:val="both"/>
      </w:pPr>
      <w:r>
        <w:rPr>
          <w:color w:val="000000"/>
          <w:sz w:val="24"/>
          <w:szCs w:val="24"/>
          <w:rFonts w:ascii="Times New Roman" w:cs="Times New Roman" w:eastAsia="Times New Roman" w:hAnsi="Times New Roman"/>
        </w:rPr>
        <w:t xml:space="preserve">Maka dari penjelasan panjang lebar tentang jihad dan terorisme dapat pemakalah simpulkan perbedaan mereka sebagai berikut: jihad adalah konsep dalam Islam yang memiliki makna spiritual dan religius, berakar pada usaha dan perjuangan dalam berbagai bentuk, baik dalam bentuk intelektual, moral, maupun fisik untuk tujuan yang mulia seperti membela diri dan menegakkan keadilan. Jihad yang melibatkan senjata hanya dibenarkan dalam konteks perang defensif dan tidak boleh menyasar warga sipil atau non-kombatan. Sebaliknya, terorisme adalah tindakan kekerasan atau ancaman kekerasan yang ditujukan pada sasaran acak dengan tujuan menciptakan ketakutan, kerusakan, dan ketidakpastian massal, seringkali untuk memaksakan kehendak atau mencapai tujuan tertentu, termasuk politik atau ideologis. Terorisme melanggar nilai-nilai kemanusiaan dan hukum internasional, serta tidak memiliki dasar legitimasi dalam ajaran Islam.</w:t>
      </w:r>
    </w:p>
    <w:p>
      <w:pPr>
        <w:pStyle w:val="bold"/>
        <w:numPr>
          <w:ilvl w:val="0"/>
          <w:numId w:val="58"/>
        </w:numPr>
        <w:spacing w:line="360"/>
        <w:ind w:left="283" w:hanging="272" w:firstLine="0"/>
        <w:jc w:val="both"/>
      </w:pPr>
      <w:r>
        <w:rPr>
          <w:color w:val="000000"/>
          <w:sz w:val="24"/>
          <w:szCs w:val="24"/>
          <w:rFonts w:ascii="Times New Roman" w:cs="Times New Roman" w:eastAsia="Times New Roman" w:hAnsi="Times New Roman"/>
        </w:rPr>
        <w:t xml:space="preserve">Bom Bunuh Diri</w:t>
      </w:r>
    </w:p>
    <w:p>
      <w:pPr>
        <w:spacing w:line="360"/>
        <w:ind w:left="283" w:firstLine="555"/>
        <w:jc w:val="both"/>
      </w:pPr>
      <w:r>
        <w:rPr>
          <w:color w:val="000000"/>
          <w:sz w:val="24"/>
          <w:szCs w:val="24"/>
          <w:rFonts w:ascii="Times New Roman" w:cs="Times New Roman" w:eastAsia="Times New Roman" w:hAnsi="Times New Roman"/>
        </w:rPr>
        <w:t xml:space="preserve">Kata "bom" berasal dari bahasa Yunani βόμβος (bombos), istilah yang meniru suara ledakan "bom" dalam bahasa tersebut. Dalam Kamus Besar Bahasa Indonesia, bom diartikan sebagai senjata peledak atau peluru besar yang mampu meledak. Bunuh diri, dikenal sebagai suicide dalam bahasa Inggris dan harakiri dalam budaya Jepang, adalah tindakan mengakhiri hidup sendiri tanpa bantuan aktif orang lain. Bom bunuh diri merujuk pada tindakan seseorang yang menggunakan alat peledak untuk memenuhi ambisinya dengan cara bunuh diri. Biasanya, tindakan ini terjadi dalam situasi perang di mana seseorang merasa tidak memiliki pilihan lain untuk mengalahkan musuhnya. Bom sendiri adalah alat yang menghasilkan ledakan besar dan cepat, yang dapat menyebabkan kerusakan serius terhadap benda mati maupun hidup di sekitarnya.</w:t>
      </w:r>
      <w:r>
        <w:rPr>
          <w:color w:val="000000"/>
          <w:sz w:val="24"/>
          <w:szCs w:val="24"/>
          <w:rFonts w:ascii="Times New Roman" w:cs="Times New Roman" w:eastAsia="Times New Roman" w:hAnsi="Times New Roman"/>
        </w:rPr>
      </w:r>
      <w:r>
        <w:rPr>
          <w:rStyle w:val="FootnoteReference"/>
        </w:rPr>
        <w:footnoteReference w:id="16"/>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Menurut Nawaf Hail Takruri, bom bunuh diri atau dikenal juga sebagai bom manusia adalah ketika seorang mujahid mengisi tas atau mobilnya dengan bahan peledak, atau melilitkan bahan peledak pada tubuhnya, kemudian menyerang musuh di tempat mereka berkumpul, dengan risiko besar bahwa pelaku sendiri juga ikut terbunuh. Muhammad Tha’mah Al-Qadah mendefinisikan bom bunuh diri sebagai tindakan seorang mujahid yang mengorbankan hidupnya untuk melaksanakan tugas berat, dengan kemungkinan besar tidak selamat, tetapi diyakini memberikan manfaat besar bagi kaum Muslimin. Bom bunuh diri adalah bentuk perjuangan keyakinan bagi pelakunya, yang dianggap sebagai upaya untuk memperjuangkan kebenaran. Dalam bahasa Arab, bom bunuh diri dikenal sebagai intihaar, berasal dari kata kerja nahara yang artinya menyembelih dan membunuh diri sendiri.</w:t>
      </w:r>
      <w:r>
        <w:rPr>
          <w:color w:val="000000"/>
          <w:sz w:val="24"/>
          <w:szCs w:val="24"/>
          <w:rFonts w:ascii="Times New Roman" w:cs="Times New Roman" w:eastAsia="Times New Roman" w:hAnsi="Times New Roman"/>
        </w:rPr>
      </w:r>
      <w:r>
        <w:rPr>
          <w:rStyle w:val="FootnoteReference"/>
        </w:rPr>
        <w:footnoteReference w:id="17"/>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Istilah fundamentalisme dan radikalisme sering kali dicampuradukkan dengan terorisme dan bom bunuh diri, dan tidak jarang terorisme selalu dikaitkan dengan gerakan-gerakan Islam. Dalam wacana yang dikembangkan oleh dunia Barat dan sekutunya, terdapat pandangan bahwa Islam adalah yang paling mendukung terhadap tindakan terorisme. Namun, tindakan seperti perilaku terror atau bom bunuh diri yang dilakukan oleh mereka yang mengaku membela Islam, seharusnya dilihat kembali secara kasuistis. Sebagai contoh, peristiwa bom Bali pada 12 Oktober 2002, yang menewaskan 182 orang, sebagian besar warga negara asing, serta melukai ratusan lainnya, menandai fase baru dalam gerakan terorisme yang sering kali diberi label keagamaan. Tindakan ini seringkali berwajah keras, memaksa, merusak peradaban, dan bertentangan dengan martabat dan harkat manusia yang seharusnya menghargai keselamatan, kedamaian, dan kesejahteraan.</w:t>
      </w:r>
      <w:r>
        <w:rPr>
          <w:color w:val="000000"/>
          <w:sz w:val="24"/>
          <w:szCs w:val="24"/>
          <w:rFonts w:ascii="Times New Roman" w:cs="Times New Roman" w:eastAsia="Times New Roman" w:hAnsi="Times New Roman"/>
        </w:rPr>
      </w:r>
      <w:r>
        <w:rPr>
          <w:rStyle w:val="FootnoteReference"/>
        </w:rPr>
        <w:footnoteReference w:id="18"/>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Menurut Azumardi Azra, penyebab terorisme sering kali dipengaruhi oleh pemahaman yang salah tentang konsep jihad, yang sering disalahartikan sebagai perang suci untuk melawan orang kafir. Ada pandangan bahwa sistem pemerintahan di Indonesia tidak sesuai dengan pandangan mereka, yang menganggap bahwa hukum politik, fikih, dan syariah tidak boleh dipisahkan dari negara. Pimpinan negara harus patuh pada hukum Islam yang menetapkan cita-cita Islam sebagai satu-satunya hukum perang bagi mereka yang tidak mengikutinya. Ideologi Jihad menjadi semakin kentara dalam gerakan sosial Islam setelah tragedi 11 September. Peristiwa bom Bali 1 pada 12 Oktober 2002 sering dikaitkan dengan tragedi ini. Peristiwa bom Bali tidak hanya mencoreng nama Bali sebagai kawasan yang aman bagi masyarakat internasional, tetapi juga telah mengikutkan Indonesia sebagai sasaran perang global dalam terorisme, nama organisasi JI yang dikenal sebagai Jariangan Al-Qaeda di Asia Tenggara sangat diperbincangkan saat ini, dan menjadi awal perkenalan kalangan radikal yang masuk ke Indonesia. Bentuk penegakan hukum Islam diambil karena pemahaman agama yang radikal, dimana kekerasan atas nama agama sering di kaitkan dengan radikalisme agama.</w:t>
      </w:r>
      <w:r>
        <w:rPr>
          <w:color w:val="000000"/>
          <w:sz w:val="24"/>
          <w:szCs w:val="24"/>
          <w:rFonts w:ascii="Times New Roman" w:cs="Times New Roman" w:eastAsia="Times New Roman" w:hAnsi="Times New Roman"/>
        </w:rPr>
      </w:r>
      <w:r>
        <w:rPr>
          <w:rStyle w:val="FootnoteReference"/>
        </w:rPr>
        <w:footnoteReference w:id="19"/>
      </w:r>
      <w:r>
        <w:rPr>
          <w:color w:val="000000"/>
          <w:sz w:val="24"/>
          <w:szCs w:val="24"/>
          <w:rFonts w:ascii="Times New Roman" w:cs="Times New Roman" w:eastAsia="Times New Roman" w:hAnsi="Times New Roman"/>
        </w:rPr>
      </w:r>
    </w:p>
    <w:p>
      <w:pPr>
        <w:spacing w:line="360"/>
        <w:ind w:left="283" w:firstLine="555"/>
        <w:jc w:val="both"/>
      </w:pPr>
      <w:r>
        <w:rPr>
          <w:color w:val="000000"/>
          <w:sz w:val="24"/>
          <w:szCs w:val="24"/>
          <w:rFonts w:ascii="Times New Roman" w:cs="Times New Roman" w:eastAsia="Times New Roman" w:hAnsi="Times New Roman"/>
        </w:rPr>
        <w:t xml:space="preserve">Maka dapat pemakalah simpulkan bahwa bom bunuh diri ini yang dilakukan oleh orang yang mengaku seorang muslim merupkan kesalahpahaman dalam memahami konsep jihad, sehingga menghasilkan interpretasi yang menyimpang dari ajaran Islam. Jihad, seharusnya dipahami sebagai perjuangan yang luas untuk memperbaiki diri, mempertahankan keadilan, dan menegakkan nilai-nilai kebaikan, namun beberapa kelompok radikal memanfaatkannya sebagai justifikasi untuk tindakan kekerasan dan terorisme. Hal ini tidak hanya merugikan umat Islam sendiri tetapi juga memberikan pembenaran yang salah terhadap tindakan kekerasan yang bertentangan dengan nilai-nilai kemanusiaan. Oleh karena itu, penting untuk terus mendorong pendidikan dan diseminasi pemahaman yang benar tentang jihad dalam Islam, sebagai upaya untuk mencegah penyalahgunaan konsep ini oleh oknum-oknum yang tidak bertanggung jawab.</w:t>
      </w:r>
    </w:p>
    <w:p>
      <w:pPr>
        <w:pStyle w:val="bold"/>
        <w:numPr>
          <w:ilvl w:val="0"/>
          <w:numId w:val="58"/>
        </w:numPr>
        <w:spacing w:line="360"/>
        <w:ind w:left="283" w:hanging="272" w:firstLine="0"/>
        <w:jc w:val="both"/>
      </w:pPr>
      <w:r>
        <w:rPr>
          <w:color w:val="000000"/>
          <w:sz w:val="24"/>
          <w:szCs w:val="24"/>
          <w:rFonts w:ascii="Times New Roman" w:cs="Times New Roman" w:eastAsia="Times New Roman" w:hAnsi="Times New Roman"/>
        </w:rPr>
        <w:t xml:space="preserve">Pandangan Ulama Terhadap Bom Bunuh Diri Dan Terorisme</w:t>
      </w:r>
    </w:p>
    <w:p>
      <w:pPr>
        <w:pStyle w:val="normal"/>
        <w:numPr>
          <w:ilvl w:val="1"/>
          <w:numId w:val="59"/>
        </w:numPr>
        <w:spacing w:line="360"/>
        <w:ind w:left="566" w:hanging="277" w:firstLine="277"/>
        <w:jc w:val="both"/>
      </w:pPr>
      <w:r>
        <w:rPr>
          <w:color w:val="000000"/>
          <w:sz w:val="24"/>
          <w:szCs w:val="24"/>
          <w:rFonts w:ascii="Times New Roman" w:cs="Times New Roman" w:eastAsia="Times New Roman" w:hAnsi="Times New Roman"/>
        </w:rPr>
        <w:t xml:space="preserve">Pandangan ulama yang membolehkan</w:t>
      </w:r>
    </w:p>
    <w:p>
      <w:pPr>
        <w:spacing w:line="360"/>
        <w:ind w:left="566" w:firstLine="555"/>
        <w:jc w:val="both"/>
      </w:pPr>
      <w:r>
        <w:rPr>
          <w:color w:val="000000"/>
          <w:sz w:val="24"/>
          <w:szCs w:val="24"/>
          <w:rFonts w:ascii="Times New Roman" w:cs="Times New Roman" w:eastAsia="Times New Roman" w:hAnsi="Times New Roman"/>
        </w:rPr>
        <w:t xml:space="preserve">Yusuf al-Qaradawi mengeluarkan fatwa bahwa beliau menegaskan bom bunuh diri dipandang sebagai salah satu bentuk jihad yang paling agung di jalan Allah, dengan melakukan teror terhadap musuh yang disyariatkan dalam Surat Al-Anfal ayat 60. Berdasarkan pernyataan ini, tindakan bom bunuh diri yang dilakukan oleh pemuda Palestina dalam menghadapi tentara Israel dipandang sebagai bentuk jihad yang mulia, bahkan dikategorikan sebagai pencarian syahid (‘amaliyah al-istisyhad) oleh al-Qaradawi. Motivasi agama merupakan faktor kuat bagi Muslim Palestina yang melakukan tindakan ini, dengan tujuan untuk menggentarkan musuh dan menimbulkan ketakutan di kalangan mereka.</w:t>
      </w:r>
      <w:r>
        <w:rPr>
          <w:color w:val="000000"/>
          <w:sz w:val="24"/>
          <w:szCs w:val="24"/>
          <w:rFonts w:ascii="Times New Roman" w:cs="Times New Roman" w:eastAsia="Times New Roman" w:hAnsi="Times New Roman"/>
        </w:rPr>
      </w:r>
      <w:r>
        <w:rPr>
          <w:rStyle w:val="FootnoteReference"/>
        </w:rPr>
        <w:footnoteReference w:id="20"/>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Fatwa ini dikeluarkan oleh Yusuf al-Qaradhawi karena banyaknya pertanyaan mengenai tindakan bom bunuh diri yang terjadi di al-Quds Palestina, Tel Aviv, dan Asqalan, yang menyebabkan banyak korban jiwa di kalangan orang Israel. Pertanyaannya adalah apakah tindakan para pemuda yang mengorbankan nyawa mereka dengan cara ini dianggap sebagai syuhada (mati syahid) atau sebagai tindakan bunuh diri (al-intihar) karena mereka mati di tangan mereka sendiri? Apakah tindakan mereka termasuk kategori menceburkan diri ke dalam kebinasaan yang dilarang oleh Allah SWT dalam Al-Qur'an?.</w:t>
      </w:r>
      <w:r>
        <w:rPr>
          <w:color w:val="000000"/>
          <w:sz w:val="24"/>
          <w:szCs w:val="24"/>
          <w:rFonts w:ascii="Times New Roman" w:cs="Times New Roman" w:eastAsia="Times New Roman" w:hAnsi="Times New Roman"/>
        </w:rPr>
      </w:r>
      <w:r>
        <w:rPr>
          <w:rStyle w:val="FootnoteReference"/>
        </w:rPr>
        <w:footnoteReference w:id="21"/>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Al-Qaradawi juga menjelaskan perbedaan antara bunuh diri (al-intihar) dan jihad (‘amaliyah al-istisyhad). Menurutnya, al-intihar dilakukan secara egois untuk kepentingan diri sendiri tanpa memprioritaskan kepentingan agama dan umat Islam, sementara al-mujahid (‘amaliyah al-istisyhad) dilakukan dengan harapan akan pertolongan dan rahmat Allah. Al-intihar merupakan bentuk pelarian dari kenyataan dengan cara bunuh diri, sedangkan al-mujahid (‘amaliyah al-istisyhad) adalah para pejuang yang memerangi musuh Allah dengan menggunakan teknologi atau senjata terbaru, seperti bom bunuh diri, yang ditakdirkan digunakan oleh mereka yang lemah menghadapi musuh yang kuat.</w:t>
      </w:r>
      <w:r>
        <w:rPr>
          <w:color w:val="000000"/>
          <w:sz w:val="24"/>
          <w:szCs w:val="24"/>
          <w:rFonts w:ascii="Times New Roman" w:cs="Times New Roman" w:eastAsia="Times New Roman" w:hAnsi="Times New Roman"/>
        </w:rPr>
      </w:r>
      <w:r>
        <w:rPr>
          <w:rStyle w:val="FootnoteReference"/>
        </w:rPr>
        <w:footnoteReference w:id="22"/>
      </w:r>
      <w:r>
        <w:rPr>
          <w:color w:val="000000"/>
          <w:sz w:val="24"/>
          <w:szCs w:val="24"/>
          <w:rFonts w:ascii="Times New Roman" w:cs="Times New Roman" w:eastAsia="Times New Roman" w:hAnsi="Times New Roman"/>
        </w:rPr>
      </w:r>
    </w:p>
    <w:p>
      <w:pPr>
        <w:spacing w:line="360"/>
        <w:ind w:left="566" w:firstLine="555"/>
        <w:jc w:val="both"/>
      </w:pPr>
      <w:r>
        <w:rPr>
          <w:color w:val="000000"/>
          <w:sz w:val="24"/>
          <w:szCs w:val="24"/>
          <w:rFonts w:ascii="Times New Roman" w:cs="Times New Roman" w:eastAsia="Times New Roman" w:hAnsi="Times New Roman"/>
        </w:rPr>
        <w:t xml:space="preserve">Dari pernyataan ini, jelas bahwa Yusuf al-Qaradawi mengkategorikan tindakan bom bunuh diri yang dilakukan oleh pemuda Palestina sebagai upaya mencari syahid, sebagai strategi untuk menaklukkan tentara Israel yang jauh lebih kuat.</w:t>
      </w:r>
    </w:p>
    <w:p>
      <w:pPr>
        <w:pStyle w:val="normal"/>
        <w:numPr>
          <w:ilvl w:val="1"/>
          <w:numId w:val="59"/>
        </w:numPr>
        <w:spacing w:line="360"/>
        <w:ind w:left="566" w:hanging="277" w:firstLine="277"/>
        <w:jc w:val="both"/>
      </w:pPr>
      <w:r>
        <w:rPr>
          <w:color w:val="000000"/>
          <w:sz w:val="24"/>
          <w:szCs w:val="24"/>
          <w:rFonts w:ascii="Times New Roman" w:cs="Times New Roman" w:eastAsia="Times New Roman" w:hAnsi="Times New Roman"/>
        </w:rPr>
        <w:t xml:space="preserve">pandangan ulama yang mengharamkan</w:t>
      </w:r>
      <w:r>
        <w:rPr>
          <w:color w:val="000000"/>
          <w:sz w:val="24"/>
          <w:szCs w:val="24"/>
          <w:rFonts w:ascii="Times New Roman" w:cs="Times New Roman" w:eastAsia="Times New Roman" w:hAnsi="Times New Roman"/>
        </w:rPr>
      </w:r>
      <w:r>
        <w:rPr>
          <w:rStyle w:val="FootnoteReference"/>
        </w:rPr>
        <w:footnoteReference w:id="23"/>
      </w:r>
      <w:r>
        <w:rPr>
          <w:color w:val="000000"/>
          <w:sz w:val="24"/>
          <w:szCs w:val="24"/>
          <w:rFonts w:ascii="Times New Roman" w:cs="Times New Roman" w:eastAsia="Times New Roman" w:hAnsi="Times New Roman"/>
        </w:rPr>
      </w:r>
    </w:p>
    <w:p>
      <w:pPr>
        <w:pStyle w:val="normal"/>
        <w:numPr>
          <w:ilvl w:val="2"/>
          <w:numId w:val="60"/>
        </w:numPr>
        <w:spacing w:line="360"/>
        <w:ind w:left="850" w:hanging="283" w:firstLine="283"/>
        <w:jc w:val="both"/>
      </w:pPr>
      <w:r>
        <w:rPr>
          <w:color w:val="000000"/>
          <w:sz w:val="24"/>
          <w:szCs w:val="24"/>
          <w:rFonts w:ascii="Times New Roman" w:cs="Times New Roman" w:eastAsia="Times New Roman" w:hAnsi="Times New Roman"/>
        </w:rPr>
        <w:t xml:space="preserve">Imam Abu Hanifah</w:t>
      </w:r>
    </w:p>
    <w:p>
      <w:pPr>
        <w:spacing w:line="360"/>
        <w:ind w:left="850" w:firstLine="555"/>
        <w:jc w:val="both"/>
      </w:pPr>
      <w:r>
        <w:rPr>
          <w:color w:val="000000"/>
          <w:sz w:val="24"/>
          <w:szCs w:val="24"/>
          <w:rFonts w:ascii="Times New Roman" w:cs="Times New Roman" w:eastAsia="Times New Roman" w:hAnsi="Times New Roman"/>
        </w:rPr>
        <w:t xml:space="preserve">“Perangilah para pembelot bukan karena kekufuran mereka. Bergabunglah bersama kelompok yang adil dan jangan bersama para pembelot. Sekalipun di dalam jamaah itu terdapat kelompok yang suka berbuat zalim dan kerusakan, maka sesungguhnya di kalangan mereka terdapat orang-orang zalim yang akan membantu kalian memerangi mereka. Jika jamaah itu melakukan pembelotan juga, maka menjaulah dari mereka dan pindahlah ke jamaah lain”.</w:t>
      </w:r>
    </w:p>
    <w:p>
      <w:pPr>
        <w:pStyle w:val="normal"/>
        <w:numPr>
          <w:ilvl w:val="2"/>
          <w:numId w:val="60"/>
        </w:numPr>
        <w:spacing w:line="360"/>
        <w:ind w:left="850" w:hanging="283" w:firstLine="283"/>
        <w:jc w:val="both"/>
      </w:pPr>
      <w:r>
        <w:rPr>
          <w:color w:val="000000"/>
          <w:sz w:val="24"/>
          <w:szCs w:val="24"/>
          <w:rFonts w:ascii="Times New Roman" w:cs="Times New Roman" w:eastAsia="Times New Roman" w:hAnsi="Times New Roman"/>
        </w:rPr>
        <w:t xml:space="preserve">Imam Al-Thahawi</w:t>
      </w:r>
    </w:p>
    <w:p>
      <w:pPr>
        <w:spacing w:line="360"/>
        <w:ind w:left="850" w:firstLine="555"/>
        <w:jc w:val="both"/>
      </w:pPr>
      <w:r>
        <w:rPr>
          <w:color w:val="000000"/>
          <w:sz w:val="24"/>
          <w:szCs w:val="24"/>
          <w:rFonts w:ascii="Times New Roman" w:cs="Times New Roman" w:eastAsia="Times New Roman" w:hAnsi="Times New Roman"/>
        </w:rPr>
        <w:t xml:space="preserve">“Kami tidak berpendapat ada orang yang (layak) dihunuskan pedang terhadap seseorang dari umat Nabi Muhammad SAW, kecuali bagi orang yang pantas mendapatkannya. Kami juga tidak melihat bahwa dibolehkannya membelot dari imam dan pemerintahan kami sekalipun mereka zalim dan juga tidak mengajak untuk melawan mereka dan melakukan pembangkangan terhadap mereka”.</w:t>
      </w:r>
    </w:p>
    <w:p>
      <w:pPr>
        <w:pStyle w:val="normal"/>
        <w:numPr>
          <w:ilvl w:val="2"/>
          <w:numId w:val="60"/>
        </w:numPr>
        <w:spacing w:line="360"/>
        <w:ind w:left="850" w:hanging="283" w:firstLine="283"/>
        <w:jc w:val="both"/>
      </w:pPr>
      <w:r>
        <w:rPr>
          <w:color w:val="000000"/>
          <w:sz w:val="24"/>
          <w:szCs w:val="24"/>
          <w:rFonts w:ascii="Times New Roman" w:cs="Times New Roman" w:eastAsia="Times New Roman" w:hAnsi="Times New Roman"/>
        </w:rPr>
        <w:t xml:space="preserve">Imam Malik </w:t>
      </w:r>
    </w:p>
    <w:p>
      <w:pPr>
        <w:spacing w:line="360"/>
        <w:ind w:left="850" w:firstLine="555"/>
        <w:jc w:val="both"/>
      </w:pPr>
      <w:r>
        <w:rPr>
          <w:color w:val="000000"/>
          <w:sz w:val="24"/>
          <w:szCs w:val="24"/>
          <w:rFonts w:ascii="Times New Roman" w:cs="Times New Roman" w:eastAsia="Times New Roman" w:hAnsi="Times New Roman"/>
        </w:rPr>
        <w:t xml:space="preserve">“Imam Malik berpendapat mengenai kelompok Ibadhiyyah, Haruriyyah, dan semua pengikut hawa nafsu, “ Aku mengatakan bahwa mereka harus diajak untuk bertaubat. Jika mereka bertaubat, maka mereka (harus) dibiarkan dan jia menolak, mereka (harus) diperangi.” Ibnu Al-Qayim berkata, “Mengenai kelompok Haruri dan sejenisnya, Imam Malik berpendapat, “Mereka diperangi jika tidak mau bertaubat.” Ini menunjukkan kepada Anda bahwa jika mereka membelot dari imam yang adil dan juga bermaksud memeranginya serta mengajak kepada kelompok mereka, maka mereka terlebih dahulu harus diajak kembali kepada jamaah. Jika mereka menolak, maka mereka harus diperangi.” Ibnu Al-Qasim berkata lagi,“ Sungguh, aku telah bertanya kepada Imam Malik mengenai kelompok yang melakukan maksiat yang berada di Syam. Beliau menjawab, “Aku berpendapat bahwa imam harus mengajak mereka kembali ke dalam jamaah dan menegakkan keadilan di antara mereka. Jika mereka mau kembali, maka mereka harus dibiarkan dan jika tidak, maka mereka harus diperangi.</w:t>
      </w:r>
    </w:p>
    <w:p>
      <w:pPr>
        <w:pStyle w:val="normal"/>
        <w:numPr>
          <w:ilvl w:val="2"/>
          <w:numId w:val="60"/>
        </w:numPr>
        <w:spacing w:line="360"/>
        <w:ind w:left="850" w:hanging="283" w:firstLine="283"/>
        <w:jc w:val="both"/>
      </w:pPr>
      <w:r>
        <w:rPr>
          <w:color w:val="000000"/>
          <w:sz w:val="24"/>
          <w:szCs w:val="24"/>
          <w:rFonts w:ascii="Times New Roman" w:cs="Times New Roman" w:eastAsia="Times New Roman" w:hAnsi="Times New Roman"/>
        </w:rPr>
        <w:t xml:space="preserve">Imam Al-Syafi’i </w:t>
      </w:r>
    </w:p>
    <w:p>
      <w:pPr>
        <w:spacing w:line="360"/>
        <w:ind w:left="850" w:firstLine="555"/>
        <w:jc w:val="both"/>
      </w:pPr>
      <w:r>
        <w:rPr>
          <w:color w:val="000000"/>
          <w:sz w:val="24"/>
          <w:szCs w:val="24"/>
          <w:rFonts w:ascii="Times New Roman" w:cs="Times New Roman" w:eastAsia="Times New Roman" w:hAnsi="Times New Roman"/>
        </w:rPr>
        <w:t xml:space="preserve">“Jika ada suatu kaum (sekumpulan umat manusia), baik di perkotaan ataupun di pedalaman padang pasir, kemudian mereka menumpahkan darah dan merampas harta, maka mereka dihukumi dengan hukum perompak. Sama saja, apakah itu dilakukan di perkotaan ataupun di pedalaman. Akan tetapi yang lebih besar bahayanya adalah pembangkangan yang dilakukan di perkotaan”</w:t>
      </w:r>
    </w:p>
    <w:p>
      <w:pPr>
        <w:pStyle w:val="normal"/>
        <w:numPr>
          <w:ilvl w:val="2"/>
          <w:numId w:val="60"/>
        </w:numPr>
        <w:spacing w:line="360"/>
        <w:ind w:left="850" w:hanging="283" w:firstLine="283"/>
        <w:jc w:val="both"/>
      </w:pPr>
      <w:r>
        <w:rPr>
          <w:color w:val="000000"/>
          <w:sz w:val="24"/>
          <w:szCs w:val="24"/>
          <w:rFonts w:ascii="Times New Roman" w:cs="Times New Roman" w:eastAsia="Times New Roman" w:hAnsi="Times New Roman"/>
        </w:rPr>
        <w:t xml:space="preserve">Imam Ahmad Bin Hanbal</w:t>
      </w:r>
    </w:p>
    <w:p>
      <w:pPr>
        <w:spacing w:line="360"/>
        <w:ind w:left="850" w:firstLine="555"/>
        <w:jc w:val="both"/>
      </w:pPr>
      <w:r>
        <w:rPr>
          <w:color w:val="000000"/>
          <w:sz w:val="24"/>
          <w:szCs w:val="24"/>
          <w:rFonts w:ascii="Times New Roman" w:cs="Times New Roman" w:eastAsia="Times New Roman" w:hAnsi="Times New Roman"/>
        </w:rPr>
        <w:t xml:space="preserve">“Subhanallah, darah, darah. Aku tidak berpendapat boleh menumpahkan darah dan tidak pula memerintahkannya. Bersikap sabar dengan kondisi yang ada lebih baik daripada terjadi fitnah yang menimbulkan pertumpahan darah, dihalalkannya merampas harta serta dinodainya kehormatan”.</w:t>
      </w:r>
    </w:p>
    <w:p>
      <w:pPr>
        <w:pStyle w:val="normal"/>
        <w:numPr>
          <w:ilvl w:val="1"/>
          <w:numId w:val="59"/>
        </w:numPr>
        <w:spacing w:line="360"/>
        <w:ind w:left="566" w:hanging="277" w:firstLine="277"/>
        <w:jc w:val="both"/>
      </w:pPr>
      <w:r>
        <w:rPr>
          <w:color w:val="000000"/>
          <w:sz w:val="24"/>
          <w:szCs w:val="24"/>
          <w:rFonts w:ascii="Times New Roman" w:cs="Times New Roman" w:eastAsia="Times New Roman" w:hAnsi="Times New Roman"/>
        </w:rPr>
        <w:t xml:space="preserve">daftar para ulama yang membolehkan dan mengharamkan</w:t>
      </w:r>
      <w:r>
        <w:rPr>
          <w:color w:val="000000"/>
          <w:sz w:val="24"/>
          <w:szCs w:val="24"/>
          <w:rFonts w:ascii="Times New Roman" w:cs="Times New Roman" w:eastAsia="Times New Roman" w:hAnsi="Times New Roman"/>
        </w:rPr>
      </w:r>
      <w:r>
        <w:rPr>
          <w:rStyle w:val="FootnoteReference"/>
        </w:rPr>
        <w:footnoteReference w:id="24"/>
      </w:r>
      <w:r>
        <w:rPr>
          <w:color w:val="000000"/>
          <w:sz w:val="24"/>
          <w:szCs w:val="24"/>
          <w:rFonts w:ascii="Times New Roman" w:cs="Times New Roman" w:eastAsia="Times New Roman" w:hAnsi="Times New Roman"/>
        </w:rPr>
      </w:r>
    </w:p>
    <w:p>
      <w:pPr>
        <w:pStyle w:val="normal"/>
        <w:numPr>
          <w:ilvl w:val="2"/>
          <w:numId w:val="60"/>
        </w:numPr>
        <w:spacing w:line="360"/>
        <w:ind w:left="850" w:hanging="283" w:firstLine="283"/>
        <w:jc w:val="both"/>
      </w:pPr>
      <w:r>
        <w:rPr>
          <w:color w:val="000000"/>
          <w:sz w:val="24"/>
          <w:szCs w:val="24"/>
          <w:rFonts w:ascii="Times New Roman" w:cs="Times New Roman" w:eastAsia="Times New Roman" w:hAnsi="Times New Roman"/>
        </w:rPr>
        <w:t xml:space="preserve">ulama yang membolehkan</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Prof. Dr. Muhammad Az-Zuhaili (Dekan Fakultas Syariah Universitas Damaskus)</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Prof. Dr. Wahbah Az-Zuhaili (Ketua Jurusan Fiqih dan Ushul Fiqih Fakultas Syariah Universitas Damaskus)</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Dr. Muhammad Said Ramadhan Al-Buthi (Ketua Jurusan Theologi dan Perbandingan Agama Fakultas Syariah Universitas Damaskus)</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Dr. Ali Ash-Shawi (Mantan Ketua Jurusan Fiqih dan Perundang-undangan Fakultas Syariah Universitas Yordania)</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Dr. Hamam Said (Dosen Fakultas Syariah Universitas Yordania dan anggota Parlemen Yordania)</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Dr. Agil An-Nisyami (Dekan Fakultas Syariah Universitas Kuwait)</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Dr. Abdur Raziq Asy-Syaiji (Guru Besar Fakultas Syariah Univesitas Kuwait)</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Syaikh Qurra Asy-Syam Asy-Syaikh Muhammad Karim Rajih (ulama Syiria)</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Syaikhul Azhar (Syaikh Muhammad Sayyed Tanthawi)</w:t>
      </w:r>
    </w:p>
    <w:p>
      <w:pPr>
        <w:spacing w:line="360"/>
        <w:ind w:left="1133" w:firstLine="555"/>
        <w:jc w:val="both"/>
      </w:pPr>
      <w:r>
        <w:rPr>
          <w:color w:val="000000"/>
          <w:sz w:val="24"/>
          <w:szCs w:val="24"/>
          <w:rFonts w:ascii="Times New Roman" w:cs="Times New Roman" w:eastAsia="Times New Roman" w:hAnsi="Times New Roman"/>
        </w:rPr>
        <w:t xml:space="preserve">10) Syaikh Muhammad Mutawalli Sya’rawi (ulama Mesir)</w:t>
      </w:r>
    </w:p>
    <w:p>
      <w:pPr>
        <w:spacing w:line="360"/>
        <w:ind w:left="1133" w:firstLine="555"/>
        <w:jc w:val="both"/>
      </w:pPr>
      <w:r>
        <w:rPr>
          <w:color w:val="000000"/>
          <w:sz w:val="24"/>
          <w:szCs w:val="24"/>
          <w:rFonts w:ascii="Times New Roman" w:cs="Times New Roman" w:eastAsia="Times New Roman" w:hAnsi="Times New Roman"/>
        </w:rPr>
        <w:t xml:space="preserve">11) Fathi Yakan (aktivis dakwah Ikhwanul Muslimin)</w:t>
      </w:r>
    </w:p>
    <w:p>
      <w:pPr>
        <w:spacing w:line="360"/>
        <w:ind w:left="1133" w:firstLine="555"/>
        <w:jc w:val="both"/>
      </w:pPr>
      <w:r>
        <w:rPr>
          <w:color w:val="000000"/>
          <w:sz w:val="24"/>
          <w:szCs w:val="24"/>
          <w:rFonts w:ascii="Times New Roman" w:cs="Times New Roman" w:eastAsia="Times New Roman" w:hAnsi="Times New Roman"/>
        </w:rPr>
        <w:t xml:space="preserve">12) Dr. Syaraf Al-Qadah (ulama Yordania)</w:t>
      </w:r>
    </w:p>
    <w:p>
      <w:pPr>
        <w:spacing w:line="360"/>
        <w:ind w:left="1133" w:firstLine="555"/>
        <w:jc w:val="both"/>
      </w:pPr>
      <w:r>
        <w:rPr>
          <w:color w:val="000000"/>
          <w:sz w:val="24"/>
          <w:szCs w:val="24"/>
          <w:rFonts w:ascii="Times New Roman" w:cs="Times New Roman" w:eastAsia="Times New Roman" w:hAnsi="Times New Roman"/>
        </w:rPr>
        <w:t xml:space="preserve">13) Dr. Yusuf Al-Qaradhawi (ulama Qatar)</w:t>
      </w:r>
    </w:p>
    <w:p>
      <w:pPr>
        <w:spacing w:line="360"/>
        <w:ind w:left="1133" w:firstLine="555"/>
        <w:jc w:val="both"/>
      </w:pPr>
      <w:r>
        <w:rPr>
          <w:color w:val="000000"/>
          <w:sz w:val="24"/>
          <w:szCs w:val="24"/>
          <w:rFonts w:ascii="Times New Roman" w:cs="Times New Roman" w:eastAsia="Times New Roman" w:hAnsi="Times New Roman"/>
        </w:rPr>
        <w:t xml:space="preserve">14) Dr. Muhammad Khair Haikal (aktivis dakwah Hizbut Tahrir)</w:t>
      </w:r>
    </w:p>
    <w:p>
      <w:pPr>
        <w:spacing w:line="360"/>
        <w:ind w:left="1133" w:firstLine="555"/>
        <w:jc w:val="both"/>
      </w:pPr>
      <w:r>
        <w:rPr>
          <w:color w:val="000000"/>
          <w:sz w:val="24"/>
          <w:szCs w:val="24"/>
          <w:rFonts w:ascii="Times New Roman" w:cs="Times New Roman" w:eastAsia="Times New Roman" w:hAnsi="Times New Roman"/>
        </w:rPr>
        <w:t xml:space="preserve">15) Syaikh Abdullah bin Hamid (Mantan Hakim Agung Makkah Al-Mukarramah)</w:t>
      </w:r>
    </w:p>
    <w:p>
      <w:pPr>
        <w:pStyle w:val="normal"/>
        <w:numPr>
          <w:ilvl w:val="2"/>
          <w:numId w:val="60"/>
        </w:numPr>
        <w:spacing w:line="360"/>
        <w:ind w:left="850" w:hanging="283" w:firstLine="283"/>
        <w:jc w:val="both"/>
      </w:pPr>
      <w:r>
        <w:rPr>
          <w:color w:val="000000"/>
          <w:sz w:val="24"/>
          <w:szCs w:val="24"/>
          <w:rFonts w:ascii="Times New Roman" w:cs="Times New Roman" w:eastAsia="Times New Roman" w:hAnsi="Times New Roman"/>
        </w:rPr>
        <w:t xml:space="preserve">ulama yang mengharamkan</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Syaikh Nashiruddin Al-Albani (ulama Arab Saudi)</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Syaikh Shaleh Al-Utsaimin (ulama Arab Saudi)</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Syaikh Hasan Ayyub</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Hai’ah Kibarul Ulama (Majelis Ulama Senior Arab Saudi) yang diketuai oleh ‘Abdul-Aziz bin Abdullaah bin Muhammad Aal ash-Shaykh yang beranggotakan 16 ulama terkemuka seperti Salih bin Muhammad al-Lahaidaan, Abdullah bin Sulaiman al-Muni’, Abdullah bin Abdurahman al-Ghudayan dan lain-lain.</w:t>
      </w:r>
    </w:p>
    <w:p>
      <w:pPr>
        <w:pStyle w:val="normal"/>
        <w:numPr>
          <w:ilvl w:val="3"/>
          <w:numId w:val="61"/>
        </w:numPr>
        <w:spacing w:line="360"/>
        <w:ind w:left="1133" w:hanging="283" w:firstLine="283"/>
        <w:jc w:val="both"/>
      </w:pPr>
      <w:r>
        <w:rPr>
          <w:color w:val="000000"/>
          <w:sz w:val="24"/>
          <w:szCs w:val="24"/>
          <w:rFonts w:ascii="Times New Roman" w:cs="Times New Roman" w:eastAsia="Times New Roman" w:hAnsi="Times New Roman"/>
        </w:rPr>
        <w:t xml:space="preserve">Majelis Ulama Indonesia (MUI)</w:t>
      </w:r>
    </w:p>
    <w:p>
      <w:r>
        <w:rPr>
          <w:color w:val="000000"/>
          <w:sz w:val="24"/>
          <w:szCs w:val="24"/>
          <w:rFonts w:ascii="Times New Roman" w:cs="Times New Roman" w:eastAsia="Times New Roman" w:hAnsi="Times New Roman"/>
        </w:rPr>
      </w:r>
    </w:p>
    <w:p>
      <w:pPr>
        <w:jc w:val="center"/>
      </w:pPr>
      <w:r>
        <w:rPr>
          <w:b/>
          <w:bCs/>
          <w:color w:val="000000"/>
          <w:sz w:val="24"/>
          <w:szCs w:val="24"/>
          <w:rFonts w:ascii="Times New Roman" w:cs="Times New Roman" w:eastAsia="Times New Roman" w:hAnsi="Times New Roman"/>
        </w:rPr>
        <w:t xml:space="preserve">BAB III</w:t>
      </w:r>
    </w:p>
    <w:p>
      <w:pPr>
        <w:jc w:val="center"/>
      </w:pPr>
      <w:r>
        <w:rPr>
          <w:b/>
          <w:bCs/>
          <w:color w:val="000000"/>
          <w:sz w:val="24"/>
          <w:szCs w:val="24"/>
          <w:rFonts w:ascii="Times New Roman" w:cs="Times New Roman" w:eastAsia="Times New Roman" w:hAnsi="Times New Roman"/>
        </w:rPr>
        <w:t xml:space="preserve">KESIMPULAN</w:t>
      </w:r>
    </w:p>
    <w:p>
      <w:pPr>
        <w:jc w:val="center"/>
      </w:pPr>
      <w:r>
        <w:rPr>
          <w:color w:val="000000"/>
          <w:sz w:val="24"/>
          <w:szCs w:val="24"/>
          <w:rFonts w:ascii="Times New Roman" w:cs="Times New Roman" w:eastAsia="Times New Roman" w:hAnsi="Times New Roman"/>
        </w:rPr>
      </w:r>
    </w:p>
    <w:p>
      <w:pPr>
        <w:sectPr>
          <w:footerReference w:type="default" r:id="rId7"/>
          <w:pgSz w:w="11905" w:h="16837" w:orient="portrait"/>
          <w:pgMar w:top="2267" w:right="1700" w:bottom="1700" w:left="2267" w:header="708" w:footer="708" w:gutter="0"/>
          <w:pgNumType w:start="1" w:fmt="decimal" w:chapSep="emDash"/>
          <w:docGrid w:linePitch="360"/>
        </w:sectPr>
      </w:pPr>
    </w:p>
    <w:p>
      <w:pPr>
        <w:jc w:val="center"/>
      </w:pPr>
      <w:r>
        <w:rPr>
          <w:b/>
          <w:bCs/>
          <w:color w:val="000000"/>
          <w:sz w:val="24"/>
          <w:szCs w:val="24"/>
          <w:rFonts w:ascii="Times New Roman" w:cs="Times New Roman" w:eastAsia="Times New Roman" w:hAnsi="Times New Roman"/>
        </w:rPr>
        <w:t xml:space="preserve">DAFTAR PUSTAKA</w:t>
      </w:r>
    </w:p>
    <w:p>
      <w:pPr>
        <w:jc w:val="center"/>
      </w:pPr>
      <w:r>
        <w:rPr>
          <w:color w:val="000000"/>
          <w:sz w:val="24"/>
          <w:szCs w:val="24"/>
          <w:rFonts w:ascii="Times New Roman" w:cs="Times New Roman" w:eastAsia="Times New Roman" w:hAnsi="Times New Roman"/>
        </w:rPr>
      </w:r>
    </w:p>
    <w:p>
      <w:pPr>
        <w:spacing w:line="360"/>
        <w:ind w:left="555" w:hanging="527"/>
        <w:jc w:val="both"/>
      </w:pPr>
      <w:r>
        <w:rPr>
          <w:color w:val="000000"/>
          <w:sz w:val="24"/>
          <w:szCs w:val="24"/>
          <w:rFonts w:ascii="Times New Roman" w:cs="Times New Roman" w:eastAsia="Times New Roman" w:hAnsi="Times New Roman"/>
        </w:rPr>
        <w:t xml:space="preserve">Ahmad Thobroni. 2017. "Bom Bunuh Diri dan Eutanasia  dalam Tinjauan Hukum Islam". </w:t>
      </w:r>
      <w:r>
        <w:rPr>
          <w:i/>
          <w:iCs/>
          <w:color w:val="000000"/>
          <w:sz w:val="24"/>
          <w:szCs w:val="24"/>
          <w:rFonts w:ascii="Times New Roman" w:cs="Times New Roman" w:eastAsia="Times New Roman" w:hAnsi="Times New Roman"/>
        </w:rPr>
        <w:t xml:space="preserve">Jurnal Studi dan Penelitian Hukum Islam, </w:t>
      </w:r>
      <w:r>
        <w:rPr>
          <w:color w:val="000000"/>
          <w:sz w:val="24"/>
          <w:szCs w:val="24"/>
          <w:rFonts w:ascii="Times New Roman" w:cs="Times New Roman" w:eastAsia="Times New Roman" w:hAnsi="Times New Roman"/>
        </w:rPr>
        <w:t xml:space="preserve">Vol. 1, No. 1.</w:t>
      </w:r>
    </w:p>
    <w:p>
      <w:pPr>
        <w:spacing w:line="360"/>
        <w:ind w:left="555" w:hanging="527"/>
        <w:jc w:val="both"/>
      </w:pPr>
      <w:r>
        <w:rPr>
          <w:color w:val="000000"/>
          <w:sz w:val="24"/>
          <w:szCs w:val="24"/>
          <w:rFonts w:ascii="Times New Roman" w:cs="Times New Roman" w:eastAsia="Times New Roman" w:hAnsi="Times New Roman"/>
        </w:rPr>
        <w:t xml:space="preserve">Muhammad Mustofa . 2002. "Memahami Terorisme:  Suatu Perspektif Kriminologi ". </w:t>
      </w:r>
      <w:r>
        <w:rPr>
          <w:i/>
          <w:iCs/>
          <w:color w:val="000000"/>
          <w:sz w:val="24"/>
          <w:szCs w:val="24"/>
          <w:rFonts w:ascii="Times New Roman" w:cs="Times New Roman" w:eastAsia="Times New Roman" w:hAnsi="Times New Roman"/>
        </w:rPr>
        <w:t xml:space="preserve">Jurnal Kriminologi Indonesia, </w:t>
      </w:r>
      <w:r>
        <w:rPr>
          <w:color w:val="000000"/>
          <w:sz w:val="24"/>
          <w:szCs w:val="24"/>
          <w:rFonts w:ascii="Times New Roman" w:cs="Times New Roman" w:eastAsia="Times New Roman" w:hAnsi="Times New Roman"/>
        </w:rPr>
        <w:t xml:space="preserve">Vol. 2, No. 3.</w:t>
      </w:r>
    </w:p>
    <w:p>
      <w:pPr>
        <w:spacing w:line="360"/>
        <w:ind w:left="555" w:hanging="527"/>
        <w:jc w:val="both"/>
      </w:pPr>
      <w:r>
        <w:rPr>
          <w:color w:val="000000"/>
          <w:sz w:val="24"/>
          <w:szCs w:val="24"/>
          <w:rFonts w:ascii="Times New Roman" w:cs="Times New Roman" w:eastAsia="Times New Roman" w:hAnsi="Times New Roman"/>
        </w:rPr>
        <w:t xml:space="preserve">Muhammad Mustofa . 2019. "Indonesia Dan Ancaman Terorisme: Dalam Analisis Dimensi Imaterial". </w:t>
      </w:r>
      <w:r>
        <w:rPr>
          <w:i/>
          <w:iCs/>
          <w:color w:val="000000"/>
          <w:sz w:val="24"/>
          <w:szCs w:val="24"/>
          <w:rFonts w:ascii="Times New Roman" w:cs="Times New Roman" w:eastAsia="Times New Roman" w:hAnsi="Times New Roman"/>
        </w:rPr>
        <w:t xml:space="preserve">Sosiohumaniora, </w:t>
      </w:r>
      <w:r>
        <w:rPr>
          <w:color w:val="000000"/>
          <w:sz w:val="24"/>
          <w:szCs w:val="24"/>
          <w:rFonts w:ascii="Times New Roman" w:cs="Times New Roman" w:eastAsia="Times New Roman" w:hAnsi="Times New Roman"/>
        </w:rPr>
        <w:t xml:space="preserve">Vol. 21, No. 3.</w:t>
      </w:r>
    </w:p>
    <w:p>
      <w:pPr>
        <w:spacing w:line="360"/>
        <w:ind w:left="555" w:hanging="527"/>
        <w:jc w:val="both"/>
      </w:pPr>
      <w:r>
        <w:rPr>
          <w:color w:val="000000"/>
          <w:sz w:val="24"/>
          <w:szCs w:val="24"/>
          <w:rFonts w:ascii="Times New Roman" w:cs="Times New Roman" w:eastAsia="Times New Roman" w:hAnsi="Times New Roman"/>
        </w:rPr>
        <w:t xml:space="preserve">Busyro. 2016. "Bom bunuh diri dalam fatwa kontemporer Yusuf al-Qaradawi dan relevansinya dengan maqasid al-Shari’ah". </w:t>
      </w:r>
      <w:r>
        <w:rPr>
          <w:i/>
          <w:iCs/>
          <w:color w:val="000000"/>
          <w:sz w:val="24"/>
          <w:szCs w:val="24"/>
          <w:rFonts w:ascii="Times New Roman" w:cs="Times New Roman" w:eastAsia="Times New Roman" w:hAnsi="Times New Roman"/>
        </w:rPr>
        <w:t xml:space="preserve">Jurnal Wacana Hukum Islam dan Kemanusiaan, </w:t>
      </w:r>
      <w:r>
        <w:rPr>
          <w:color w:val="000000"/>
          <w:sz w:val="24"/>
          <w:szCs w:val="24"/>
          <w:rFonts w:ascii="Times New Roman" w:cs="Times New Roman" w:eastAsia="Times New Roman" w:hAnsi="Times New Roman"/>
        </w:rPr>
        <w:t xml:space="preserve">Vol. 16, No. 1.</w:t>
      </w:r>
    </w:p>
    <w:p>
      <w:pPr>
        <w:spacing w:line="360"/>
        <w:ind w:left="555" w:hanging="527"/>
        <w:jc w:val="both"/>
      </w:pPr>
      <w:r>
        <w:rPr>
          <w:color w:val="000000"/>
          <w:sz w:val="24"/>
          <w:szCs w:val="24"/>
          <w:rFonts w:ascii="Times New Roman" w:cs="Times New Roman" w:eastAsia="Times New Roman" w:hAnsi="Times New Roman"/>
        </w:rPr>
        <w:t xml:space="preserve">Amri Rahman. 2018. "Memahami Jihad Dalam Perspektif Islam (Upaya Menangkal Tuduhan Terorisme Dalam Islam) ". </w:t>
      </w:r>
      <w:r>
        <w:rPr>
          <w:i/>
          <w:iCs/>
          <w:color w:val="000000"/>
          <w:sz w:val="24"/>
          <w:szCs w:val="24"/>
          <w:rFonts w:ascii="Times New Roman" w:cs="Times New Roman" w:eastAsia="Times New Roman" w:hAnsi="Times New Roman"/>
        </w:rPr>
        <w:t xml:space="preserve"> Jurnal Pendidikan Agama Islam, </w:t>
      </w:r>
      <w:r>
        <w:rPr>
          <w:color w:val="000000"/>
          <w:sz w:val="24"/>
          <w:szCs w:val="24"/>
          <w:rFonts w:ascii="Times New Roman" w:cs="Times New Roman" w:eastAsia="Times New Roman" w:hAnsi="Times New Roman"/>
        </w:rPr>
        <w:t xml:space="preserve">Vol. 4, No. 2.</w:t>
      </w:r>
    </w:p>
    <w:p>
      <w:pPr>
        <w:spacing w:line="360"/>
        <w:ind w:left="555" w:hanging="527"/>
        <w:jc w:val="both"/>
      </w:pPr>
      <w:r>
        <w:rPr>
          <w:color w:val="000000"/>
          <w:sz w:val="24"/>
          <w:szCs w:val="24"/>
          <w:rFonts w:ascii="Times New Roman" w:cs="Times New Roman" w:eastAsia="Times New Roman" w:hAnsi="Times New Roman"/>
        </w:rPr>
        <w:t xml:space="preserve">Herlina Nurani dan Ahmad Ali Nurdin. 2018. "Pandangan Keagmaan Pelaku Bom Bunuh Diri DI Indonesia". </w:t>
      </w:r>
      <w:r>
        <w:rPr>
          <w:i/>
          <w:iCs/>
          <w:color w:val="000000"/>
          <w:sz w:val="24"/>
          <w:szCs w:val="24"/>
          <w:rFonts w:ascii="Times New Roman" w:cs="Times New Roman" w:eastAsia="Times New Roman" w:hAnsi="Times New Roman"/>
        </w:rPr>
        <w:t xml:space="preserve">Journal of Islamic Studies and Humanitites, </w:t>
      </w:r>
      <w:r>
        <w:rPr>
          <w:color w:val="000000"/>
          <w:sz w:val="24"/>
          <w:szCs w:val="24"/>
          <w:rFonts w:ascii="Times New Roman" w:cs="Times New Roman" w:eastAsia="Times New Roman" w:hAnsi="Times New Roman"/>
        </w:rPr>
        <w:t xml:space="preserve">Vol. 3, No. 1.</w:t>
      </w:r>
    </w:p>
    <w:p>
      <w:pPr>
        <w:spacing w:line="360"/>
        <w:ind w:left="555" w:hanging="527"/>
        <w:jc w:val="both"/>
      </w:pPr>
      <w:r>
        <w:rPr>
          <w:color w:val="000000"/>
          <w:sz w:val="24"/>
          <w:szCs w:val="24"/>
          <w:rFonts w:ascii="Times New Roman" w:cs="Times New Roman" w:eastAsia="Times New Roman" w:hAnsi="Times New Roman"/>
        </w:rPr>
        <w:t xml:space="preserve"> Abdul Wahid Haddade, dkk. 2017. </w:t>
      </w:r>
      <w:r>
        <w:rPr>
          <w:i/>
          <w:iCs/>
          <w:color w:val="000000"/>
          <w:sz w:val="24"/>
          <w:szCs w:val="24"/>
          <w:rFonts w:ascii="Times New Roman" w:cs="Times New Roman" w:eastAsia="Times New Roman" w:hAnsi="Times New Roman"/>
        </w:rPr>
        <w:t xml:space="preserve">Jihad Dalam Islam Kedamaian Atau Kekerasan. </w:t>
      </w:r>
      <w:r>
        <w:rPr>
          <w:color w:val="000000"/>
          <w:sz w:val="24"/>
          <w:szCs w:val="24"/>
          <w:rFonts w:ascii="Times New Roman" w:cs="Times New Roman" w:eastAsia="Times New Roman" w:hAnsi="Times New Roman"/>
        </w:rPr>
        <w:t xml:space="preserve"> Yogyakarta:  Lembaga Ladang Kata.</w:t>
      </w:r>
    </w:p>
    <w:sectPr>
      <w:footerReference w:type="default" r:id="rId8"/>
      <w:pgSz w:w="11905" w:h="16837" w:orient="portrait"/>
      <w:pgMar w:top="2267" w:right="1700" w:bottom="1700" w:left="2267" w:header="708" w:footer="708" w:gutter="0"/>
      <w:pgNumType w:chapSep="emDash"/>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2"/>
        <w:szCs w:val="22"/>
        <w:rFonts w:ascii="Times New Roman" w:cs="Times New Roman" w:eastAsia="Times New Roman" w:hAnsi="Times New Roman"/>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2"/>
        <w:szCs w:val="22"/>
        <w:rFonts w:ascii="Times New Roman" w:cs="Times New Roman" w:eastAsia="Times New Roman" w:hAnsi="Times New Roman"/>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 Abdul Wahid Haddade, dkk, </w:t>
      </w:r>
      <w:r>
        <w:rPr>
          <w:i/>
          <w:iCs/>
          <w:color w:val="000000"/>
          <w:sz w:val="20"/>
          <w:szCs w:val="20"/>
          <w:rFonts w:ascii="Times New Roman" w:cs="Times New Roman" w:eastAsia="Times New Roman" w:hAnsi="Times New Roman"/>
        </w:rPr>
        <w:t xml:space="preserve">Jihad Dalam Islam Kedamaian Atau Kekerasan, </w:t>
      </w:r>
      <w:r>
        <w:rPr>
          <w:color w:val="000000"/>
          <w:sz w:val="20"/>
          <w:szCs w:val="20"/>
          <w:rFonts w:ascii="Times New Roman" w:cs="Times New Roman" w:eastAsia="Times New Roman" w:hAnsi="Times New Roman"/>
        </w:rPr>
        <w:t xml:space="preserve">(Yogyakarta:  Lembaga Ladang Kata, 2017), Hal. 1-173.</w:t>
      </w:r>
    </w:p>
  </w:footnote>
  <w:footnote w:id="2">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Amri Rahman, "Memahami Jihad Dalam Perspektif Islam (Upaya Menangkal Tuduhan Terorisme Dalam Islam) ", </w:t>
      </w:r>
      <w:r>
        <w:rPr>
          <w:i/>
          <w:iCs/>
          <w:color w:val="000000"/>
          <w:sz w:val="20"/>
          <w:szCs w:val="20"/>
          <w:rFonts w:ascii="Times New Roman" w:cs="Times New Roman" w:eastAsia="Times New Roman" w:hAnsi="Times New Roman"/>
        </w:rPr>
        <w:t xml:space="preserve"> Jurnal Pendidikan Agama Islam, </w:t>
      </w:r>
      <w:r>
        <w:rPr>
          <w:color w:val="000000"/>
          <w:sz w:val="20"/>
          <w:szCs w:val="20"/>
          <w:rFonts w:ascii="Times New Roman" w:cs="Times New Roman" w:eastAsia="Times New Roman" w:hAnsi="Times New Roman"/>
        </w:rPr>
        <w:t xml:space="preserve">Vol. 4, No. 2 (2018), Hal. 142-156.</w:t>
      </w:r>
    </w:p>
  </w:footnote>
  <w:footnote w:id="3">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4">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5">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6">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Muhammad Mustofa , "Memahami Terorisme:  Suatu Perspektif Kriminologi ", </w:t>
      </w:r>
      <w:r>
        <w:rPr>
          <w:i/>
          <w:iCs/>
          <w:color w:val="000000"/>
          <w:sz w:val="20"/>
          <w:szCs w:val="20"/>
          <w:rFonts w:ascii="Times New Roman" w:cs="Times New Roman" w:eastAsia="Times New Roman" w:hAnsi="Times New Roman"/>
        </w:rPr>
        <w:t xml:space="preserve">Jurnal Kriminologi Indonesia, </w:t>
      </w:r>
      <w:r>
        <w:rPr>
          <w:color w:val="000000"/>
          <w:sz w:val="20"/>
          <w:szCs w:val="20"/>
          <w:rFonts w:ascii="Times New Roman" w:cs="Times New Roman" w:eastAsia="Times New Roman" w:hAnsi="Times New Roman"/>
        </w:rPr>
        <w:t xml:space="preserve">Vol. 2, No. 3 (2002), Hal. 30-38.</w:t>
      </w:r>
    </w:p>
  </w:footnote>
  <w:footnote w:id="7">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Muhammad Mustofa , "Indonesia Dan Ancaman Terorisme: Dalam Analisis Dimensi Imaterial", </w:t>
      </w:r>
      <w:r>
        <w:rPr>
          <w:i/>
          <w:iCs/>
          <w:color w:val="000000"/>
          <w:sz w:val="20"/>
          <w:szCs w:val="20"/>
          <w:rFonts w:ascii="Times New Roman" w:cs="Times New Roman" w:eastAsia="Times New Roman" w:hAnsi="Times New Roman"/>
        </w:rPr>
        <w:t xml:space="preserve">Sosiohumaniora, </w:t>
      </w:r>
      <w:r>
        <w:rPr>
          <w:color w:val="000000"/>
          <w:sz w:val="20"/>
          <w:szCs w:val="20"/>
          <w:rFonts w:ascii="Times New Roman" w:cs="Times New Roman" w:eastAsia="Times New Roman" w:hAnsi="Times New Roman"/>
        </w:rPr>
        <w:t xml:space="preserve">Vol. 21, No. 3 (2019), Hal. 334-339.</w:t>
      </w:r>
    </w:p>
  </w:footnote>
  <w:footnote w:id="8">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9">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0">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 Abdul Wahid Haddade, dkk, </w:t>
      </w:r>
      <w:r>
        <w:rPr>
          <w:i/>
          <w:iCs/>
          <w:color w:val="000000"/>
          <w:sz w:val="20"/>
          <w:szCs w:val="20"/>
          <w:rFonts w:ascii="Times New Roman" w:cs="Times New Roman" w:eastAsia="Times New Roman" w:hAnsi="Times New Roman"/>
        </w:rPr>
        <w:t xml:space="preserve">Loc.Cit., </w:t>
      </w:r>
    </w:p>
  </w:footnote>
  <w:footnote w:id="11">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2">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3">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4">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5">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6">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Ahmad Thobroni, "Bom Bunuh Diri dan Eutanasia  dalam Tinjauan Hukum Islam", </w:t>
      </w:r>
      <w:r>
        <w:rPr>
          <w:i/>
          <w:iCs/>
          <w:color w:val="000000"/>
          <w:sz w:val="20"/>
          <w:szCs w:val="20"/>
          <w:rFonts w:ascii="Times New Roman" w:cs="Times New Roman" w:eastAsia="Times New Roman" w:hAnsi="Times New Roman"/>
        </w:rPr>
        <w:t xml:space="preserve">Jurnal Studi dan Penelitian Hukum Islam, </w:t>
      </w:r>
      <w:r>
        <w:rPr>
          <w:color w:val="000000"/>
          <w:sz w:val="20"/>
          <w:szCs w:val="20"/>
          <w:rFonts w:ascii="Times New Roman" w:cs="Times New Roman" w:eastAsia="Times New Roman" w:hAnsi="Times New Roman"/>
        </w:rPr>
        <w:t xml:space="preserve">Vol. 1, No. 1 (2017), Hal. 135-150.</w:t>
      </w:r>
    </w:p>
  </w:footnote>
  <w:footnote w:id="17">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18">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Herlina Nurani dan Ahmad Ali Nurdin, "Pandangan Keagmaan Pelaku Bom Bunuh Diri DI Indonesia", </w:t>
      </w:r>
      <w:r>
        <w:rPr>
          <w:i/>
          <w:iCs/>
          <w:color w:val="000000"/>
          <w:sz w:val="20"/>
          <w:szCs w:val="20"/>
          <w:rFonts w:ascii="Times New Roman" w:cs="Times New Roman" w:eastAsia="Times New Roman" w:hAnsi="Times New Roman"/>
        </w:rPr>
        <w:t xml:space="preserve">Journal of Islamic Studies and Humanitites, </w:t>
      </w:r>
      <w:r>
        <w:rPr>
          <w:color w:val="000000"/>
          <w:sz w:val="20"/>
          <w:szCs w:val="20"/>
          <w:rFonts w:ascii="Times New Roman" w:cs="Times New Roman" w:eastAsia="Times New Roman" w:hAnsi="Times New Roman"/>
        </w:rPr>
        <w:t xml:space="preserve">Vol. 3, No. 1 (2018), Hal. 80-99.</w:t>
      </w:r>
    </w:p>
  </w:footnote>
  <w:footnote w:id="19">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20">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Busyro, "Bom bunuh diri dalam fatwa kontemporer Yusuf al-Qaradawi dan relevansinya dengan maqasid al-Shari’ah", </w:t>
      </w:r>
      <w:r>
        <w:rPr>
          <w:i/>
          <w:iCs/>
          <w:color w:val="000000"/>
          <w:sz w:val="20"/>
          <w:szCs w:val="20"/>
          <w:rFonts w:ascii="Times New Roman" w:cs="Times New Roman" w:eastAsia="Times New Roman" w:hAnsi="Times New Roman"/>
        </w:rPr>
        <w:t xml:space="preserve">Jurnal Wacana Hukum Islam dan Kemanusiaan, </w:t>
      </w:r>
      <w:r>
        <w:rPr>
          <w:color w:val="000000"/>
          <w:sz w:val="20"/>
          <w:szCs w:val="20"/>
          <w:rFonts w:ascii="Times New Roman" w:cs="Times New Roman" w:eastAsia="Times New Roman" w:hAnsi="Times New Roman"/>
        </w:rPr>
        <w:t xml:space="preserve">Vol. 16, No. 1 (2016), Hal. 85-103.</w:t>
      </w:r>
    </w:p>
  </w:footnote>
  <w:footnote w:id="21">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22">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Ibid.,</w:t>
      </w:r>
      <w:r>
        <w:rPr>
          <w:color w:val="000000"/>
          <w:sz w:val="20"/>
          <w:szCs w:val="20"/>
          <w:rFonts w:ascii="Times New Roman" w:cs="Times New Roman" w:eastAsia="Times New Roman" w:hAnsi="Times New Roman"/>
        </w:rPr>
      </w:r>
    </w:p>
  </w:footnote>
  <w:footnote w:id="23">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 Abdul Wahid Haddade, dkk, </w:t>
      </w:r>
      <w:r>
        <w:rPr>
          <w:i/>
          <w:iCs/>
          <w:color w:val="000000"/>
          <w:sz w:val="20"/>
          <w:szCs w:val="20"/>
          <w:rFonts w:ascii="Times New Roman" w:cs="Times New Roman" w:eastAsia="Times New Roman" w:hAnsi="Times New Roman"/>
        </w:rPr>
        <w:t xml:space="preserve">Loc.Cit., </w:t>
      </w:r>
    </w:p>
  </w:footnote>
  <w:footnote w:id="24">
    <w:p>
      <w:pPr>
        <w:spacing w:line="240"/>
        <w:ind w:left="0" w:firstLine="272"/>
        <w:jc w:val="both"/>
      </w:pPr>
      <w:r>
        <w:rPr>
          <w:rStyle w:val="FootnoteReference"/>
        </w:rPr>
        <w:footnoteRef/>
      </w:r>
      <w:r>
        <w:rPr>
          <w:color w:val="000000"/>
          <w:sz w:val="20"/>
          <w:szCs w:val="20"/>
          <w:rFonts w:ascii="Times New Roman" w:cs="Times New Roman" w:eastAsia="Times New Roman" w:hAnsi="Times New Roman"/>
        </w:rPr>
        <w:t xml:space="preserve">Ahmad Thobroni, </w:t>
      </w:r>
      <w:r>
        <w:rPr>
          <w:i/>
          <w:iCs/>
          <w:color w:val="000000"/>
          <w:sz w:val="20"/>
          <w:szCs w:val="20"/>
          <w:rFonts w:ascii="Times New Roman" w:cs="Times New Roman" w:eastAsia="Times New Roman" w:hAnsi="Times New Roman"/>
        </w:rPr>
        <w:t xml:space="preserve">Loc.Cit.,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3" w15:restartNumberingAfterBreak="0">
    <w:multiLevelType w:val="hybridMultilevel"/>
    <w:lvl w:ilvl="0" w15:tentative="1">
      <w:start w:val="1"/>
      <w:numFmt w:val="upperLetter"/>
      <w:lvlText w:val="%1."/>
      <w:lvlJc w:val="left"/>
    </w:lvl>
  </w:abstractNum>
  <w:abstractNum w:abstractNumId="54" w15:restartNumberingAfterBreak="0">
    <w:multiLevelType w:val="hybridMultilevel"/>
    <w:lvl w:ilvl="1" w15:tentative="1">
      <w:start w:val="1"/>
      <w:numFmt w:val="decimal"/>
      <w:lvlText w:val="%2."/>
      <w:lvlJc w:val="left"/>
    </w:lvl>
  </w:abstractNum>
  <w:abstractNum w:abstractNumId="55" w15:restartNumberingAfterBreak="0">
    <w:multiLevelType w:val="hybridMultilevel"/>
    <w:lvl w:ilvl="2" w15:tentative="1">
      <w:start w:val="1"/>
      <w:numFmt w:val="lowerLetter"/>
      <w:lvlText w:val="%3."/>
      <w:lvlJc w:val="left"/>
    </w:lvl>
  </w:abstractNum>
  <w:abstractNum w:abstractNumId="56" w15:restartNumberingAfterBreak="0">
    <w:multiLevelType w:val="hybridMultilevel"/>
    <w:lvl w:ilvl="3" w15:tentative="1">
      <w:start w:val="1"/>
      <w:numFmt w:val="decimal"/>
      <w:lvlText w:val="%4)"/>
      <w:lvlJc w:val="left"/>
    </w:lvl>
  </w:abstractNum>
  <w:abstractNum w:abstractNumId="57" w15:restartNumberingAfterBreak="0">
    <w:multiLevelType w:val="hybridMultilevel"/>
    <w:lvl w:ilvl="4" w15:tentative="1">
      <w:start w:val="1"/>
      <w:numFmt w:val="lowerLetter"/>
      <w:lvlText w:val="%5)"/>
      <w:lvlJc w:val="left"/>
    </w:lvl>
  </w:abstractNum>
  <w:num w:numId="1">
    <w:abstractNumId w:val="52"/>
    <w:lvlOverride w:ilvl="0">
      <w:startOverride w:val="1"/>
    </w:lvlOverride>
  </w:num>
  <w:num w:numId="58">
    <w:abstractNumId w:val="53"/>
    <w:lvlOverride w:ilvl="0">
      <w:startOverride w:val="1"/>
    </w:lvlOverride>
  </w:num>
  <w:num w:numId="59">
    <w:abstractNumId w:val="54"/>
    <w:lvlOverride w:ilvl="0">
      <w:startOverride w:val="1"/>
    </w:lvlOverride>
  </w:num>
  <w:num w:numId="60">
    <w:abstractNumId w:val="55"/>
    <w:lvlOverride w:ilvl="0">
      <w:startOverride w:val="1"/>
    </w:lvlOverride>
  </w:num>
  <w:num w:numId="61">
    <w:abstractNumId w:val="5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doNotExpandShiftReturn/>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bold">
    <w:name w:val="Bold"/>
    <w:basedOn w:val="Normal"/>
    <w:next w:val="Normal"/>
    <w:rPr>
      <w:b/>
      <w:bCs/>
      <w:color w:val="000000"/>
      <w:sz w:val="24"/>
      <w:szCs w:val="24"/>
      <w:rFonts w:ascii="Times New Roman" w:cs="Times New Roman" w:eastAsia="Times New Roman" w:hAnsi="Times New Roman"/>
    </w:rPr>
  </w:style>
  <w:style w:type="paragraph" w:styleId="normal">
    <w:name w:val="Normal"/>
    <w:basedOn w:val="Normal"/>
    <w:next w:val="Normal"/>
    <w:rPr>
      <w:color w:val="000000"/>
      <w:sz w:val="24"/>
      <w:szCs w:val="24"/>
      <w:rFonts w:ascii="Times New Roman" w:cs="Times New Roman" w:eastAsia="Times New Roman" w:hAnsi="Times New Roman"/>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2024-06-25T07:11:08.520Z</dcterms:created>
  <dcterms:modified xsi:type="dcterms:W3CDTF">2024-06-25T07:11:08.520Z</dcterms:modified>
</cp:coreProperties>
</file>

<file path=docProps/custom.xml><?xml version="1.0" encoding="utf-8"?>
<Properties xmlns="http://schemas.openxmlformats.org/officeDocument/2006/custom-properties" xmlns:vt="http://schemas.openxmlformats.org/officeDocument/2006/docPropsVTypes"/>
</file>