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masterplan.md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b/>
          <w:bCs/>
        </w:rPr>
        <w:t xml:space="preserve">13–16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Comp Scraper Agent Phase</w:t>
      </w:r>
      <w:r>
        <w:t xml:space="preserve"> </w:t>
      </w:r>
      <w:r>
        <w:t xml:space="preserve">| - Flexmls API integration- Scheduled crawler &amp; parser modules- Elasticsearch ingestion pipeline- Rate-limiting &amp; monitoring setup | BE, DevOps, MLE |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b/>
          <w:bCs/>
        </w:rPr>
        <w:t xml:space="preserve">13–16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Comp Scraper Agent Phase</w:t>
      </w:r>
      <w:r>
        <w:t xml:space="preserve"> </w:t>
      </w:r>
      <w:r>
        <w:t xml:space="preserve">| - Flexmls API integration- Scheduled crawler &amp; parser modules- Elasticsearch ingestion pipeline- Rate-limiting &amp; monitoring setup | BE, DevOps, MLE |</w:t>
      </w:r>
    </w:p>
    <w:p>
      <w:pPr>
        <w:pStyle w:val="BodyText"/>
      </w:pPr>
      <w:r>
        <w:t xml:space="preserve">|</w:t>
      </w:r>
      <w:r>
        <w:t xml:space="preserve"> </w:t>
      </w:r>
      <w:r>
        <w:rPr>
          <w:b/>
          <w:bCs/>
        </w:rPr>
        <w:t xml:space="preserve">13–16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Comp Scraper Agent Phase</w:t>
      </w:r>
      <w:r>
        <w:t xml:space="preserve"> </w:t>
      </w:r>
      <w:r>
        <w:t xml:space="preserve">| - Flexmls API integration- Scheduled crawler &amp; parser modules- Elasticsearch ingestion pipeline- Rate-limiting &amp; monitoring setup | BE, DevOps, MLE |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QuicklyClose</w:t>
      </w:r>
      <w:r>
        <w:t xml:space="preserve"> </w:t>
      </w:r>
      <w:r>
        <w:t xml:space="preserve">is a real-estate lead-generation and transaction platform that serves motivated sellers and accredited/retail investors. We source off-market, distressed properties via targeted social marketing, provide 24-hour cash offers, and resell through an investor marketplace and light-rehab channels. Our differentiator,</w:t>
      </w:r>
      <w:r>
        <w:t xml:space="preserve"> </w:t>
      </w:r>
      <w:r>
        <w:rPr>
          <w:b/>
          <w:bCs/>
        </w:rPr>
        <w:t xml:space="preserve">Comp Vision</w:t>
      </w:r>
      <w:r>
        <w:t xml:space="preserve">, leverages AI-driven image analysis to accelerate valuation and bidding confidence.</w:t>
      </w:r>
    </w:p>
    <w:p>
      <w:pPr>
        <w:pStyle w:val="BodyText"/>
      </w:pPr>
      <w:r>
        <w:rPr>
          <w:b/>
          <w:bCs/>
        </w:rPr>
        <w:t xml:space="preserve">MVP Goals (12-week sprint):</w:t>
      </w:r>
    </w:p>
    <w:p>
      <w:pPr>
        <w:pStyle w:val="Compact"/>
        <w:numPr>
          <w:ilvl w:val="0"/>
          <w:numId w:val="1001"/>
        </w:numPr>
      </w:pPr>
      <w:r>
        <w:t xml:space="preserve">Seller-side: address capture, property intake, 24‑hr automated valuation (AWS Rekognition), confirmation flows, admin lead dashboard</w:t>
      </w:r>
    </w:p>
    <w:p>
      <w:pPr>
        <w:pStyle w:val="Compact"/>
        <w:numPr>
          <w:ilvl w:val="0"/>
          <w:numId w:val="1001"/>
        </w:numPr>
      </w:pPr>
      <w:r>
        <w:t xml:space="preserve">Buyer-side: investor profile, property feed,</w:t>
      </w:r>
      <w:r>
        <w:t xml:space="preserve"> </w:t>
      </w:r>
      <w:r>
        <w:t xml:space="preserve">“Comp Vision”</w:t>
      </w:r>
      <w:r>
        <w:t xml:space="preserve"> </w:t>
      </w:r>
      <w:r>
        <w:t xml:space="preserve">prototype (3 visual comps + basic metrics), one-click bidding, notifications</w:t>
      </w:r>
    </w:p>
    <w:p>
      <w:pPr>
        <w:pStyle w:val="FirstParagraph"/>
      </w:pPr>
      <w:r>
        <w:rPr>
          <w:b/>
          <w:bCs/>
        </w:rPr>
        <w:t xml:space="preserve">Post-MVP roadmap</w:t>
      </w:r>
      <w:r>
        <w:t xml:space="preserve"> </w:t>
      </w:r>
      <w:r>
        <w:t xml:space="preserve">expands AI capabilities (feature scoring, cost estimates), market data (forecasting, neighborhood insights), and advanced UX (3D/360° matching), and introduces a</w:t>
      </w:r>
      <w:r>
        <w:t xml:space="preserve"> </w:t>
      </w:r>
      <w:r>
        <w:rPr>
          <w:b/>
          <w:bCs/>
        </w:rPr>
        <w:t xml:space="preserve">Comp Scraper Agent</w:t>
      </w:r>
      <w:r>
        <w:t xml:space="preserve"> </w:t>
      </w:r>
      <w:r>
        <w:t xml:space="preserve">leveraging</w:t>
      </w:r>
      <w:r>
        <w:t xml:space="preserve"> </w:t>
      </w:r>
      <w:r>
        <w:rPr>
          <w:b/>
          <w:bCs/>
        </w:rPr>
        <w:t xml:space="preserve">Flexmls</w:t>
      </w:r>
      <w:r>
        <w:t xml:space="preserve"> </w:t>
      </w:r>
      <w:r>
        <w:t xml:space="preserve">APIs for real‑time comparable ingestion.</w:t>
      </w:r>
    </w:p>
    <w:p>
      <w:r>
        <w:pict>
          <v:rect style="width:0;height:1.5pt" o:hralign="center" o:hrstd="t" o:hr="t"/>
        </w:pict>
      </w:r>
    </w:p>
    <w:bookmarkEnd w:id="20"/>
    <w:bookmarkStart w:id="21" w:name="key-stakeholders-user-personas"/>
    <w:p>
      <w:pPr>
        <w:pStyle w:val="Heading2"/>
      </w:pPr>
      <w:r>
        <w:t xml:space="preserve">2. Key Stakeholders &amp; User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9"/>
        <w:gridCol w:w="4156"/>
        <w:gridCol w:w="22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Needs &amp; Goals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Motivated Seller</w:t>
            </w:r>
          </w:p>
        </w:tc>
        <w:tc>
          <w:tcPr/>
          <w:p>
            <w:pPr>
              <w:pStyle w:val="Compact"/>
            </w:pPr>
            <w:r>
              <w:t xml:space="preserve">Fast, hassle-free sale; transparency; trust signals</w:t>
            </w:r>
          </w:p>
        </w:tc>
        <w:tc>
          <w:tcPr/>
          <w:p>
            <w:pPr>
              <w:pStyle w:val="Compact"/>
            </w:pPr>
            <w:r>
              <w:t xml:space="preserve">Web, SMS,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Accredited Investor</w:t>
            </w:r>
          </w:p>
        </w:tc>
        <w:tc>
          <w:tcPr/>
          <w:p>
            <w:pPr>
              <w:pStyle w:val="Compact"/>
            </w:pPr>
            <w:r>
              <w:t xml:space="preserve">Reliable deal flow; quick comps; low latency bidding</w:t>
            </w:r>
          </w:p>
        </w:tc>
        <w:tc>
          <w:tcPr/>
          <w:p>
            <w:pPr>
              <w:pStyle w:val="Compact"/>
            </w:pPr>
            <w:r>
              <w:t xml:space="preserve">Web portal, Mobile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Admin</w:t>
            </w:r>
          </w:p>
        </w:tc>
        <w:tc>
          <w:tcPr/>
          <w:p>
            <w:pPr>
              <w:pStyle w:val="Compact"/>
            </w:pPr>
            <w:r>
              <w:t xml:space="preserve">Lead tracking; valuation oversight; inventory control</w:t>
            </w:r>
          </w:p>
        </w:tc>
        <w:tc>
          <w:tcPr/>
          <w:p>
            <w:pPr>
              <w:pStyle w:val="Compact"/>
            </w:pPr>
            <w:r>
              <w:t xml:space="preserve">Internal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ML/DevOps Engineer</w:t>
            </w:r>
          </w:p>
        </w:tc>
        <w:tc>
          <w:tcPr/>
          <w:p>
            <w:pPr>
              <w:pStyle w:val="Compact"/>
            </w:pPr>
            <w:r>
              <w:t xml:space="preserve">Scalable inference; data pipelines; uptime SLAs</w:t>
            </w:r>
          </w:p>
        </w:tc>
        <w:tc>
          <w:tcPr/>
          <w:p>
            <w:pPr>
              <w:pStyle w:val="Compact"/>
            </w:pPr>
            <w:r>
              <w:t xml:space="preserve">AWS SageMaker, Terraform, 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3. Architecture Overview</w:t>
      </w:r>
    </w:p>
    <w:bookmarkStart w:id="22" w:name="data-ai-pipeline"/>
    <w:p>
      <w:pPr>
        <w:pStyle w:val="Heading3"/>
      </w:pPr>
      <w:r>
        <w:t xml:space="preserve">3.1. Data &amp; AI Pipeline</w:t>
      </w:r>
    </w:p>
    <w:p>
      <w:pPr>
        <w:pStyle w:val="SourceCode"/>
      </w:pPr>
      <w:r>
        <w:rPr>
          <w:rStyle w:val="VerbatimChar"/>
        </w:rPr>
        <w:t xml:space="preserve">[Seller Photos] → S3 → Lambda (resize/normalize) →</w:t>
      </w:r>
      <w:r>
        <w:br/>
      </w:r>
      <w:r>
        <w:rPr>
          <w:rStyle w:val="VerbatimChar"/>
        </w:rPr>
        <w:t xml:space="preserve">  ├─ Rekognition (MVP comps)</w:t>
      </w:r>
      <w:r>
        <w:br/>
      </w:r>
      <w:r>
        <w:rPr>
          <w:rStyle w:val="VerbatimChar"/>
        </w:rPr>
        <w:t xml:space="preserve">  └─ SageMaker endpoint (custom PyTorch model)</w:t>
      </w:r>
      <w:r>
        <w:br/>
      </w:r>
      <w:r>
        <w:br/>
      </w:r>
      <w:r>
        <w:rPr>
          <w:rStyle w:val="VerbatimChar"/>
        </w:rPr>
        <w:t xml:space="preserve">Metadata &amp; embeddings → DynamoDB &amp; Feature Store → Elasticsearch for similarity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Inference:</w:t>
      </w:r>
      <w:r>
        <w:t xml:space="preserve"> </w:t>
      </w:r>
      <w:r>
        <w:t xml:space="preserve">SageMaker autoscaling (GPU) with &lt;2s latency; cache popular comp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Retraining:</w:t>
      </w:r>
      <w:r>
        <w:t xml:space="preserve"> </w:t>
      </w:r>
      <w:r>
        <w:t xml:space="preserve">weekly incremental, monthly full with A/B testing framework</w:t>
      </w:r>
    </w:p>
    <w:bookmarkEnd w:id="22"/>
    <w:bookmarkStart w:id="23" w:name="application-stack"/>
    <w:p>
      <w:pPr>
        <w:pStyle w:val="Heading3"/>
      </w:pPr>
      <w:r>
        <w:t xml:space="preserve">3.2. Application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14 (React) + React Native, Tailwind CSS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(core), Node.js microservices (real-time), REST API (GraphQL later)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 (transactions), Redis (cache), Elasticsearch (search), DynamoDB (events)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AWS (ECS/Fargate, CloudFront, Terraform), SNS/SQS for event-driven 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Twilio, SendGrid, Plaid, DocuSign, Stripe, Auth0, Segment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vp-scope-timeline"/>
    <w:p>
      <w:pPr>
        <w:pStyle w:val="Heading2"/>
      </w:pPr>
      <w:r>
        <w:t xml:space="preserve">4. MVP Scope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388"/>
        <w:gridCol w:w="5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&amp; Kickoff</w:t>
            </w:r>
          </w:p>
        </w:tc>
        <w:tc>
          <w:tcPr/>
          <w:p>
            <w:pPr>
              <w:pStyle w:val="Compact"/>
            </w:pPr>
            <w:r>
              <w:t xml:space="preserve">W1–2</w:t>
            </w:r>
          </w:p>
        </w:tc>
        <w:tc>
          <w:tcPr/>
          <w:p>
            <w:pPr>
              <w:pStyle w:val="Compact"/>
            </w:pPr>
            <w:r>
              <w:t xml:space="preserve">UX wireframes, user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 Alpha</w:t>
            </w:r>
          </w:p>
        </w:tc>
        <w:tc>
          <w:tcPr/>
          <w:p>
            <w:pPr>
              <w:pStyle w:val="Compact"/>
            </w:pPr>
            <w:r>
              <w:t xml:space="preserve">W3–4</w:t>
            </w:r>
          </w:p>
        </w:tc>
        <w:tc>
          <w:tcPr/>
          <w:p>
            <w:pPr>
              <w:pStyle w:val="Compact"/>
            </w:pPr>
            <w:r>
              <w:t xml:space="preserve">Seller portal, intake forms, admin dashboard →</w:t>
            </w:r>
            <w:r>
              <w:t xml:space="preserve"> </w:t>
            </w:r>
            <w:r>
              <w:rPr>
                <w:b/>
                <w:bCs/>
              </w:rPr>
              <w:t xml:space="preserve">Alpha</w:t>
            </w:r>
            <w:r>
              <w:t xml:space="preserve"> </w:t>
            </w:r>
            <w:r>
              <w:t xml:space="preserve">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 Vision POC</w:t>
            </w:r>
          </w:p>
        </w:tc>
        <w:tc>
          <w:tcPr/>
          <w:p>
            <w:pPr>
              <w:pStyle w:val="Compact"/>
            </w:pPr>
            <w:r>
              <w:t xml:space="preserve">W5–6</w:t>
            </w:r>
          </w:p>
        </w:tc>
        <w:tc>
          <w:tcPr/>
          <w:p>
            <w:pPr>
              <w:pStyle w:val="Compact"/>
            </w:pPr>
            <w:r>
              <w:t xml:space="preserve">AWS Rekognition integration, 3‑comp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Investor Beta</w:t>
            </w:r>
          </w:p>
        </w:tc>
        <w:tc>
          <w:tcPr/>
          <w:p>
            <w:pPr>
              <w:pStyle w:val="Compact"/>
            </w:pPr>
            <w:r>
              <w:t xml:space="preserve">W7–8</w:t>
            </w:r>
          </w:p>
        </w:tc>
        <w:tc>
          <w:tcPr/>
          <w:p>
            <w:pPr>
              <w:pStyle w:val="Compact"/>
            </w:pPr>
            <w:r>
              <w:t xml:space="preserve">Investor portal, one-click bidding, notifications →</w:t>
            </w:r>
            <w:r>
              <w:t xml:space="preserve"> </w:t>
            </w:r>
            <w:r>
              <w:rPr>
                <w:b/>
                <w:bCs/>
              </w:rPr>
              <w:t xml:space="preserve">Beta</w:t>
            </w:r>
            <w:r>
              <w:t xml:space="preserve"> </w:t>
            </w:r>
            <w:r>
              <w:t xml:space="preserve">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Iteration &amp; Soft</w:t>
            </w:r>
          </w:p>
        </w:tc>
        <w:tc>
          <w:tcPr/>
          <w:p>
            <w:pPr>
              <w:pStyle w:val="Compact"/>
            </w:pPr>
            <w:r>
              <w:t xml:space="preserve">W9–12</w:t>
            </w:r>
          </w:p>
        </w:tc>
        <w:tc>
          <w:tcPr/>
          <w:p>
            <w:pPr>
              <w:pStyle w:val="Compact"/>
            </w:pPr>
            <w:r>
              <w:t xml:space="preserve">Feedback-driven refinements, QA, compliance checks, soft launch in one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ccess-metrics-kpis"/>
    <w:p>
      <w:pPr>
        <w:pStyle w:val="Heading2"/>
      </w:pPr>
      <w:r>
        <w:t xml:space="preserve">5. Success Metrics &amp; KPIs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Conversion Rate:</w:t>
      </w:r>
      <w:r>
        <w:t xml:space="preserve"> </w:t>
      </w:r>
      <w:r>
        <w:t xml:space="preserve">form-to-offer ≥ 15%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Time-to-Offer:</w:t>
      </w:r>
      <w:r>
        <w:t xml:space="preserve"> </w:t>
      </w:r>
      <w:r>
        <w:t xml:space="preserve">median ≤ 22 hours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Investor Activation:</w:t>
      </w:r>
      <w:r>
        <w:t xml:space="preserve"> </w:t>
      </w:r>
      <w:r>
        <w:t xml:space="preserve">profile-to-first-bid ≥ 10%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 Vision Usage:</w:t>
      </w:r>
      <w:r>
        <w:t xml:space="preserve"> </w:t>
      </w:r>
      <w:r>
        <w:t xml:space="preserve">≥ 25% of viewed listings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 Uptime:</w:t>
      </w:r>
      <w:r>
        <w:t xml:space="preserve"> </w:t>
      </w:r>
      <w:r>
        <w:t xml:space="preserve">99.9%; p95 API latency &lt;200 ms</w:t>
      </w:r>
    </w:p>
    <w:p>
      <w:r>
        <w:pict>
          <v:rect style="width:0;height:1.5pt" o:hralign="center" o:hrstd="t" o:hr="t"/>
        </w:pict>
      </w:r>
    </w:p>
    <w:bookmarkEnd w:id="26"/>
    <w:bookmarkStart w:id="27" w:name="high-level-risks-mitigations"/>
    <w:p>
      <w:pPr>
        <w:pStyle w:val="Heading2"/>
      </w:pPr>
      <w:r>
        <w:t xml:space="preserve">6. High-Level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53"/>
        <w:gridCol w:w="1230"/>
        <w:gridCol w:w="4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on Sellers (photos)</w:t>
            </w:r>
          </w:p>
        </w:tc>
        <w:tc>
          <w:tcPr/>
          <w:p>
            <w:pPr>
              <w:pStyle w:val="Compact"/>
            </w:pPr>
            <w:r>
              <w:t xml:space="preserve">Lower conversion</w:t>
            </w:r>
          </w:p>
        </w:tc>
        <w:tc>
          <w:tcPr/>
          <w:p>
            <w:pPr>
              <w:pStyle w:val="Compact"/>
            </w:pPr>
            <w:r>
              <w:t xml:space="preserve">Progressive forms; optional photo step; fallback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Accuracy &amp; Bias</w:t>
            </w:r>
          </w:p>
        </w:tc>
        <w:tc>
          <w:tcPr/>
          <w:p>
            <w:pPr>
              <w:pStyle w:val="Compact"/>
            </w:pPr>
            <w:r>
              <w:t xml:space="preserve">Mispricing</w:t>
            </w:r>
          </w:p>
        </w:tc>
        <w:tc>
          <w:tcPr/>
          <w:p>
            <w:pPr>
              <w:pStyle w:val="Compact"/>
            </w:pPr>
            <w:r>
              <w:t xml:space="preserve">Human QA spot checks; A/B test thresholds; retraining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Freshness</w:t>
            </w:r>
          </w:p>
        </w:tc>
        <w:tc>
          <w:tcPr/>
          <w:p>
            <w:pPr>
              <w:pStyle w:val="Compact"/>
            </w:pPr>
            <w:r>
              <w:t xml:space="preserve">Stale comps</w:t>
            </w:r>
          </w:p>
        </w:tc>
        <w:tc>
          <w:tcPr/>
          <w:p>
            <w:pPr>
              <w:pStyle w:val="Compact"/>
            </w:pPr>
            <w:r>
              <w:t xml:space="preserve">MLS/API feeds later phase; frequent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Overrun</w:t>
            </w:r>
          </w:p>
        </w:tc>
        <w:tc>
          <w:tcPr/>
          <w:p>
            <w:pPr>
              <w:pStyle w:val="Compact"/>
            </w:pPr>
            <w:r>
              <w:t xml:space="preserve">Delays</w:t>
            </w:r>
          </w:p>
        </w:tc>
        <w:tc>
          <w:tcPr/>
          <w:p>
            <w:pPr>
              <w:pStyle w:val="Compact"/>
            </w:pPr>
            <w:r>
              <w:t xml:space="preserve">In-house design; MVP prioritization; contingency fund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05"/>
        </w:numPr>
      </w:pPr>
      <w:r>
        <w:t xml:space="preserve">Finalize in-house UI/UX wireframes (Weeks 1–2)</w:t>
      </w:r>
    </w:p>
    <w:p>
      <w:pPr>
        <w:pStyle w:val="Compact"/>
        <w:numPr>
          <w:ilvl w:val="0"/>
          <w:numId w:val="1005"/>
        </w:numPr>
      </w:pPr>
      <w:r>
        <w:t xml:space="preserve">Confirm team &amp; budget alignment</w:t>
      </w:r>
    </w:p>
    <w:p>
      <w:pPr>
        <w:pStyle w:val="Compact"/>
        <w:numPr>
          <w:ilvl w:val="0"/>
          <w:numId w:val="1005"/>
        </w:numPr>
      </w:pPr>
      <w:r>
        <w:t xml:space="preserve">Kick off infrastructure provisioning (Terraform)</w:t>
      </w:r>
    </w:p>
    <w:p>
      <w:pPr>
        <w:pStyle w:val="Compact"/>
        <w:numPr>
          <w:ilvl w:val="0"/>
          <w:numId w:val="1005"/>
        </w:numPr>
      </w:pPr>
      <w:r>
        <w:t xml:space="preserve">Begin seller-side development (Week 3)</w:t>
      </w:r>
    </w:p>
    <w:p>
      <w:pPr>
        <w:pStyle w:val="Compact"/>
        <w:numPr>
          <w:ilvl w:val="0"/>
          <w:numId w:val="1005"/>
        </w:numPr>
      </w:pPr>
      <w:r>
        <w:t xml:space="preserve">Schedule weekly sprint reviews and stakeholder demos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Documents: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implementation_plan.md</w:t>
      </w:r>
      <w:r>
        <w:t xml:space="preserve">: detailed sprint tasks &amp; resource assignments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design_guidelines.md</w:t>
      </w:r>
      <w:r>
        <w:t xml:space="preserve">: UI/UX patterns, branding, component library specs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app_flow.md</w:t>
      </w:r>
      <w:r>
        <w:t xml:space="preserve">: user flow diagrams, API contract outlines, event sequences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2025-07-24T02:24:33Z</dcterms:created>
  <dcterms:modified xsi:type="dcterms:W3CDTF">2025-07-24T02:24:33Z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