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BA711" w14:textId="77777777" w:rsidR="00355828" w:rsidRDefault="00000000">
      <w:pPr>
        <w:spacing w:after="80"/>
      </w:pPr>
      <w:r>
        <w:rPr>
          <w:noProof/>
        </w:rPr>
        <w:drawing>
          <wp:inline distT="0" distB="0" distL="0" distR="0" wp14:anchorId="2CC6728B" wp14:editId="5424FC9C">
            <wp:extent cx="1438275" cy="23812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1438275" cy="238125"/>
                    </a:xfrm>
                    <a:prstGeom prst="rect">
                      <a:avLst/>
                    </a:prstGeom>
                  </pic:spPr>
                </pic:pic>
              </a:graphicData>
            </a:graphic>
          </wp:inline>
        </w:drawing>
      </w:r>
    </w:p>
    <w:p>
      <w:r>
        <w:rPr>
          <w:rFonts w:ascii="Calibri" w:eastAsia="Calibri" w:hAnsi="Calibri" w:cs="Calibri"/>
          <w:b/>
          <w:bCs/>
          <w:color w:val="1F3A5F"/>
          <w:sz w:val="34"/>
          <w:szCs w:val="34"/>
        </w:rPr>
        <w:t xml:space="preserve">ÉDUCATION : un tuteur IA pour l'Éducation nationale</w:t>
      </w:r>
    </w:p>
    <w:p>
      <w:pPr>
        <w:spacing w:after="60"/>
      </w:pPr>
      <w:r>
        <w:rPr>
          <w:rFonts w:ascii="Calibri" w:eastAsia="Calibri" w:hAnsi="Calibri" w:cs="Calibri"/>
          <w:i/>
          <w:iCs/>
          <w:color w:val="595959"/>
          <w:sz w:val="16"/>
          <w:szCs w:val="16"/>
        </w:rPr>
        <w:t xml:space="preserve">Adrien Joly – Octobre 2026</w:t>
      </w:r>
    </w:p>
    <w:p>
      <w:pPr>
        <w:pBdr>
          <w:bottom w:val="single" w:sz="6" w:space="1" w:color="1F3A5F"/>
        </w:pBdr>
        <w:spacing w:before="100" w:after="40"/>
      </w:pPr>
      <w:r>
        <w:rPr>
          <w:rFonts w:ascii="Calibri" w:eastAsia="Calibri" w:hAnsi="Calibri" w:cs="Calibri"/>
          <w:b/>
          <w:bCs/>
          <w:color w:val="1F3A5F"/>
          <w:sz w:val="21"/>
          <w:szCs w:val="21"/>
        </w:rPr>
        <w:t xml:space="preserve">En bref</w:t>
      </w:r>
    </w:p>
    <w:p>
      <w:pPr>
        <w:pStyle w:val="ListParagraph"/>
        <w:numPr>
          <w:ilvl w:val="0"/>
          <w:numId w:val="2"/>
        </w:numPr>
        <w:spacing w:after="10" w:line="226" w:lineRule="auto"/>
      </w:pPr>
      <w:r>
        <w:rPr>
          <w:rFonts w:ascii="Calibri" w:eastAsia="Calibri" w:hAnsi="Calibri" w:cs="Calibri"/>
          <w:b/>
          <w:bCs/>
          <w:sz w:val="18"/>
          <w:szCs w:val="18"/>
        </w:rPr>
        <w:t xml:space="preserve">Le constat.</w:t>
      </w:r>
      <w:r>
        <w:rPr>
          <w:rFonts w:ascii="Calibri" w:eastAsia="Calibri" w:hAnsi="Calibri" w:cs="Calibri"/>
          <w:sz w:val="18"/>
          <w:szCs w:val="18"/>
        </w:rPr>
        <w:t xml:space="preserve"> Les familles aisées paient des cours particuliers et s'appuient sur leur réseau pour l'orientation. Un tuteur IA bien conçu peut offrir une partie de cet accompagnement à tous : les tuteurs structurés, qui guident sans donner la réponse, font gagner 0,3 à 0,6 écart-type (De Simone et al., 2025 ; Henkel et al., 2024 ; Kestin et al., 2025). Un accès libre à l'IA fait au contraire baisser les résultats aux examens sans aide de 17 à 24 % (Bastani et al., 2025 ; Strömberg, Lei et Wu, 2026).</w:t>
      </w:r>
    </w:p>
    <w:p>
      <w:pPr>
        <w:pStyle w:val="ListParagraph"/>
        <w:numPr>
          <w:ilvl w:val="0"/>
          <w:numId w:val="2"/>
        </w:numPr>
        <w:spacing w:after="10" w:line="226" w:lineRule="auto"/>
      </w:pPr>
      <w:r>
        <w:rPr>
          <w:rFonts w:ascii="Calibri" w:eastAsia="Calibri" w:hAnsi="Calibri" w:cs="Calibri"/>
          <w:b/>
          <w:bCs/>
          <w:sz w:val="18"/>
          <w:szCs w:val="18"/>
        </w:rPr>
        <w:t xml:space="preserve">La proposition.</w:t>
      </w:r>
      <w:r>
        <w:rPr>
          <w:rFonts w:ascii="Calibri" w:eastAsia="Calibri" w:hAnsi="Calibri" w:cs="Calibri"/>
          <w:sz w:val="18"/>
          <w:szCs w:val="18"/>
        </w:rPr>
        <w:t xml:space="preserve"> Un tuteur public, vocal et en français, commandé par l'Éducation nationale, avec des garde-fous stricts, testé par un essai randomisé avant toute généralisation.</w:t>
      </w:r>
    </w:p>
    <w:p>
      <w:pPr>
        <w:pBdr>
          <w:bottom w:val="single" w:sz="6" w:space="1" w:color="1F3A5F"/>
        </w:pBdr>
        <w:spacing w:before="100" w:after="40"/>
      </w:pPr>
      <w:r>
        <w:rPr>
          <w:rFonts w:ascii="Calibri" w:eastAsia="Calibri" w:hAnsi="Calibri" w:cs="Calibri"/>
          <w:b/>
          <w:bCs/>
          <w:color w:val="1F3A5F"/>
          <w:sz w:val="21"/>
          <w:szCs w:val="21"/>
        </w:rPr>
        <w:t xml:space="preserve">1. Ce que fait le tuteur</w:t>
      </w:r>
    </w:p>
    <w:p>
      <w:pPr>
        <w:pStyle w:val="ListParagraph"/>
        <w:numPr>
          <w:ilvl w:val="0"/>
          <w:numId w:val="2"/>
        </w:numPr>
        <w:spacing w:after="10" w:line="226" w:lineRule="auto"/>
      </w:pPr>
      <w:r>
        <w:rPr>
          <w:rFonts w:ascii="Calibri" w:eastAsia="Calibri" w:hAnsi="Calibri" w:cs="Calibri"/>
          <w:b/>
          <w:bCs/>
          <w:sz w:val="18"/>
          <w:szCs w:val="18"/>
        </w:rPr>
        <w:t xml:space="preserve">Trois usages.</w:t>
      </w:r>
      <w:r>
        <w:rPr>
          <w:rFonts w:ascii="Calibri" w:eastAsia="Calibri" w:hAnsi="Calibri" w:cs="Calibri"/>
          <w:sz w:val="18"/>
          <w:szCs w:val="18"/>
        </w:rPr>
        <w:t xml:space="preserve"> L'élève se fait </w:t>
      </w:r>
      <w:r>
        <w:rPr>
          <w:rFonts w:ascii="Calibri" w:eastAsia="Calibri" w:hAnsi="Calibri" w:cs="Calibri"/>
          <w:b/>
          <w:bCs/>
          <w:sz w:val="18"/>
          <w:szCs w:val="18"/>
        </w:rPr>
        <w:t xml:space="preserve">interroger</w:t>
      </w:r>
      <w:r>
        <w:rPr>
          <w:rFonts w:ascii="Calibri" w:eastAsia="Calibri" w:hAnsi="Calibri" w:cs="Calibri"/>
          <w:sz w:val="18"/>
          <w:szCs w:val="18"/>
        </w:rPr>
        <w:t xml:space="preserve"> (une question à la fois, des indices avant la réponse), demande une </w:t>
      </w:r>
      <w:r>
        <w:rPr>
          <w:rFonts w:ascii="Calibri" w:eastAsia="Calibri" w:hAnsi="Calibri" w:cs="Calibri"/>
          <w:b/>
          <w:bCs/>
          <w:sz w:val="18"/>
          <w:szCs w:val="18"/>
        </w:rPr>
        <w:t xml:space="preserve">explication</w:t>
      </w:r>
      <w:r>
        <w:rPr>
          <w:rFonts w:ascii="Calibri" w:eastAsia="Calibri" w:hAnsi="Calibri" w:cs="Calibri"/>
          <w:sz w:val="18"/>
          <w:szCs w:val="18"/>
        </w:rPr>
        <w:t xml:space="preserve"> (une notion, un exemple, une question pour vérifier), ou </w:t>
      </w:r>
      <w:r>
        <w:rPr>
          <w:rFonts w:ascii="Calibri" w:eastAsia="Calibri" w:hAnsi="Calibri" w:cs="Calibri"/>
          <w:b/>
          <w:bCs/>
          <w:sz w:val="18"/>
          <w:szCs w:val="18"/>
        </w:rPr>
        <w:t xml:space="preserve">révise avec un binôme</w:t>
      </w:r>
      <w:r>
        <w:rPr>
          <w:rFonts w:ascii="Calibri" w:eastAsia="Calibri" w:hAnsi="Calibri" w:cs="Calibri"/>
          <w:sz w:val="18"/>
          <w:szCs w:val="18"/>
        </w:rPr>
        <w:t xml:space="preserve"> qui lui fait expliquer la leçon avec ses mots. Se tester fixe mieux une notion que la relire (Roediger et Karpicke, 2006).</w:t>
      </w:r>
    </w:p>
    <w:p>
      <w:pPr>
        <w:pStyle w:val="ListParagraph"/>
        <w:numPr>
          <w:ilvl w:val="0"/>
          <w:numId w:val="2"/>
        </w:numPr>
        <w:spacing w:after="10" w:line="226" w:lineRule="auto"/>
      </w:pPr>
      <w:r>
        <w:rPr>
          <w:rFonts w:ascii="Calibri" w:eastAsia="Calibri" w:hAnsi="Calibri" w:cs="Calibri"/>
          <w:b/>
          <w:bCs/>
          <w:sz w:val="18"/>
          <w:szCs w:val="18"/>
        </w:rPr>
        <w:t xml:space="preserve">La voix d'abord.</w:t>
      </w:r>
      <w:r>
        <w:rPr>
          <w:rFonts w:ascii="Calibri" w:eastAsia="Calibri" w:hAnsi="Calibri" w:cs="Calibri"/>
          <w:sz w:val="18"/>
          <w:szCs w:val="18"/>
        </w:rPr>
        <w:t xml:space="preserve"> À l'oral, l'élève est actif et n'a pas besoin de bien lire. Le prototype propose trois professeurs pour le brevet : histoire-géographie (les repères à connaître par cœur), mathématiques (calcul mental) et français (grammaire, récitation, oral du brevet). Un professeur peut y mettre sa propre voix clonée, avec son accord écrit. Le tuteur parle français et passe à l'anglais en cours de conversation si l'élève ou un parent le demande. Le seul outil vocal acheté par l'État, Mathia (P2IA, cycle 2), n'a jamais été évalué publiquement.</w:t>
      </w:r>
    </w:p>
    <w:p>
      <w:pPr>
        <w:pStyle w:val="ListParagraph"/>
        <w:numPr>
          <w:ilvl w:val="0"/>
          <w:numId w:val="2"/>
        </w:numPr>
        <w:spacing w:after="10" w:line="226" w:lineRule="auto"/>
      </w:pPr>
      <w:r>
        <w:rPr>
          <w:rFonts w:ascii="Calibri" w:eastAsia="Calibri" w:hAnsi="Calibri" w:cs="Calibri"/>
          <w:b/>
          <w:bCs/>
          <w:sz w:val="18"/>
          <w:szCs w:val="18"/>
        </w:rPr>
        <w:t xml:space="preserve">Un volet orientation, de la 6e à la terminale.</w:t>
      </w:r>
      <w:r>
        <w:rPr>
          <w:rFonts w:ascii="Calibri" w:eastAsia="Calibri" w:hAnsi="Calibri" w:cs="Calibri"/>
          <w:sz w:val="18"/>
          <w:szCs w:val="18"/>
        </w:rPr>
        <w:t xml:space="preserve"> La guide propose options, stages, concours, mentors et formations selon l'âge, les goûts et le lieu de vie de l'élève. Elle s'appuie sur la note de résilience à l'IA des 13 819 formations de Parcoursup 2025, leurs salaires, leurs taux d'emploi à 30 mois (InserSup) et leurs taux d'accès.</w:t>
      </w:r>
    </w:p>
    <w:p>
      <w:pPr>
        <w:pBdr>
          <w:bottom w:val="single" w:sz="6" w:space="1" w:color="1F3A5F"/>
        </w:pBdr>
        <w:spacing w:before="100" w:after="40"/>
      </w:pPr>
      <w:r>
        <w:rPr>
          <w:rFonts w:ascii="Calibri" w:eastAsia="Calibri" w:hAnsi="Calibri" w:cs="Calibri"/>
          <w:b/>
          <w:bCs/>
          <w:color w:val="1F3A5F"/>
          <w:sz w:val="21"/>
          <w:szCs w:val="21"/>
        </w:rPr>
        <w:t xml:space="preserve">2. Des garde-fous stricts</w:t>
      </w:r>
    </w:p>
    <w:p>
      <w:pPr>
        <w:pStyle w:val="ListParagraph"/>
        <w:numPr>
          <w:ilvl w:val="0"/>
          <w:numId w:val="2"/>
        </w:numPr>
        <w:spacing w:after="10" w:line="226" w:lineRule="auto"/>
      </w:pPr>
      <w:r>
        <w:rPr>
          <w:rFonts w:ascii="Calibri" w:eastAsia="Calibri" w:hAnsi="Calibri" w:cs="Calibri"/>
          <w:b/>
          <w:bCs/>
          <w:sz w:val="18"/>
          <w:szCs w:val="18"/>
        </w:rPr>
        <w:t xml:space="preserve">Jamais les devoirs à la place de l'élève.</w:t>
      </w:r>
      <w:r>
        <w:rPr>
          <w:rFonts w:ascii="Calibri" w:eastAsia="Calibri" w:hAnsi="Calibri" w:cs="Calibri"/>
          <w:sz w:val="18"/>
          <w:szCs w:val="18"/>
        </w:rPr>
        <w:t xml:space="preserve"> Le tuteur refuse d'écrire une rédaction ou de donner le résultat d'un exercice : il le fait faire étape par étape. Un second modèle relit chaque réponse et bloque celles qui feraient le travail. C'est la conception qui supprime presque tout l'effet négatif mesuré par Bastani et al. (2025). Le cadre d'usage de 2025 qualifie déjà de fraude un devoir rédigé par IA sans autorisation.</w:t>
      </w:r>
    </w:p>
    <w:p>
      <w:pPr>
        <w:pStyle w:val="ListParagraph"/>
        <w:numPr>
          <w:ilvl w:val="0"/>
          <w:numId w:val="2"/>
        </w:numPr>
        <w:spacing w:after="10" w:line="226" w:lineRule="auto"/>
      </w:pPr>
      <w:r>
        <w:rPr>
          <w:rFonts w:ascii="Calibri" w:eastAsia="Calibri" w:hAnsi="Calibri" w:cs="Calibri"/>
          <w:b/>
          <w:bCs/>
          <w:sz w:val="18"/>
          <w:szCs w:val="18"/>
        </w:rPr>
        <w:t xml:space="preserve">Protéger les mineurs.</w:t>
      </w:r>
      <w:r>
        <w:rPr>
          <w:rFonts w:ascii="Calibri" w:eastAsia="Calibri" w:hAnsi="Calibri" w:cs="Calibri"/>
          <w:sz w:val="18"/>
          <w:szCs w:val="18"/>
        </w:rPr>
        <w:t xml:space="preserve"> Ni nom, ni adresse, ni établissement ; pas de sujet hors école ; en cas de détresse, renvoi vers un adulte et les numéros 3020, 3018, 119 et 3114 ; hébergement des données en France.</w:t>
      </w:r>
    </w:p>
    <w:p>
      <w:pPr>
        <w:pBdr>
          <w:bottom w:val="single" w:sz="6" w:space="1" w:color="1F3A5F"/>
        </w:pBdr>
        <w:spacing w:before="100" w:after="40"/>
      </w:pPr>
      <w:r>
        <w:rPr>
          <w:rFonts w:ascii="Calibri" w:eastAsia="Calibri" w:hAnsi="Calibri" w:cs="Calibri"/>
          <w:b/>
          <w:bCs/>
          <w:color w:val="1F3A5F"/>
          <w:sz w:val="21"/>
          <w:szCs w:val="21"/>
        </w:rPr>
        <w:t xml:space="preserve">3. Une commande publique qui reste à jour</w:t>
      </w:r>
    </w:p>
    <w:p>
      <w:pPr>
        <w:pStyle w:val="ListParagraph"/>
        <w:numPr>
          <w:ilvl w:val="0"/>
          <w:numId w:val="2"/>
        </w:numPr>
        <w:spacing w:after="10" w:line="226" w:lineRule="auto"/>
      </w:pPr>
      <w:r>
        <w:rPr>
          <w:rFonts w:ascii="Calibri" w:eastAsia="Calibri" w:hAnsi="Calibri" w:cs="Calibri"/>
          <w:b/>
          <w:bCs/>
          <w:sz w:val="18"/>
          <w:szCs w:val="18"/>
        </w:rPr>
        <w:t xml:space="preserve">Éviter l'erreur de MIA Seconde</w:t>
      </w:r>
      <w:r>
        <w:rPr>
          <w:rFonts w:ascii="Calibri" w:eastAsia="Calibri" w:hAnsi="Calibri" w:cs="Calibri"/>
          <w:sz w:val="18"/>
          <w:szCs w:val="18"/>
        </w:rPr>
        <w:t xml:space="preserve"> : commandé en 2022 pour 2,8 M€ sur trois ans, livré avec un an de retard, sans résultats publiés (Next, 2024). Séparer quatre lots : pédagogie et garde-fous ; accès aux modèles par une passerelle publique (l'API Albert de la DINUM en fait déjà fonctionner plusieurs) ; voix, avec des modèles français ouverts (Kyutai, Mistral) ; données d'orientation (Onisep, Parcoursup).</w:t>
      </w:r>
    </w:p>
    <w:p>
      <w:pPr>
        <w:pStyle w:val="ListParagraph"/>
        <w:numPr>
          <w:ilvl w:val="0"/>
          <w:numId w:val="2"/>
        </w:numPr>
        <w:spacing w:after="10" w:line="226" w:lineRule="auto"/>
      </w:pPr>
      <w:r>
        <w:rPr>
          <w:rFonts w:ascii="Calibri" w:eastAsia="Calibri" w:hAnsi="Calibri" w:cs="Calibri"/>
          <w:b/>
          <w:bCs/>
          <w:sz w:val="18"/>
          <w:szCs w:val="18"/>
        </w:rPr>
        <w:t xml:space="preserve">Un contrat exigeant.</w:t>
      </w:r>
      <w:r>
        <w:rPr>
          <w:rFonts w:ascii="Calibri" w:eastAsia="Calibri" w:hAnsi="Calibri" w:cs="Calibri"/>
          <w:sz w:val="18"/>
          <w:szCs w:val="18"/>
        </w:rPr>
        <w:t xml:space="preserve"> Passer à un meilleur modèle en trois mois au plus, remettre le modèle en concurrence tous les 12 à 24 mois, et lier 20 à 30 % du paiement aux résultats d'un essai indépendant, mesurés sur des épreuves sans l'outil.</w:t>
      </w:r>
    </w:p>
    <w:p>
      <w:pPr>
        <w:pStyle w:val="ListParagraph"/>
        <w:numPr>
          <w:ilvl w:val="0"/>
          <w:numId w:val="2"/>
        </w:numPr>
        <w:spacing w:after="10" w:line="226" w:lineRule="auto"/>
      </w:pPr>
      <w:r>
        <w:rPr>
          <w:rFonts w:ascii="Calibri" w:eastAsia="Calibri" w:hAnsi="Calibri" w:cs="Calibri"/>
          <w:b/>
          <w:bCs/>
          <w:sz w:val="18"/>
          <w:szCs w:val="18"/>
        </w:rPr>
        <w:t xml:space="preserve">Un essai d'abord.</w:t>
      </w:r>
      <w:r>
        <w:rPr>
          <w:rFonts w:ascii="Calibri" w:eastAsia="Calibri" w:hAnsi="Calibri" w:cs="Calibri"/>
          <w:sz w:val="18"/>
          <w:szCs w:val="18"/>
        </w:rPr>
        <w:t xml:space="preserve"> Démarrer dans quelques académies, avec un groupe témoin. Ouvrir le tuteur dès la 6e va au-delà du cadre de 2025, qui réserve l'usage par l'élève à partir de la 4e : l'essai doit le justifier.</w:t>
      </w:r>
    </w:p>
    <w:p>
      <w:pPr>
        <w:spacing w:before="20" w:after="40"/>
        <w:ind w:left="280"/>
      </w:pPr>
      <w:r>
        <w:rPr>
          <w:rFonts w:ascii="Calibri" w:eastAsia="Calibri" w:hAnsi="Calibri" w:cs="Calibri"/>
          <w:i/>
          <w:iCs/>
          <w:color w:val="595959"/>
          <w:sz w:val="18"/>
          <w:szCs w:val="18"/>
        </w:rPr>
        <w:t xml:space="preserve">Pour essayer : la </w:t>
      </w:r>
      <w:hyperlink r:id="rIdLink1" w:history="1">
        <w:r>
          <w:rPr>
            <w:rFonts w:ascii="Calibri" w:eastAsia="Calibri" w:hAnsi="Calibri" w:cs="Calibri"/>
            <w:i/>
            <w:iCs/>
            <w:color w:val="1F5FAD"/>
            <w:sz w:val="18"/>
            <w:szCs w:val="18"/>
            <w:u w:val="single"/>
          </w:rPr>
          <w:t xml:space="preserve">Boussole IA des formations</w:t>
        </w:r>
      </w:hyperlink>
      <w:r>
        <w:rPr>
          <w:rFonts w:ascii="Calibri" w:eastAsia="Calibri" w:hAnsi="Calibri" w:cs="Calibri"/>
          <w:i/>
          <w:iCs/>
          <w:color w:val="595959"/>
          <w:sz w:val="18"/>
          <w:szCs w:val="18"/>
        </w:rPr>
        <w:t xml:space="preserve">, qui classe les formations de Parcoursup selon leur résilience à l'IA. Le prototype vocal : </w:t>
      </w:r>
      <w:hyperlink r:id="rIdLink2" w:history="1">
        <w:r>
          <w:rPr>
            <w:rFonts w:ascii="Calibri" w:eastAsia="Calibri" w:hAnsi="Calibri" w:cs="Calibri"/>
            <w:i/>
            <w:iCs/>
            <w:color w:val="1F5FAD"/>
            <w:sz w:val="18"/>
            <w:szCs w:val="18"/>
            <w:u w:val="single"/>
          </w:rPr>
          <w:t xml:space="preserve">le tuteur de révision</w:t>
        </w:r>
      </w:hyperlink>
      <w:r>
        <w:rPr>
          <w:rFonts w:ascii="Calibri" w:eastAsia="Calibri" w:hAnsi="Calibri" w:cs="Calibri"/>
          <w:i/>
          <w:iCs/>
          <w:color w:val="595959"/>
          <w:sz w:val="18"/>
          <w:szCs w:val="18"/>
        </w:rPr>
        <w:t xml:space="preserve"> (histoire-géographie, mathématiques et français) et </w:t>
      </w:r>
      <w:hyperlink r:id="rIdLink3" w:history="1">
        <w:r>
          <w:rPr>
            <w:rFonts w:ascii="Calibri" w:eastAsia="Calibri" w:hAnsi="Calibri" w:cs="Calibri"/>
            <w:i/>
            <w:iCs/>
            <w:color w:val="1F5FAD"/>
            <w:sz w:val="18"/>
            <w:szCs w:val="18"/>
            <w:u w:val="single"/>
          </w:rPr>
          <w:t xml:space="preserve">la guide d'orientation</w:t>
        </w:r>
      </w:hyperlink>
      <w:r>
        <w:rPr>
          <w:rFonts w:ascii="Calibri" w:eastAsia="Calibri" w:hAnsi="Calibri" w:cs="Calibri"/>
          <w:i/>
          <w:iCs/>
          <w:color w:val="595959"/>
          <w:sz w:val="18"/>
          <w:szCs w:val="18"/>
        </w:rPr>
        <w:t xml:space="preserve">. Scénarios de test : </w:t>
      </w:r>
      <w:hyperlink r:id="rIdLink4" w:history="1">
        <w:r>
          <w:rPr>
            <w:rFonts w:ascii="Calibri" w:eastAsia="Calibri" w:hAnsi="Calibri" w:cs="Calibri"/>
            <w:i/>
            <w:iCs/>
            <w:color w:val="1F5FAD"/>
            <w:sz w:val="18"/>
            <w:szCs w:val="18"/>
            <w:u w:val="single"/>
          </w:rPr>
          <w:t xml:space="preserve">Madame Lambert interroge sur la guerre froide</w:t>
        </w:r>
      </w:hyperlink>
      <w:r>
        <w:rPr>
          <w:rFonts w:ascii="Calibri" w:eastAsia="Calibri" w:hAnsi="Calibri" w:cs="Calibri"/>
          <w:i/>
          <w:iCs/>
          <w:color w:val="595959"/>
          <w:sz w:val="18"/>
          <w:szCs w:val="18"/>
        </w:rPr>
        <w:t xml:space="preserve"> ; </w:t>
      </w:r>
      <w:hyperlink r:id="rIdLink5" w:history="1">
        <w:r>
          <w:rPr>
            <w:rFonts w:ascii="Calibri" w:eastAsia="Calibri" w:hAnsi="Calibri" w:cs="Calibri"/>
            <w:i/>
            <w:iCs/>
            <w:color w:val="1F5FAD"/>
            <w:sz w:val="18"/>
            <w:szCs w:val="18"/>
            <w:u w:val="single"/>
          </w:rPr>
          <w:t xml:space="preserve">Madame Morel prépare l'oral du brevet</w:t>
        </w:r>
      </w:hyperlink>
      <w:r>
        <w:rPr>
          <w:rFonts w:ascii="Calibri" w:eastAsia="Calibri" w:hAnsi="Calibri" w:cs="Calibri"/>
          <w:i/>
          <w:iCs/>
          <w:color w:val="595959"/>
          <w:sz w:val="18"/>
          <w:szCs w:val="18"/>
        </w:rPr>
        <w:t xml:space="preserve"> ; </w:t>
      </w:r>
      <w:hyperlink r:id="rIdLink6" w:history="1">
        <w:r>
          <w:rPr>
            <w:rFonts w:ascii="Calibri" w:eastAsia="Calibri" w:hAnsi="Calibri" w:cs="Calibri"/>
            <w:i/>
            <w:iCs/>
            <w:color w:val="1F5FAD"/>
            <w:sz w:val="18"/>
            <w:szCs w:val="18"/>
            <w:u w:val="single"/>
          </w:rPr>
          <w:t xml:space="preserve">Claire conseille un élève de 3e à Vire</w:t>
        </w:r>
      </w:hyperlink>
      <w:r>
        <w:rPr>
          <w:rFonts w:ascii="Calibri" w:eastAsia="Calibri" w:hAnsi="Calibri" w:cs="Calibri"/>
          <w:i/>
          <w:iCs/>
          <w:color w:val="595959"/>
          <w:sz w:val="18"/>
          <w:szCs w:val="18"/>
        </w:rPr>
        <w:t xml:space="preserve"> ; </w:t>
      </w:r>
      <w:hyperlink r:id="rIdLink7" w:history="1">
        <w:r>
          <w:rPr>
            <w:rFonts w:ascii="Calibri" w:eastAsia="Calibri" w:hAnsi="Calibri" w:cs="Calibri"/>
            <w:i/>
            <w:iCs/>
            <w:color w:val="1F5FAD"/>
            <w:sz w:val="18"/>
            <w:szCs w:val="18"/>
            <w:u w:val="single"/>
          </w:rPr>
          <w:t xml:space="preserve">Claire répond à un parent de Guéret</w:t>
        </w:r>
      </w:hyperlink>
      <w:r>
        <w:rPr>
          <w:rFonts w:ascii="Calibri" w:eastAsia="Calibri" w:hAnsi="Calibri" w:cs="Calibri"/>
          <w:i/>
          <w:iCs/>
          <w:color w:val="595959"/>
          <w:sz w:val="18"/>
          <w:szCs w:val="18"/>
        </w:rPr>
        <w:t xml:space="preserve"> ; </w:t>
      </w:r>
      <w:hyperlink r:id="rIdLink8" w:history="1">
        <w:r>
          <w:rPr>
            <w:rFonts w:ascii="Calibri" w:eastAsia="Calibri" w:hAnsi="Calibri" w:cs="Calibri"/>
            <w:i/>
            <w:iCs/>
            <w:color w:val="1F5FAD"/>
            <w:sz w:val="18"/>
            <w:szCs w:val="18"/>
            <w:u w:val="single"/>
          </w:rPr>
          <w:t xml:space="preserve">tous les scénarios</w:t>
        </w:r>
      </w:hyperlink>
      <w:r>
        <w:rPr>
          <w:rFonts w:ascii="Calibri" w:eastAsia="Calibri" w:hAnsi="Calibri" w:cs="Calibri"/>
          <w:i/>
          <w:iCs/>
          <w:color w:val="595959"/>
          <w:sz w:val="18"/>
          <w:szCs w:val="18"/>
        </w:rPr>
        <w:t xml:space="preserve">. Il faut un micro et accepter son usage dans le navigateur.</w:t>
      </w:r>
    </w:p>
    <w:p>
      <w:pPr>
        <w:spacing w:before="60" w:after="10"/>
      </w:pPr>
      <w:r>
        <w:rPr>
          <w:rFonts w:ascii="Calibri" w:eastAsia="Calibri" w:hAnsi="Calibri" w:cs="Calibri"/>
          <w:b/>
          <w:bCs/>
          <w:color w:val="1F3A5F"/>
          <w:sz w:val="16"/>
          <w:szCs w:val="16"/>
        </w:rPr>
        <w:t xml:space="preserve">Références</w:t>
      </w:r>
    </w:p>
    <w:p>
      <w:pPr>
        <w:spacing w:after="10"/>
      </w:pPr>
      <w:r>
        <w:rPr>
          <w:rFonts w:ascii="Calibri" w:eastAsia="Calibri" w:hAnsi="Calibri" w:cs="Calibri"/>
          <w:sz w:val="18"/>
          <w:szCs w:val="18"/>
        </w:rPr>
        <w:t xml:space="preserve">Bastani et al. (2025), PNAS ; De Simone et al. (2025), Banque mondiale PRWP 11125 ; Henkel et al. (2024), arXiv 2402.09809 ; Kestin et al. (2025), Scientific Reports ; Strömberg, Lei et Wu (2026), CEPR DP21577 ; Roediger et Karpicke (2006), Psychological Science ; Next (2024), MIA Seconde ; DINUM (2026), API Albert ; MENJ (2025), Cadre d'usage de l'IA en éducation ; MESR-SIES (2026), InserSup ; Hosseini et Lichtinger (2026).</w:t>
      </w:r>
    </w:p>
    <w:sectPr w:rsidR="00355828">
      <w:footerReference w:type="default" r:id="rId9"/>
      <w:pgSz w:w="11906" w:h="16838"/>
      <w:pgMar w:top="720" w:right="950" w:bottom="700" w:left="9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2F6A39" w14:textId="77777777" w:rsidR="00EE481B" w:rsidRDefault="00EE481B">
      <w:r>
        <w:separator/>
      </w:r>
    </w:p>
  </w:endnote>
  <w:endnote w:type="continuationSeparator" w:id="0">
    <w:p w14:paraId="643D8C5C" w14:textId="77777777" w:rsidR="00EE481B" w:rsidRDefault="00EE4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BBC1A" w14:textId="77777777" w:rsidR="00355828" w:rsidRDefault="00000000">
    <w:pPr>
      <w:jc w:val="right"/>
    </w:pPr>
    <w:proofErr w:type="spellStart"/>
    <w:r>
      <w:rPr>
        <w:rFonts w:ascii="Calibri" w:eastAsia="Calibri" w:hAnsi="Calibri" w:cs="Calibri"/>
        <w:color w:val="808080"/>
        <w:sz w:val="14"/>
        <w:szCs w:val="14"/>
      </w:rPr>
      <w:t>Préparez</w:t>
    </w:r>
    <w:proofErr w:type="spellEnd"/>
    <w:r>
      <w:rPr>
        <w:rFonts w:ascii="Calibri" w:eastAsia="Calibri" w:hAnsi="Calibri" w:cs="Calibri"/>
        <w:color w:val="808080"/>
        <w:sz w:val="14"/>
        <w:szCs w:val="14"/>
      </w:rPr>
      <w:t xml:space="preserve"> </w:t>
    </w:r>
    <w:proofErr w:type="spellStart"/>
    <w:r>
      <w:rPr>
        <w:rFonts w:ascii="Calibri" w:eastAsia="Calibri" w:hAnsi="Calibri" w:cs="Calibri"/>
        <w:color w:val="808080"/>
        <w:sz w:val="14"/>
        <w:szCs w:val="14"/>
      </w:rPr>
      <w:t>l'Avenir</w:t>
    </w:r>
    <w:proofErr w:type="spellEnd"/>
    <w:r>
      <w:rPr>
        <w:rFonts w:ascii="Calibri" w:eastAsia="Calibri" w:hAnsi="Calibri" w:cs="Calibri"/>
        <w:color w:val="808080"/>
        <w:sz w:val="14"/>
        <w:szCs w:val="14"/>
      </w:rPr>
      <w:t xml:space="preserve"> · GT </w:t>
    </w:r>
    <w:proofErr w:type="spellStart"/>
    <w:r>
      <w:rPr>
        <w:rFonts w:ascii="Calibri" w:eastAsia="Calibri" w:hAnsi="Calibri" w:cs="Calibri"/>
        <w:color w:val="808080"/>
        <w:sz w:val="14"/>
        <w:szCs w:val="14"/>
      </w:rPr>
      <w:t>Éducation</w:t>
    </w:r>
    <w:proofErr w:type="spellEnd"/>
    <w:r>
      <w:rPr>
        <w:rFonts w:ascii="Calibri" w:eastAsia="Calibri" w:hAnsi="Calibri" w:cs="Calibri"/>
        <w:color w:val="808080"/>
        <w:sz w:val="14"/>
        <w:szCs w:val="14"/>
      </w:rPr>
      <w:t xml:space="preserve"> · </w:t>
    </w:r>
    <w:r>
      <w:rPr>
        <w:rFonts w:ascii="Calibri" w:eastAsia="Calibri" w:hAnsi="Calibri" w:cs="Calibri"/>
        <w:color w:val="808080"/>
        <w:sz w:val="14"/>
        <w:szCs w:val="14"/>
      </w:rPr>
      <w:fldChar w:fldCharType="begin"/>
    </w:r>
    <w:r>
      <w:rPr>
        <w:rFonts w:ascii="Calibri" w:eastAsia="Calibri" w:hAnsi="Calibri" w:cs="Calibri"/>
        <w:color w:val="808080"/>
        <w:sz w:val="14"/>
        <w:szCs w:val="14"/>
      </w:rPr>
      <w:instrText>PAGE</w:instrText>
    </w:r>
    <w:r>
      <w:rPr>
        <w:rFonts w:ascii="Calibri" w:eastAsia="Calibri" w:hAnsi="Calibri" w:cs="Calibri"/>
        <w:color w:val="808080"/>
        <w:sz w:val="14"/>
        <w:szCs w:val="14"/>
      </w:rPr>
      <w:fldChar w:fldCharType="separate"/>
    </w:r>
    <w:r w:rsidR="009C713E">
      <w:rPr>
        <w:rFonts w:ascii="Calibri" w:eastAsia="Calibri" w:hAnsi="Calibri" w:cs="Calibri"/>
        <w:noProof/>
        <w:color w:val="808080"/>
        <w:sz w:val="14"/>
        <w:szCs w:val="14"/>
      </w:rPr>
      <w:t>1</w:t>
    </w:r>
    <w:r>
      <w:rPr>
        <w:rFonts w:ascii="Calibri" w:eastAsia="Calibri" w:hAnsi="Calibri" w:cs="Calibri"/>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4A2D9A" w14:textId="77777777" w:rsidR="00EE481B" w:rsidRDefault="00EE481B">
      <w:r>
        <w:separator/>
      </w:r>
    </w:p>
  </w:footnote>
  <w:footnote w:type="continuationSeparator" w:id="0">
    <w:p w14:paraId="2F25978A" w14:textId="77777777" w:rsidR="00EE481B" w:rsidRDefault="00EE48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866992"/>
    <w:multiLevelType w:val="hybridMultilevel"/>
    <w:tmpl w:val="9E36F0A6"/>
    <w:lvl w:ilvl="0" w:tplc="9E0A5D40">
      <w:start w:val="1"/>
      <w:numFmt w:val="bullet"/>
      <w:lvlText w:val="•"/>
      <w:lvlJc w:val="left"/>
      <w:pPr>
        <w:ind w:left="280" w:hanging="180"/>
      </w:pPr>
    </w:lvl>
    <w:lvl w:ilvl="1" w:tplc="BE962A82">
      <w:start w:val="1"/>
      <w:numFmt w:val="bullet"/>
      <w:lvlText w:val="–"/>
      <w:lvlJc w:val="left"/>
      <w:pPr>
        <w:ind w:left="560" w:hanging="180"/>
      </w:pPr>
    </w:lvl>
    <w:lvl w:ilvl="2" w:tplc="2D347DEC">
      <w:numFmt w:val="decimal"/>
      <w:lvlText w:val=""/>
      <w:lvlJc w:val="left"/>
    </w:lvl>
    <w:lvl w:ilvl="3" w:tplc="4A087330">
      <w:numFmt w:val="decimal"/>
      <w:lvlText w:val=""/>
      <w:lvlJc w:val="left"/>
    </w:lvl>
    <w:lvl w:ilvl="4" w:tplc="904ADFB8">
      <w:numFmt w:val="decimal"/>
      <w:lvlText w:val=""/>
      <w:lvlJc w:val="left"/>
    </w:lvl>
    <w:lvl w:ilvl="5" w:tplc="3238066E">
      <w:numFmt w:val="decimal"/>
      <w:lvlText w:val=""/>
      <w:lvlJc w:val="left"/>
    </w:lvl>
    <w:lvl w:ilvl="6" w:tplc="1982DE6C">
      <w:numFmt w:val="decimal"/>
      <w:lvlText w:val=""/>
      <w:lvlJc w:val="left"/>
    </w:lvl>
    <w:lvl w:ilvl="7" w:tplc="67908E48">
      <w:numFmt w:val="decimal"/>
      <w:lvlText w:val=""/>
      <w:lvlJc w:val="left"/>
    </w:lvl>
    <w:lvl w:ilvl="8" w:tplc="C69257F0">
      <w:numFmt w:val="decimal"/>
      <w:lvlText w:val=""/>
      <w:lvlJc w:val="left"/>
    </w:lvl>
  </w:abstractNum>
  <w:abstractNum w:abstractNumId="1" w15:restartNumberingAfterBreak="0">
    <w:nsid w:val="62757EAE"/>
    <w:multiLevelType w:val="hybridMultilevel"/>
    <w:tmpl w:val="50B0E74C"/>
    <w:lvl w:ilvl="0" w:tplc="CD8C2F18" w:tentative="1">
      <w:start w:val="1"/>
      <w:numFmt w:val="bullet"/>
      <w:lvlText w:val="●"/>
      <w:lvlJc w:val="left"/>
      <w:pPr>
        <w:ind w:left="720" w:hanging="360"/>
      </w:pPr>
    </w:lvl>
    <w:lvl w:ilvl="1" w:tplc="1E527E1A" w:tentative="1">
      <w:start w:val="1"/>
      <w:numFmt w:val="bullet"/>
      <w:lvlText w:val="○"/>
      <w:lvlJc w:val="left"/>
      <w:pPr>
        <w:ind w:left="1440" w:hanging="360"/>
      </w:pPr>
    </w:lvl>
    <w:lvl w:ilvl="2" w:tplc="47FE5A28" w:tentative="1">
      <w:start w:val="1"/>
      <w:numFmt w:val="bullet"/>
      <w:lvlText w:val="■"/>
      <w:lvlJc w:val="left"/>
      <w:pPr>
        <w:ind w:left="2160" w:hanging="360"/>
      </w:pPr>
    </w:lvl>
    <w:lvl w:ilvl="3" w:tplc="3CDC2446" w:tentative="1">
      <w:start w:val="1"/>
      <w:numFmt w:val="bullet"/>
      <w:lvlText w:val="●"/>
      <w:lvlJc w:val="left"/>
      <w:pPr>
        <w:ind w:left="2880" w:hanging="360"/>
      </w:pPr>
    </w:lvl>
    <w:lvl w:ilvl="4" w:tplc="FF4EE39C" w:tentative="1">
      <w:start w:val="1"/>
      <w:numFmt w:val="bullet"/>
      <w:lvlText w:val="○"/>
      <w:lvlJc w:val="left"/>
      <w:pPr>
        <w:ind w:left="3600" w:hanging="360"/>
      </w:pPr>
    </w:lvl>
    <w:lvl w:ilvl="5" w:tplc="73B673B4" w:tentative="1">
      <w:start w:val="1"/>
      <w:numFmt w:val="bullet"/>
      <w:lvlText w:val="■"/>
      <w:lvlJc w:val="left"/>
      <w:pPr>
        <w:ind w:left="4320" w:hanging="360"/>
      </w:pPr>
    </w:lvl>
    <w:lvl w:ilvl="6" w:tplc="42181FE8" w:tentative="1">
      <w:start w:val="1"/>
      <w:numFmt w:val="bullet"/>
      <w:lvlText w:val="●"/>
      <w:lvlJc w:val="left"/>
      <w:pPr>
        <w:ind w:left="5040" w:hanging="360"/>
      </w:pPr>
    </w:lvl>
    <w:lvl w:ilvl="7" w:tplc="6946FB7C" w:tentative="1">
      <w:start w:val="1"/>
      <w:numFmt w:val="bullet"/>
      <w:lvlText w:val="●"/>
      <w:lvlJc w:val="left"/>
      <w:pPr>
        <w:ind w:left="5760" w:hanging="360"/>
      </w:pPr>
    </w:lvl>
    <w:lvl w:ilvl="8" w:tplc="5EA2C942" w:tentative="1">
      <w:start w:val="1"/>
      <w:numFmt w:val="bullet"/>
      <w:lvlText w:val="●"/>
      <w:lvlJc w:val="left"/>
      <w:pPr>
        <w:ind w:left="6480" w:hanging="360"/>
      </w:pPr>
    </w:lvl>
  </w:abstractNum>
  <w:num w:numId="1" w16cid:durableId="138303997">
    <w:abstractNumId w:val="1"/>
    <w:lvlOverride w:ilvl="0">
      <w:startOverride w:val="1"/>
    </w:lvlOverride>
  </w:num>
  <w:num w:numId="2" w16cid:durableId="1305584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828"/>
    <w:rsid w:val="001260D1"/>
    <w:rsid w:val="00355828"/>
    <w:rsid w:val="00623CBC"/>
    <w:rsid w:val="009C713E"/>
    <w:rsid w:val="00AF30A8"/>
    <w:rsid w:val="00C660FA"/>
    <w:rsid w:val="00EE481B"/>
    <w:rsid w:val="00FA73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DCDEC7"/>
  <w15:docId w15:val="{410DA97B-5B54-454F-A1F2-48114E7E8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Link1" Type="http://schemas.openxmlformats.org/officeDocument/2006/relationships/hyperlink" Target="https://ajoly35.github.io/tuteur-ia/boussole/" TargetMode="External"/><Relationship Id="rIdLink2" Type="http://schemas.openxmlformats.org/officeDocument/2006/relationships/hyperlink" Target="https://ajoly35.github.io/tuteur-ia/tuteur/" TargetMode="External"/><Relationship Id="rIdLink3" Type="http://schemas.openxmlformats.org/officeDocument/2006/relationships/hyperlink" Target="https://ajoly35.github.io/tuteur-ia/orientation/" TargetMode="External"/><Relationship Id="rIdLink4" Type="http://schemas.openxmlformats.org/officeDocument/2006/relationships/hyperlink" Target="https://ajoly35.github.io/tuteur-ia/tuteur/?prof=histoire&amp;mode=interroger&amp;sujet=la%20guerre%20froide%20%281947-1991%29&amp;auto=1" TargetMode="External"/><Relationship Id="rIdLink5" Type="http://schemas.openxmlformats.org/officeDocument/2006/relationships/hyperlink" Target="https://ajoly35.github.io/tuteur-ia/tuteur/?prof=francais&amp;mode=binome&amp;sujet=pr%C3%A9parer%20l%27oral%20du%20brevet&amp;auto=1" TargetMode="External"/><Relationship Id="rIdLink6" Type="http://schemas.openxmlformats.org/officeDocument/2006/relationships/hyperlink" Target="https://ajoly35.github.io/tuteur-ia/orientation/?profil=%C3%A9l%C3%A8ve&amp;classe=3e&amp;lieu=Vire%2C%20Calvados&amp;interets=la%20m%C3%A9canique%20et%20le%20sport&amp;question=Voie%20pro%20ou%20seconde%20g%C3%A9n%C3%A9rale%20%3F&amp;auto=1&amp;scenario=%C3%89l%C3%A8ve%20de%203e%20%C3%A0%20Vire%2C%20h%C3%A9site%20entre%20voie%20pro%20et%20seconde%20g%C3%A9n%C3%A9rale.%20Dites%20que%20le%20conseil%20de%20classe%20vous%20pousse%20vers%20la%20voie%20pro." TargetMode="External"/><Relationship Id="rIdLink7" Type="http://schemas.openxmlformats.org/officeDocument/2006/relationships/hyperlink" Target="https://ajoly35.github.io/tuteur-ia/orientation/?profil=parent&amp;classe=4e&amp;lieu=Gu%C3%A9ret%2C%20Creuse&amp;question=On%20n%27a%20pas%20de%20r%C3%A9seau%2C%20comment%20aider%20notre%20fils%20%3F&amp;auto=1&amp;scenario=Parent%20d%27un%20%C3%A9l%C3%A8ve%20de%204e%20%C3%A0%20Gu%C3%A9ret%2C%20sans%20r%C3%A9seau." TargetMode="External"/><Relationship Id="rIdLink8" Type="http://schemas.openxmlformats.org/officeDocument/2006/relationships/hyperlink" Target="https://ajoly35.github.io/tuteur-ia/tes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3339</Words>
  <Characters>19038</Characters>
  <Application>Microsoft Office Word</Application>
  <DocSecurity>0</DocSecurity>
  <Lines>158</Lines>
  <Paragraphs>44</Paragraphs>
  <ScaleCrop>false</ScaleCrop>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ÉDUCATION : penser pratique</dc:title>
  <dc:creator>Adrien Joly</dc:creator>
  <cp:lastModifiedBy>Adrien Joly</cp:lastModifiedBy>
  <cp:revision>4</cp:revision>
  <dcterms:created xsi:type="dcterms:W3CDTF">2026-10-07T19:26:00Z</dcterms:created>
  <dcterms:modified xsi:type="dcterms:W3CDTF">2026-10-08T08:36:00Z</dcterms:modified>
</cp:coreProperties>
</file>