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Demo Guide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22, 2026</w:t>
      </w:r>
    </w:p>
    <w:p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</w:t>
      </w:r>
    </w:p>
    <w:p>
      <w:r>
        <w:rPr>
          <w:rFonts w:ascii="Calibri" w:hAnsi="Calibri"/>
          <w:b/>
          <w:i w:val="0"/>
          <w:color w:val="333333"/>
          <w:sz w:val="22"/>
        </w:rPr>
        <w:t>Platform:</w:t>
      </w:r>
      <w:r>
        <w:rPr>
          <w:rFonts w:ascii="Calibri" w:hAnsi="Calibri"/>
          <w:b w:val="0"/>
          <w:i w:val="0"/>
          <w:color w:val="333333"/>
          <w:sz w:val="22"/>
        </w:rPr>
        <w:t xml:space="preserve"> NVIDIA DGX Spark -- HCLS AI Factory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Table of Contents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[Demo Overview](#1-demo-overview)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[Starting the Agent](#2-starting-the-agent)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[Tab 1: Patient Intake](#3-tab-1-patient-intake)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[Tab 2: Differential Diagnosis](#4-tab-2-differential-diagnosis)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[Tab 3: Variant Review](#5-tab-3-variant-review)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[Tab 4: Therapeutic Options](#6-tab-4-therapeutic-options)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[Tab 5: Reports](#7-tab-5-reports)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[Sample HPO Queries](#8-sample-hpo-queries)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[ACMG Classification Demo](#9-acmg-classification-demo)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[Gene Therapy Matching Demo](#10-gene-therapy-matching-demo)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[API Demo Scenarios](#11-api-demo-scenarios)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[Demo Tips](#12-demo-tips)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1. Demo Overview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The Rare Disease Diagnostic Agent demonstrates AI-powered rare disease diagnosis across 5 interactive tabs. The demo showcases phenotype-driven differential diagnosis, ACMG variant classification, orphan drug matching, gene therapy eligibility assessment, and multi-format report generation.</w:t>
      </w:r>
    </w:p>
    <w:p/>
    <w:p>
      <w:pPr>
        <w:pStyle w:val="Heading3"/>
      </w:pPr>
      <w:r>
        <w:rPr>
          <w:rFonts w:ascii="Calibri" w:hAnsi="Calibri"/>
          <w:color w:val="1AAFCC"/>
        </w:rPr>
        <w:t>Demo Flow (Recommended)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1. Patient Intake (HPO terms + clinical notes)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2. Differential Diagnosis (ranked disease candidates)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3. Variant Review (ACMG classification of key variants)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4. Therapeutic Options (orphan drugs + gene therapies + trials)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|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5. Reports (export diagnostic summary)</w:t>
      </w:r>
    </w:p>
    <w:p/>
    <w:p>
      <w:pPr>
        <w:pStyle w:val="Heading3"/>
      </w:pPr>
      <w:r>
        <w:rPr>
          <w:rFonts w:ascii="Calibri" w:hAnsi="Calibri"/>
          <w:color w:val="1AAFCC"/>
        </w:rPr>
        <w:t>Demo Duration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Focus</w:t>
            </w:r>
          </w:p>
        </w:tc>
      </w:tr>
      <w:tr>
        <w:tc>
          <w:tcPr>
            <w:tcW w:type="dxa" w:w="3120"/>
          </w:tcPr>
          <w:p>
            <w:r>
              <w:t>Quick Demo</w:t>
            </w:r>
          </w:p>
        </w:tc>
        <w:tc>
          <w:tcPr>
            <w:tcW w:type="dxa" w:w="3120"/>
          </w:tcPr>
          <w:p>
            <w:r>
              <w:t>5 minutes</w:t>
            </w:r>
          </w:p>
        </w:tc>
        <w:tc>
          <w:tcPr>
            <w:tcW w:type="dxa" w:w="3120"/>
          </w:tcPr>
          <w:p>
            <w:r>
              <w:t>Phenotype query -&gt; differential -&gt; therapy</w:t>
            </w:r>
          </w:p>
        </w:tc>
      </w:tr>
      <w:tr>
        <w:tc>
          <w:tcPr>
            <w:tcW w:type="dxa" w:w="3120"/>
          </w:tcPr>
          <w:p>
            <w:r>
              <w:t>Standard Demo</w:t>
            </w:r>
          </w:p>
        </w:tc>
        <w:tc>
          <w:tcPr>
            <w:tcW w:type="dxa" w:w="3120"/>
          </w:tcPr>
          <w:p>
            <w:r>
              <w:t>15 minutes</w:t>
            </w:r>
          </w:p>
        </w:tc>
        <w:tc>
          <w:tcPr>
            <w:tcW w:type="dxa" w:w="3120"/>
          </w:tcPr>
          <w:p>
            <w:r>
              <w:t>All 5 tabs with 2-3 scenarios</w:t>
            </w:r>
          </w:p>
        </w:tc>
      </w:tr>
      <w:tr>
        <w:tc>
          <w:tcPr>
            <w:tcW w:type="dxa" w:w="3120"/>
          </w:tcPr>
          <w:p>
            <w:r>
              <w:t>Deep Dive</w:t>
            </w:r>
          </w:p>
        </w:tc>
        <w:tc>
          <w:tcPr>
            <w:tcW w:type="dxa" w:w="3120"/>
          </w:tcPr>
          <w:p>
            <w:r>
              <w:t>30 minutes</w:t>
            </w:r>
          </w:p>
        </w:tc>
        <w:tc>
          <w:tcPr>
            <w:tcW w:type="dxa" w:w="3120"/>
          </w:tcPr>
          <w:p>
            <w:r>
              <w:t>ACMG classification, gene therapy matching, API walkthrough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2. Starting the Agent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# Navigate to agent directory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cd /home/adam/projects/hcls-ai-factory/ai_agent_adds/rare_disease_diagnostic_agent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Option 1: Docker Compose (recommended)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docker compose up -d</w:t>
      </w:r>
    </w:p>
    <w:p>
      <w:r>
        <w:rPr>
          <w:rFonts w:ascii="Courier New" w:hAnsi="Courier New"/>
          <w:b w:val="0"/>
          <w:i w:val="0"/>
          <w:color w:val="444444"/>
          <w:sz w:val="18"/>
        </w:rPr>
      </w:r>
    </w:p>
    <w:p>
      <w:r>
        <w:rPr>
          <w:rFonts w:ascii="Courier New" w:hAnsi="Courier New"/>
          <w:b w:val="0"/>
          <w:i w:val="0"/>
          <w:color w:val="444444"/>
          <w:sz w:val="18"/>
        </w:rPr>
        <w:t># Option 2: Manual start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uvicorn api.main:app --host 0.0.0.0 --port 8134 &amp;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streamlit run app/diagnostic_ui.py --server.port 8544 &amp;</w:t>
      </w:r>
    </w:p>
    <w:p/>
    <w:p>
      <w:pPr>
        <w:pStyle w:val="Heading3"/>
      </w:pPr>
      <w:r>
        <w:rPr>
          <w:rFonts w:ascii="Calibri" w:hAnsi="Calibri"/>
          <w:color w:val="1AAFCC"/>
        </w:rPr>
        <w:t>Verify Services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20"/>
            <w:shd w:fill="1B2333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120"/>
          </w:tcPr>
          <w:p>
            <w:r>
              <w:t>API</w:t>
            </w:r>
          </w:p>
        </w:tc>
        <w:tc>
          <w:tcPr>
            <w:tcW w:type="dxa" w:w="3120"/>
          </w:tcPr>
          <w:p>
            <w:r>
              <w:t>http://localhost:8134/health</w:t>
            </w:r>
          </w:p>
        </w:tc>
        <w:tc>
          <w:tcPr>
            <w:tcW w:type="dxa" w:w="3120"/>
          </w:tcPr>
          <w:p>
            <w:r>
              <w:t>`{"status": "healthy"}`</w:t>
            </w:r>
          </w:p>
        </w:tc>
      </w:tr>
      <w:tr>
        <w:tc>
          <w:tcPr>
            <w:tcW w:type="dxa" w:w="3120"/>
          </w:tcPr>
          <w:p>
            <w:r>
              <w:t>UI</w:t>
            </w:r>
          </w:p>
        </w:tc>
        <w:tc>
          <w:tcPr>
            <w:tcW w:type="dxa" w:w="3120"/>
          </w:tcPr>
          <w:p>
            <w:r>
              <w:t>http://localhost:8544</w:t>
            </w:r>
          </w:p>
        </w:tc>
        <w:tc>
          <w:tcPr>
            <w:tcW w:type="dxa" w:w="3120"/>
          </w:tcPr>
          <w:p>
            <w:r>
              <w:t>Streamlit interface</w:t>
            </w:r>
          </w:p>
        </w:tc>
      </w:tr>
      <w:tr>
        <w:tc>
          <w:tcPr>
            <w:tcW w:type="dxa" w:w="3120"/>
          </w:tcPr>
          <w:p>
            <w:r>
              <w:t>Collections</w:t>
            </w:r>
          </w:p>
        </w:tc>
        <w:tc>
          <w:tcPr>
            <w:tcW w:type="dxa" w:w="3120"/>
          </w:tcPr>
          <w:p>
            <w:r>
              <w:t>http://localhost:8134/collections</w:t>
            </w:r>
          </w:p>
        </w:tc>
        <w:tc>
          <w:tcPr>
            <w:tcW w:type="dxa" w:w="3120"/>
          </w:tcPr>
          <w:p>
            <w:r>
              <w:t>14 collections listed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3. Tab 1: Patient Intake</w:t>
      </w:r>
    </w:p>
    <w:p/>
    <w:p>
      <w:pPr>
        <w:pStyle w:val="Heading3"/>
      </w:pPr>
      <w:r>
        <w:rPr>
          <w:rFonts w:ascii="Calibri" w:hAnsi="Calibri"/>
          <w:color w:val="1AAFCC"/>
        </w:rPr>
        <w:t>Purpose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Enter patient demographic data, HPO phenotype terms, clinical notes, family history, and optional VCF path for genomic analysis.</w:t>
      </w:r>
    </w:p>
    <w:p/>
    <w:p>
      <w:pPr>
        <w:pStyle w:val="Heading3"/>
      </w:pPr>
      <w:r>
        <w:rPr>
          <w:rFonts w:ascii="Calibri" w:hAnsi="Calibri"/>
          <w:color w:val="1AAFCC"/>
        </w:rPr>
        <w:t>Demo Steps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Open http://localhost:8544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Navigate to </w:t>
      </w:r>
      <w:r>
        <w:rPr>
          <w:rFonts w:ascii="Calibri" w:hAnsi="Calibri"/>
          <w:b/>
          <w:i w:val="0"/>
          <w:color w:val="333333"/>
          <w:sz w:val="22"/>
        </w:rPr>
        <w:t>Patient Intake</w:t>
      </w:r>
      <w:r>
        <w:rPr>
          <w:rFonts w:ascii="Calibri" w:hAnsi="Calibri"/>
          <w:b w:val="0"/>
          <w:i w:val="0"/>
          <w:color w:val="333333"/>
          <w:sz w:val="22"/>
        </w:rPr>
        <w:t xml:space="preserve"> tab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Enter HPO terms (see Sample Queries below)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Add clinical notes describing the presentation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Set urgency level and workflow type (or leave auto-detect)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Click </w:t>
      </w:r>
      <w:r>
        <w:rPr>
          <w:rFonts w:ascii="Calibri" w:hAnsi="Calibri"/>
          <w:b/>
          <w:i w:val="0"/>
          <w:color w:val="333333"/>
          <w:sz w:val="22"/>
        </w:rPr>
        <w:t>Submit for Analysis</w:t>
      </w:r>
    </w:p>
    <w:p/>
    <w:p>
      <w:pPr>
        <w:pStyle w:val="Heading3"/>
      </w:pPr>
      <w:r>
        <w:rPr>
          <w:rFonts w:ascii="Calibri" w:hAnsi="Calibri"/>
          <w:color w:val="1AAFCC"/>
        </w:rPr>
        <w:t>Demo Scenario: Suspected Marfan Syndrome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HP:0001166, HP:0001519, HP:0004382, HP:0001083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"16-year-old male, tall stature with arm span exceeding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height by 8 cm. Long, thin fingers. Slit lamp exam reveals bilateral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ectopia lentis. Echocardiogram shows aortic root dilation (42 mm,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Z-score 3.2) with mitral valve prolapse. Father has similar habitus."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16 years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Sex: Male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Family History: "Father with similar body habitus, underwent aortic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root replacement at age 38. Paternal grandmother died suddenly at 42."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4. Tab 2: Differential Diagnosis</w:t>
      </w:r>
    </w:p>
    <w:p/>
    <w:p>
      <w:pPr>
        <w:pStyle w:val="Heading3"/>
      </w:pPr>
      <w:r>
        <w:rPr>
          <w:rFonts w:ascii="Calibri" w:hAnsi="Calibri"/>
          <w:color w:val="1AAFCC"/>
        </w:rPr>
        <w:t>Purpose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View ranked disease candidates matched to the patient's phenotype profile.</w:t>
      </w:r>
    </w:p>
    <w:p/>
    <w:p>
      <w:pPr>
        <w:pStyle w:val="Heading3"/>
      </w:pPr>
      <w:r>
        <w:rPr>
          <w:rFonts w:ascii="Calibri" w:hAnsi="Calibri"/>
          <w:color w:val="1AAFCC"/>
        </w:rPr>
        <w:t>What to Highlight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Similarity scores: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Each candidate disease shows a 0-1 score reflecting phenotype match quality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Matched phenotypes: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HPO terms the patient shares with the disease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Unmatched phenotypes: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Disease features not observed in the patient (important for targeted evaluation)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Inheritance pattern:</w:t>
      </w:r>
      <w:r>
        <w:rPr>
          <w:rFonts w:ascii="Calibri" w:hAnsi="Calibri"/>
          <w:b w:val="0"/>
          <w:i w:val="0"/>
          <w:color w:val="333333"/>
          <w:sz w:val="22"/>
        </w:rPr>
        <w:t xml:space="preserve"> Autosomal dominant, recessive, X-linked, etc.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Causal genes:</w:t>
      </w:r>
      <w:r>
        <w:rPr>
          <w:rFonts w:ascii="Calibri" w:hAnsi="Calibri"/>
          <w:b w:val="0"/>
          <w:i w:val="0"/>
          <w:color w:val="333333"/>
          <w:sz w:val="22"/>
        </w:rPr>
        <w:t xml:space="preserve"> Known genes to guide confirmatory testing</w:t>
      </w:r>
    </w:p>
    <w:p/>
    <w:p>
      <w:pPr>
        <w:pStyle w:val="Heading3"/>
      </w:pPr>
      <w:r>
        <w:rPr>
          <w:rFonts w:ascii="Calibri" w:hAnsi="Calibri"/>
          <w:color w:val="1AAFCC"/>
        </w:rPr>
        <w:t>Expected Output (Marfan Scenario)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Disease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Matched HPO</w:t>
            </w:r>
          </w:p>
        </w:tc>
        <w:tc>
          <w:tcPr>
            <w:tcW w:type="dxa" w:w="1872"/>
            <w:shd w:fill="1B2333" w:val="clear"/>
          </w:tcPr>
          <w:p>
            <w:r>
              <w:rPr>
                <w:b/>
                <w:color w:val="FFFFFF"/>
              </w:rPr>
              <w:t>Inheritance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Marfan syndrome</w:t>
            </w:r>
          </w:p>
        </w:tc>
        <w:tc>
          <w:tcPr>
            <w:tcW w:type="dxa" w:w="1872"/>
          </w:tcPr>
          <w:p>
            <w:r>
              <w:t>0.92</w:t>
            </w:r>
          </w:p>
        </w:tc>
        <w:tc>
          <w:tcPr>
            <w:tcW w:type="dxa" w:w="1872"/>
          </w:tcPr>
          <w:p>
            <w:r>
              <w:t>HP:0001166, HP:0001519, HP:0004382, HP:0001083</w:t>
            </w:r>
          </w:p>
        </w:tc>
        <w:tc>
          <w:tcPr>
            <w:tcW w:type="dxa" w:w="1872"/>
          </w:tcPr>
          <w:p>
            <w:r>
              <w:t>AD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Loeys-Dietz syndrome</w:t>
            </w:r>
          </w:p>
        </w:tc>
        <w:tc>
          <w:tcPr>
            <w:tcW w:type="dxa" w:w="1872"/>
          </w:tcPr>
          <w:p>
            <w:r>
              <w:t>0.71</w:t>
            </w:r>
          </w:p>
        </w:tc>
        <w:tc>
          <w:tcPr>
            <w:tcW w:type="dxa" w:w="1872"/>
          </w:tcPr>
          <w:p>
            <w:r>
              <w:t>HP:0001166, HP:0004382</w:t>
            </w:r>
          </w:p>
        </w:tc>
        <w:tc>
          <w:tcPr>
            <w:tcW w:type="dxa" w:w="1872"/>
          </w:tcPr>
          <w:p>
            <w:r>
              <w:t>AD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Homocystinuria</w:t>
            </w:r>
          </w:p>
        </w:tc>
        <w:tc>
          <w:tcPr>
            <w:tcW w:type="dxa" w:w="1872"/>
          </w:tcPr>
          <w:p>
            <w:r>
              <w:t>0.58</w:t>
            </w:r>
          </w:p>
        </w:tc>
        <w:tc>
          <w:tcPr>
            <w:tcW w:type="dxa" w:w="1872"/>
          </w:tcPr>
          <w:p>
            <w:r>
              <w:t>HP:0001166, HP:0001519, HP:0001083</w:t>
            </w:r>
          </w:p>
        </w:tc>
        <w:tc>
          <w:tcPr>
            <w:tcW w:type="dxa" w:w="1872"/>
          </w:tcPr>
          <w:p>
            <w:r>
              <w:t>AR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Ehlers-Danlos (vascular)</w:t>
            </w:r>
          </w:p>
        </w:tc>
        <w:tc>
          <w:tcPr>
            <w:tcW w:type="dxa" w:w="1872"/>
          </w:tcPr>
          <w:p>
            <w:r>
              <w:t>0.45</w:t>
            </w:r>
          </w:p>
        </w:tc>
        <w:tc>
          <w:tcPr>
            <w:tcW w:type="dxa" w:w="1872"/>
          </w:tcPr>
          <w:p>
            <w:r>
              <w:t>HP:0001166</w:t>
            </w:r>
          </w:p>
        </w:tc>
        <w:tc>
          <w:tcPr>
            <w:tcW w:type="dxa" w:w="1872"/>
          </w:tcPr>
          <w:p>
            <w:r>
              <w:t>AD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5. Tab 3: Variant Review</w:t>
      </w:r>
    </w:p>
    <w:p/>
    <w:p>
      <w:pPr>
        <w:pStyle w:val="Heading3"/>
      </w:pPr>
      <w:r>
        <w:rPr>
          <w:rFonts w:ascii="Calibri" w:hAnsi="Calibri"/>
          <w:color w:val="1AAFCC"/>
        </w:rPr>
        <w:t>Purpose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Classify genetic variants using ACMG/AMP criteria.</w:t>
      </w:r>
    </w:p>
    <w:p/>
    <w:p>
      <w:pPr>
        <w:pStyle w:val="Heading3"/>
      </w:pPr>
      <w:r>
        <w:rPr>
          <w:rFonts w:ascii="Calibri" w:hAnsi="Calibri"/>
          <w:color w:val="1AAFCC"/>
        </w:rPr>
        <w:t>Demo Steps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Navigate to </w:t>
      </w:r>
      <w:r>
        <w:rPr>
          <w:rFonts w:ascii="Calibri" w:hAnsi="Calibri"/>
          <w:b/>
          <w:i w:val="0"/>
          <w:color w:val="333333"/>
          <w:sz w:val="22"/>
        </w:rPr>
        <w:t>Variant Review</w:t>
      </w:r>
      <w:r>
        <w:rPr>
          <w:rFonts w:ascii="Calibri" w:hAnsi="Calibri"/>
          <w:b w:val="0"/>
          <w:i w:val="0"/>
          <w:color w:val="333333"/>
          <w:sz w:val="22"/>
        </w:rPr>
        <w:t xml:space="preserve"> tab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Enter variant details: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Gene: FBN1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Variant type: missense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Population frequency: 0.00001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De novo: Yes (confirmed)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ClinVar: pathogenic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Computational prediction: damaging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Click </w:t>
      </w:r>
      <w:r>
        <w:rPr>
          <w:rFonts w:ascii="Calibri" w:hAnsi="Calibri"/>
          <w:b/>
          <w:i w:val="0"/>
          <w:color w:val="333333"/>
          <w:sz w:val="22"/>
        </w:rPr>
        <w:t>Classify Variant</w:t>
      </w:r>
    </w:p>
    <w:p/>
    <w:p>
      <w:pPr>
        <w:pStyle w:val="Heading3"/>
      </w:pPr>
      <w:r>
        <w:rPr>
          <w:rFonts w:ascii="Calibri" w:hAnsi="Calibri"/>
          <w:color w:val="1AAFCC"/>
        </w:rPr>
        <w:t>Expected Output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Classification: PATHOGENIC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Criteria Met: PS1, PS2, PM2, PP3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Score: Path=11, Benign=0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Evidence Summary: "PS1: Same amino acid change as established pathogenic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(score=4). PS2: De novo confirmed (score=4). PM2: Absent from controls,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freq 0.00001 &lt; 0.0001 (score=2). PP3: Computational evidence supports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deleterious (score=1). Total pathogenic score: 11. Classification: pathogenic."</w:t>
      </w:r>
    </w:p>
    <w:p/>
    <w:p>
      <w:pPr>
        <w:pStyle w:val="Heading3"/>
      </w:pPr>
      <w:r>
        <w:rPr>
          <w:rFonts w:ascii="Calibri" w:hAnsi="Calibri"/>
          <w:color w:val="1AAFCC"/>
        </w:rPr>
        <w:t>Additional Variant Scenarios</w:t>
      </w:r>
    </w:p>
    <w:p/>
    <w:p>
      <w:r>
        <w:rPr>
          <w:rFonts w:ascii="Calibri" w:hAnsi="Calibri"/>
          <w:b/>
          <w:i w:val="0"/>
          <w:color w:val="333333"/>
          <w:sz w:val="22"/>
        </w:rPr>
        <w:t>Benign variant (BA1):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Gene: Any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Population frequency: 0.08 (8%)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Result: BENIGN (BA1 standalone)</w:t>
      </w:r>
    </w:p>
    <w:p/>
    <w:p>
      <w:r>
        <w:rPr>
          <w:rFonts w:ascii="Calibri" w:hAnsi="Calibri"/>
          <w:b/>
          <w:i w:val="0"/>
          <w:color w:val="333333"/>
          <w:sz w:val="22"/>
        </w:rPr>
        <w:t>VUS: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Gene: FBN1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Variant type: missense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Population frequency: 0.001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Computational: "tolerated"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Result: VUS (conflicting evidence)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6. Tab 4: Therapeutic Options</w:t>
      </w:r>
    </w:p>
    <w:p/>
    <w:p>
      <w:pPr>
        <w:pStyle w:val="Heading3"/>
      </w:pPr>
      <w:r>
        <w:rPr>
          <w:rFonts w:ascii="Calibri" w:hAnsi="Calibri"/>
          <w:color w:val="1AAFCC"/>
        </w:rPr>
        <w:t>Purpose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Match the patient's diagnosis and genotype to available therapies, gene therapies, and clinical trials.</w:t>
      </w:r>
    </w:p>
    <w:p/>
    <w:p>
      <w:pPr>
        <w:pStyle w:val="Heading3"/>
      </w:pPr>
      <w:r>
        <w:rPr>
          <w:rFonts w:ascii="Calibri" w:hAnsi="Calibri"/>
          <w:color w:val="1AAFCC"/>
        </w:rPr>
        <w:t>Demo Steps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Navigate to </w:t>
      </w:r>
      <w:r>
        <w:rPr>
          <w:rFonts w:ascii="Calibri" w:hAnsi="Calibri"/>
          <w:b/>
          <w:i w:val="0"/>
          <w:color w:val="333333"/>
          <w:sz w:val="22"/>
        </w:rPr>
        <w:t>Therapeutic Options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tab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Enter disease: "Spinal Muscular Atrophy"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Enter genotype (optional): "SMN1 deletion, 2 SMN2 copies"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Click </w:t>
      </w:r>
      <w:r>
        <w:rPr>
          <w:rFonts w:ascii="Calibri" w:hAnsi="Calibri"/>
          <w:b/>
          <w:i w:val="0"/>
          <w:color w:val="333333"/>
          <w:sz w:val="22"/>
        </w:rPr>
        <w:t>Search Therapies</w:t>
      </w:r>
    </w:p>
    <w:p/>
    <w:p>
      <w:pPr>
        <w:pStyle w:val="Heading3"/>
      </w:pPr>
      <w:r>
        <w:rPr>
          <w:rFonts w:ascii="Calibri" w:hAnsi="Calibri"/>
          <w:color w:val="1AAFCC"/>
        </w:rPr>
        <w:t>Expected Output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Therapy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340"/>
            <w:shd w:fill="1B2333" w:val="clear"/>
          </w:tcPr>
          <w:p>
            <w:r>
              <w:rPr>
                <w:b/>
                <w:color w:val="FFFFFF"/>
              </w:rPr>
              <w:t>Gene</w:t>
            </w:r>
          </w:p>
        </w:tc>
      </w:tr>
      <w:tr>
        <w:tc>
          <w:tcPr>
            <w:tcW w:type="dxa" w:w="2340"/>
          </w:tcPr>
          <w:p>
            <w:r>
              <w:t>Nusinersen (Spinraza)</w:t>
            </w:r>
          </w:p>
        </w:tc>
        <w:tc>
          <w:tcPr>
            <w:tcW w:type="dxa" w:w="2340"/>
          </w:tcPr>
          <w:p>
            <w:r>
              <w:t>FDA Approved</w:t>
            </w:r>
          </w:p>
        </w:tc>
        <w:tc>
          <w:tcPr>
            <w:tcW w:type="dxa" w:w="2340"/>
          </w:tcPr>
          <w:p>
            <w:r>
              <w:t>SMN2 splicing modifier</w:t>
            </w:r>
          </w:p>
        </w:tc>
        <w:tc>
          <w:tcPr>
            <w:tcW w:type="dxa" w:w="2340"/>
          </w:tcPr>
          <w:p>
            <w:r>
              <w:t>SMN1</w:t>
            </w:r>
          </w:p>
        </w:tc>
      </w:tr>
      <w:tr>
        <w:tc>
          <w:tcPr>
            <w:tcW w:type="dxa" w:w="2340"/>
          </w:tcPr>
          <w:p>
            <w:r>
              <w:t>Risdiplam (Evrysdi)</w:t>
            </w:r>
          </w:p>
        </w:tc>
        <w:tc>
          <w:tcPr>
            <w:tcW w:type="dxa" w:w="2340"/>
          </w:tcPr>
          <w:p>
            <w:r>
              <w:t>FDA Approved</w:t>
            </w:r>
          </w:p>
        </w:tc>
        <w:tc>
          <w:tcPr>
            <w:tcW w:type="dxa" w:w="2340"/>
          </w:tcPr>
          <w:p>
            <w:r>
              <w:t>SMN2 splicing modifier</w:t>
            </w:r>
          </w:p>
        </w:tc>
        <w:tc>
          <w:tcPr>
            <w:tcW w:type="dxa" w:w="2340"/>
          </w:tcPr>
          <w:p>
            <w:r>
              <w:t>SMN1</w:t>
            </w:r>
          </w:p>
        </w:tc>
      </w:tr>
      <w:tr>
        <w:tc>
          <w:tcPr>
            <w:tcW w:type="dxa" w:w="2340"/>
          </w:tcPr>
          <w:p>
            <w:r>
              <w:t>Zolgensma (onasemnogene)</w:t>
            </w:r>
          </w:p>
        </w:tc>
        <w:tc>
          <w:tcPr>
            <w:tcW w:type="dxa" w:w="2340"/>
          </w:tcPr>
          <w:p>
            <w:r>
              <w:t>FDA Approved</w:t>
            </w:r>
          </w:p>
        </w:tc>
        <w:tc>
          <w:tcPr>
            <w:tcW w:type="dxa" w:w="2340"/>
          </w:tcPr>
          <w:p>
            <w:r>
              <w:t>AAV9 gene replacement</w:t>
            </w:r>
          </w:p>
        </w:tc>
        <w:tc>
          <w:tcPr>
            <w:tcW w:type="dxa" w:w="2340"/>
          </w:tcPr>
          <w:p>
            <w:r>
              <w:t>SMN1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AAFCC"/>
        </w:rPr>
        <w:t>Gene Therapy Highlight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Point out that Zolgensma is a one-time gene therapy that delivers a functional copy of SMN1 via AAV9 vector. Eligibility typically requires age &lt; 2 years and confirmed biallelic SMN1 mutations.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7. Tab 5: Reports</w:t>
      </w:r>
    </w:p>
    <w:p/>
    <w:p>
      <w:pPr>
        <w:pStyle w:val="Heading3"/>
      </w:pPr>
      <w:r>
        <w:rPr>
          <w:rFonts w:ascii="Calibri" w:hAnsi="Calibri"/>
          <w:color w:val="1AAFCC"/>
        </w:rPr>
        <w:t>Purpose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Export diagnostic findings as structured reports.</w:t>
      </w:r>
    </w:p>
    <w:p/>
    <w:p>
      <w:pPr>
        <w:pStyle w:val="Heading3"/>
      </w:pPr>
      <w:r>
        <w:rPr>
          <w:rFonts w:ascii="Calibri" w:hAnsi="Calibri"/>
          <w:color w:val="1AAFCC"/>
        </w:rPr>
        <w:t>Demo Steps</w:t>
      </w:r>
    </w:p>
    <w:p/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Navigate to </w:t>
      </w:r>
      <w:r>
        <w:rPr>
          <w:rFonts w:ascii="Calibri" w:hAnsi="Calibri"/>
          <w:b/>
          <w:i w:val="0"/>
          <w:color w:val="333333"/>
          <w:sz w:val="22"/>
        </w:rPr>
        <w:t>Reports</w:t>
      </w:r>
      <w:r>
        <w:rPr>
          <w:rFonts w:ascii="Calibri" w:hAnsi="Calibri"/>
          <w:b w:val="0"/>
          <w:i w:val="0"/>
          <w:color w:val="333333"/>
          <w:sz w:val="22"/>
        </w:rPr>
        <w:t xml:space="preserve"> tab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Select format: Markdown, JSON, or PDF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 xml:space="preserve">Click </w:t>
      </w:r>
      <w:r>
        <w:rPr>
          <w:rFonts w:ascii="Calibri" w:hAnsi="Calibri"/>
          <w:b/>
          <w:i w:val="0"/>
          <w:color w:val="333333"/>
          <w:sz w:val="22"/>
        </w:rPr>
        <w:t>Generate Report</w:t>
      </w:r>
    </w:p>
    <w:p>
      <w:pPr>
        <w:pStyle w:val="ListNumber"/>
      </w:pPr>
      <w:r>
        <w:rPr>
          <w:rFonts w:ascii="Calibri" w:hAnsi="Calibri"/>
          <w:b w:val="0"/>
          <w:i w:val="0"/>
          <w:color w:val="333333"/>
          <w:sz w:val="22"/>
        </w:rPr>
        <w:t>Download the generated file</w:t>
      </w:r>
    </w:p>
    <w:p/>
    <w:p>
      <w:pPr>
        <w:pStyle w:val="Heading3"/>
      </w:pPr>
      <w:r>
        <w:rPr>
          <w:rFonts w:ascii="Calibri" w:hAnsi="Calibri"/>
          <w:color w:val="1AAFCC"/>
        </w:rPr>
        <w:t>Report Contents</w:t>
      </w:r>
    </w:p>
    <w:p/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Patient summary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HPO terms with IC scores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Ranked differential diagnosis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Variant classifications (if available)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Therapeutic options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Recommended next steps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>Guideline references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8. Sample HPO Queries</w:t>
      </w:r>
    </w:p>
    <w:p/>
    <w:p>
      <w:pPr>
        <w:pStyle w:val="Heading3"/>
      </w:pPr>
      <w:r>
        <w:rPr>
          <w:rFonts w:ascii="Calibri" w:hAnsi="Calibri"/>
          <w:color w:val="1AAFCC"/>
        </w:rPr>
        <w:t>Scenario 1: Dravet Syndrome (Neurogenetic)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HP:0001250, HP:0001263, HP:0001249, HP:0001252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"8-month-old female with first prolonged febrile seizure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lasting 45 minutes. Previously healthy. Subsequent afebrile seizures at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10 and 12 months. Developmental plateau noted at 14 months."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14 months</w:t>
      </w:r>
    </w:p>
    <w:p/>
    <w:p>
      <w:r>
        <w:rPr>
          <w:rFonts w:ascii="Calibri" w:hAnsi="Calibri"/>
          <w:b/>
          <w:i w:val="0"/>
          <w:color w:val="333333"/>
          <w:sz w:val="22"/>
        </w:rPr>
        <w:t>Expected top candidate: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Dravet Syndrome (SCN1A)</w:t>
      </w:r>
    </w:p>
    <w:p/>
    <w:p>
      <w:pPr>
        <w:pStyle w:val="Heading3"/>
      </w:pPr>
      <w:r>
        <w:rPr>
          <w:rFonts w:ascii="Calibri" w:hAnsi="Calibri"/>
          <w:color w:val="1AAFCC"/>
        </w:rPr>
        <w:t>Scenario 2: Cystic Fibrosis (Metabolic)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HP:0002205, HP:0002110, HP:0001508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"3-year-old male with recurrent pneumonias, chronic cough,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and failure to thrive. Positive newborn screening for IRT. Sweat chloride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72 mmol/L (elevated). Sputum culture positive for Pseudomonas aeruginosa."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3 years</w:t>
      </w:r>
    </w:p>
    <w:p/>
    <w:p>
      <w:r>
        <w:rPr>
          <w:rFonts w:ascii="Calibri" w:hAnsi="Calibri"/>
          <w:b/>
          <w:i w:val="0"/>
          <w:color w:val="333333"/>
          <w:sz w:val="22"/>
        </w:rPr>
        <w:t>Expected top candidate: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Cystic Fibrosis (CFTR)</w:t>
      </w:r>
    </w:p>
    <w:p/>
    <w:p>
      <w:pPr>
        <w:pStyle w:val="Heading3"/>
      </w:pPr>
      <w:r>
        <w:rPr>
          <w:rFonts w:ascii="Calibri" w:hAnsi="Calibri"/>
          <w:color w:val="1AAFCC"/>
        </w:rPr>
        <w:t>Scenario 3: Gaucher Disease (Hematologic/Metabolic)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HP:0001744, HP:0002240, HP:0001882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"12-year-old Ashkenazi Jewish female with progressive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splenomegaly and hepatomegaly. Pancytopenia on CBC. Bone pain in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bilateral femurs. No neurological symptoms."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12 years</w:t>
      </w:r>
    </w:p>
    <w:p/>
    <w:p>
      <w:r>
        <w:rPr>
          <w:rFonts w:ascii="Calibri" w:hAnsi="Calibri"/>
          <w:b/>
          <w:i w:val="0"/>
          <w:color w:val="333333"/>
          <w:sz w:val="22"/>
        </w:rPr>
        <w:t>Expected top candidate: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Gaucher Disease Type 1 (GBA1)</w:t>
      </w:r>
    </w:p>
    <w:p/>
    <w:p>
      <w:pPr>
        <w:pStyle w:val="Heading3"/>
      </w:pPr>
      <w:r>
        <w:rPr>
          <w:rFonts w:ascii="Calibri" w:hAnsi="Calibri"/>
          <w:color w:val="1AAFCC"/>
        </w:rPr>
        <w:t>Scenario 4: Ehlers-Danlos Syndrome (Connective Tissue)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HP:0001382, HP:0000974, HP:0001252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"25-year-old female with lifelong joint hypermobility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(Beighton score 8/9), hyperextensible skin, easy bruising. Multiple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joint dislocations. Chronic pain syndrome."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25 years</w:t>
      </w:r>
    </w:p>
    <w:p/>
    <w:p>
      <w:r>
        <w:rPr>
          <w:rFonts w:ascii="Calibri" w:hAnsi="Calibri"/>
          <w:b/>
          <w:i w:val="0"/>
          <w:color w:val="333333"/>
          <w:sz w:val="22"/>
        </w:rPr>
        <w:t>Expected top candidate: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Ehlers-Danlos Syndrome, Classical (COL5A1)</w:t>
      </w:r>
    </w:p>
    <w:p/>
    <w:p>
      <w:pPr>
        <w:pStyle w:val="Heading3"/>
      </w:pPr>
      <w:r>
        <w:rPr>
          <w:rFonts w:ascii="Calibri" w:hAnsi="Calibri"/>
          <w:color w:val="1AAFCC"/>
        </w:rPr>
        <w:t>Scenario 5: Long QT Syndrome (Cardiac)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HPO Terms: HP:0001657, HP:0004756, HP:0001279, HP:0001695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Clinical Notes: "14-year-old male with syncope during swimming. Family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history: mother with prolonged QT on ECG, maternal uncle died suddenly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at age 22. Patient ECG shows QTc 520 ms."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Age: 14 years</w:t>
      </w:r>
    </w:p>
    <w:p/>
    <w:p>
      <w:r>
        <w:rPr>
          <w:rFonts w:ascii="Calibri" w:hAnsi="Calibri"/>
          <w:b/>
          <w:i w:val="0"/>
          <w:color w:val="333333"/>
          <w:sz w:val="22"/>
        </w:rPr>
        <w:t>Expected top candidate: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Long QT Syndrome Type 1 (KCNQ1)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9. ACMG Classification Demo</w:t>
      </w:r>
    </w:p>
    <w:p/>
    <w:p>
      <w:pPr>
        <w:pStyle w:val="Heading3"/>
      </w:pPr>
      <w:r>
        <w:rPr>
          <w:rFonts w:ascii="Calibri" w:hAnsi="Calibri"/>
          <w:color w:val="1AAFCC"/>
        </w:rPr>
        <w:t>Full ACMG Walkthrough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Demonstrate the variant classification pipeline with a classic pathogenic variant: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{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"gene": "SCN1A",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"variant_type": "nonsense",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"population_frequency": 0.0,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"is_de_novo": true,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"de_novo_confirmed": true,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"computational_prediction": "damaging",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"in_clinvar": true,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"clinvar_classification": "pathogenic",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"phenotype_specific": true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}</w:t>
      </w:r>
    </w:p>
    <w:p/>
    <w:p>
      <w:r>
        <w:rPr>
          <w:rFonts w:ascii="Calibri" w:hAnsi="Calibri"/>
          <w:b/>
          <w:i w:val="0"/>
          <w:color w:val="333333"/>
          <w:sz w:val="22"/>
        </w:rPr>
        <w:t>Walk through each criterion: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PVS1 (+8):</w:t>
      </w:r>
      <w:r>
        <w:rPr>
          <w:rFonts w:ascii="Calibri" w:hAnsi="Calibri"/>
          <w:b w:val="0"/>
          <w:i w:val="0"/>
          <w:color w:val="333333"/>
          <w:sz w:val="22"/>
        </w:rPr>
        <w:t xml:space="preserve"> Null variant (nonsense) in SCN1A, which is LOF-intolerant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PS1 (+4):</w:t>
      </w:r>
      <w:r>
        <w:rPr>
          <w:rFonts w:ascii="Calibri" w:hAnsi="Calibri"/>
          <w:b w:val="0"/>
          <w:i w:val="0"/>
          <w:color w:val="333333"/>
          <w:sz w:val="22"/>
        </w:rPr>
        <w:t xml:space="preserve"> ClinVar reports this variant as pathogenic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PS2 (+4):</w:t>
      </w:r>
      <w:r>
        <w:rPr>
          <w:rFonts w:ascii="Calibri" w:hAnsi="Calibri"/>
          <w:b w:val="0"/>
          <w:i w:val="0"/>
          <w:color w:val="333333"/>
          <w:sz w:val="22"/>
        </w:rPr>
        <w:t xml:space="preserve"> De novo, confirmed with parental testing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PM2 (+2):</w:t>
      </w:r>
      <w:r>
        <w:rPr>
          <w:rFonts w:ascii="Calibri" w:hAnsi="Calibri"/>
          <w:b w:val="0"/>
          <w:i w:val="0"/>
          <w:color w:val="333333"/>
          <w:sz w:val="22"/>
        </w:rPr>
        <w:t xml:space="preserve"> Absent from population databases (freq = 0)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PP3 (+1):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Computational tools predict damaging</w:t>
      </w:r>
    </w:p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PP4 (+1):</w:t>
      </w:r>
      <w:r>
        <w:rPr>
          <w:rFonts w:ascii="Calibri" w:hAnsi="Calibri"/>
          <w:b w:val="0"/>
          <w:i w:val="0"/>
          <w:color w:val="333333"/>
          <w:sz w:val="22"/>
        </w:rPr>
        <w:t xml:space="preserve"> Phenotype (Dravet syndrome) is highly specific for SCN1A</w:t>
      </w:r>
    </w:p>
    <w:p/>
    <w:p>
      <w:r>
        <w:rPr>
          <w:rFonts w:ascii="Calibri" w:hAnsi="Calibri"/>
          <w:b/>
          <w:i w:val="0"/>
          <w:color w:val="333333"/>
          <w:sz w:val="22"/>
        </w:rPr>
        <w:t>Total: 20 points -&gt; PATHOGENIC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10. Gene Therapy Matching Demo</w:t>
      </w:r>
    </w:p>
    <w:p/>
    <w:p>
      <w:pPr>
        <w:pStyle w:val="Heading3"/>
      </w:pPr>
      <w:r>
        <w:rPr>
          <w:rFonts w:ascii="Calibri" w:hAnsi="Calibri"/>
          <w:color w:val="1AAFCC"/>
        </w:rPr>
        <w:t>Showcase Available Gene Therapies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Demonstrate therapy matching for multiple diseases:</w:t>
      </w:r>
    </w:p>
    <w:p/>
    <w:p>
      <w:r>
        <w:rPr>
          <w:rFonts w:ascii="Calibri" w:hAnsi="Calibri"/>
          <w:b/>
          <w:i w:val="0"/>
          <w:color w:val="333333"/>
          <w:sz w:val="22"/>
        </w:rPr>
        <w:t>SMA: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Disease: Spinal Muscular Atrophy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-&gt; Zolgensma (gene replacement), Spinraza (splicing modifier), Evrysdi (splicing modifier)</w:t>
      </w:r>
    </w:p>
    <w:p/>
    <w:p>
      <w:r>
        <w:rPr>
          <w:rFonts w:ascii="Calibri" w:hAnsi="Calibri"/>
          <w:b/>
          <w:i w:val="0"/>
          <w:color w:val="333333"/>
          <w:sz w:val="22"/>
        </w:rPr>
        <w:t>Sickle Cell Disease: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Disease: Sickle Cell Disease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-&gt; Casgevy (CRISPR editing), Lyfgenia (lentiviral gene addition)</w:t>
      </w:r>
    </w:p>
    <w:p/>
    <w:p>
      <w:r>
        <w:rPr>
          <w:rFonts w:ascii="Calibri" w:hAnsi="Calibri"/>
          <w:b/>
          <w:i w:val="0"/>
          <w:color w:val="333333"/>
          <w:sz w:val="22"/>
        </w:rPr>
        <w:t>Hemophilia B: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Disease: Hemophilia B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-&gt; Hemgenix (AAV5 gene replacement for Factor IX)</w:t>
      </w:r>
    </w:p>
    <w:p/>
    <w:p>
      <w:r>
        <w:rPr>
          <w:rFonts w:ascii="Calibri" w:hAnsi="Calibri"/>
          <w:b/>
          <w:i w:val="0"/>
          <w:color w:val="333333"/>
          <w:sz w:val="22"/>
        </w:rPr>
        <w:t>Highlight genotype-specific matching: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Disease: Cystic Fibrosis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Genotype: F508del homozygous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-&gt; Trikafta (eligible: at least one F508del allele)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>-&gt; Orkambi (eligible: F508del homozygous specific)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11. API Demo Scenarios</w:t>
      </w:r>
    </w:p>
    <w:p/>
    <w:p>
      <w:pPr>
        <w:pStyle w:val="Heading3"/>
      </w:pPr>
      <w:r>
        <w:rPr>
          <w:rFonts w:ascii="Calibri" w:hAnsi="Calibri"/>
          <w:color w:val="1AAFCC"/>
        </w:rPr>
        <w:t>11.1 Health Check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http://localhost:8134/health | python -m json.tool</w:t>
      </w:r>
    </w:p>
    <w:p/>
    <w:p>
      <w:pPr>
        <w:pStyle w:val="Heading3"/>
      </w:pPr>
      <w:r>
        <w:rPr>
          <w:rFonts w:ascii="Calibri" w:hAnsi="Calibri"/>
          <w:color w:val="1AAFCC"/>
        </w:rPr>
        <w:t>11.2 Knowledge Version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http://localhost:8134/v1/diagnostic/knowledge-version | python -m json.tool</w:t>
      </w:r>
    </w:p>
    <w:p/>
    <w:p>
      <w:pPr>
        <w:pStyle w:val="Heading3"/>
      </w:pPr>
      <w:r>
        <w:rPr>
          <w:rFonts w:ascii="Calibri" w:hAnsi="Calibri"/>
          <w:color w:val="1AAFCC"/>
        </w:rPr>
        <w:t>11.3 Disease Categories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http://localhost:8134/v1/diagnostic/disease-categories | python -m json.tool</w:t>
      </w:r>
    </w:p>
    <w:p/>
    <w:p>
      <w:pPr>
        <w:pStyle w:val="Heading3"/>
      </w:pPr>
      <w:r>
        <w:rPr>
          <w:rFonts w:ascii="Calibri" w:hAnsi="Calibri"/>
          <w:color w:val="1AAFCC"/>
        </w:rPr>
        <w:t>11.4 Gene Therapies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http://localhost:8134/v1/diagnostic/gene-therapies | python -m json.tool</w:t>
      </w:r>
    </w:p>
    <w:p/>
    <w:p>
      <w:pPr>
        <w:pStyle w:val="Heading3"/>
      </w:pPr>
      <w:r>
        <w:rPr>
          <w:rFonts w:ascii="Calibri" w:hAnsi="Calibri"/>
          <w:color w:val="1AAFCC"/>
        </w:rPr>
        <w:t>11.5 Diagnostic Query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-X POST http://localhost:8134/v1/diagnostic/diagnose \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-H "Content-Type: application/json" \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-d '{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"hpo_terms": ["HP:0001250", "HP:0001263", "HP:0001249"],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"clinical_notes": "Infant with seizures and developmental delay",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"age": "8 months",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"top_k": 5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}' | python -m json.tool</w:t>
      </w:r>
    </w:p>
    <w:p/>
    <w:p>
      <w:pPr>
        <w:pStyle w:val="Heading3"/>
      </w:pPr>
      <w:r>
        <w:rPr>
          <w:rFonts w:ascii="Calibri" w:hAnsi="Calibri"/>
          <w:color w:val="1AAFCC"/>
        </w:rPr>
        <w:t>11.6 ACMG Classification</w:t>
      </w:r>
    </w:p>
    <w:p/>
    <w:p>
      <w:r>
        <w:rPr>
          <w:rFonts w:ascii="Courier New" w:hAnsi="Courier New"/>
          <w:b w:val="0"/>
          <w:i w:val="0"/>
          <w:color w:val="444444"/>
          <w:sz w:val="18"/>
        </w:rPr>
        <w:t>curl -X POST http://localhost:8134/v1/diagnostic/variants/interpret \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-H "Content-Type: application/json" \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-d '{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"variants": [{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"gene": "FBN1",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"variant_type": "missense",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"population_frequency": 0.00001,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"is_de_novo": true,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"de_novo_confirmed": true,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  "computational_prediction": "damaging"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  }]</w:t>
      </w:r>
    </w:p>
    <w:p>
      <w:r>
        <w:rPr>
          <w:rFonts w:ascii="Courier New" w:hAnsi="Courier New"/>
          <w:b w:val="0"/>
          <w:i w:val="0"/>
          <w:color w:val="444444"/>
          <w:sz w:val="18"/>
        </w:rPr>
        <w:t xml:space="preserve">  }' | python -m json.tool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12. Demo Tips</w:t>
      </w:r>
    </w:p>
    <w:p/>
    <w:p>
      <w:pPr>
        <w:pStyle w:val="Heading3"/>
      </w:pPr>
      <w:r>
        <w:rPr>
          <w:rFonts w:ascii="Calibri" w:hAnsi="Calibri"/>
          <w:color w:val="1AAFCC"/>
        </w:rPr>
        <w:t>Talking Points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The diagnostic odyssey:</w:t>
      </w:r>
      <w:r>
        <w:rPr>
          <w:rFonts w:ascii="Calibri" w:hAnsi="Calibri"/>
          <w:b w:val="0"/>
          <w:i w:val="0"/>
          <w:color w:val="333333"/>
          <w:sz w:val="22"/>
        </w:rPr>
        <w:t xml:space="preserve"> "Rare disease patients wait an average of 5-7 years for diagnosis. This agent compresses that timeline by integrating phenotype matching, variant classification, and therapy identification into a single platform."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HPO-based matching: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"Each phenotype is weighted by its Information Content -- rare, specific findings like ectopia lentis carry more diagnostic weight than common ones like seizures."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ACMG rigor: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"Variant classification follows the same ACMG/AMP framework used by clinical labs, with 28 criteria systematically evaluated and scored."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Gene therapy revolution: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"12 gene therapies are now approved for rare diseases. The agent matches patients to eligible therapies based on disease, genotype, and access pathway."</w:t>
      </w:r>
    </w:p>
    <w:p/>
    <w:p>
      <w:pPr>
        <w:pStyle w:val="ListNumber"/>
      </w:pPr>
      <w:r>
        <w:rPr>
          <w:rFonts w:ascii="Calibri" w:hAnsi="Calibri"/>
          <w:b/>
          <w:i w:val="0"/>
          <w:color w:val="333333"/>
          <w:sz w:val="22"/>
        </w:rPr>
        <w:t>Platform integration: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"The agent connects to the broader HCLS AI Factory -- cardiology, pharmacogenomics, and clinical trial agents can be consulted automatically."</w:t>
      </w:r>
    </w:p>
    <w:p/>
    <w:p>
      <w:pPr>
        <w:pStyle w:val="Heading3"/>
      </w:pPr>
      <w:r>
        <w:rPr>
          <w:rFonts w:ascii="Calibri" w:hAnsi="Calibri"/>
          <w:color w:val="1AAFCC"/>
        </w:rPr>
        <w:t>Common Questions</w:t>
      </w:r>
    </w:p>
    <w:p/>
    <w:p>
      <w:r>
        <w:rPr>
          <w:rFonts w:ascii="Calibri" w:hAnsi="Calibri"/>
          <w:b/>
          <w:i w:val="0"/>
          <w:color w:val="333333"/>
          <w:sz w:val="22"/>
        </w:rPr>
        <w:t>Q: Is this for clinical use?</w:t>
      </w:r>
    </w:p>
    <w:p>
      <w:r>
        <w:rPr>
          <w:rFonts w:ascii="Calibri" w:hAnsi="Calibri"/>
          <w:b w:val="0"/>
          <w:i w:val="0"/>
          <w:color w:val="333333"/>
          <w:sz w:val="22"/>
        </w:rPr>
        <w:t>A: This is a research and demonstration platform. Clinical use would require HIPAA compliance, regulatory validation, and integration with clinical workflows. The underlying algorithms (ACMG, HPO matching) follow published clinical standards.</w:t>
      </w:r>
    </w:p>
    <w:p/>
    <w:p>
      <w:r>
        <w:rPr>
          <w:rFonts w:ascii="Calibri" w:hAnsi="Calibri"/>
          <w:b/>
          <w:i w:val="0"/>
          <w:color w:val="333333"/>
          <w:sz w:val="22"/>
        </w:rPr>
        <w:t>Q: How current is the knowledge base?</w:t>
      </w:r>
    </w:p>
    <w:p>
      <w:r>
        <w:rPr>
          <w:rFonts w:ascii="Calibri" w:hAnsi="Calibri"/>
          <w:b w:val="0"/>
          <w:i w:val="0"/>
          <w:color w:val="333333"/>
          <w:sz w:val="22"/>
        </w:rPr>
        <w:t>A: The knowledge base version is 1.0.0 (March 2026). The RAG architecture allows incremental updates by adding records to vector collections without retraining.</w:t>
      </w:r>
    </w:p>
    <w:p/>
    <w:p>
      <w:r>
        <w:rPr>
          <w:rFonts w:ascii="Calibri" w:hAnsi="Calibri"/>
          <w:b/>
          <w:i w:val="0"/>
          <w:color w:val="333333"/>
          <w:sz w:val="22"/>
        </w:rPr>
        <w:t>Q: Can it handle novel diseases?</w:t>
      </w:r>
    </w:p>
    <w:p>
      <w:r>
        <w:rPr>
          <w:rFonts w:ascii="Calibri" w:hAnsi="Calibri"/>
          <w:b w:val="0"/>
          <w:i w:val="0"/>
          <w:color w:val="333333"/>
          <w:sz w:val="22"/>
        </w:rPr>
        <w:t>A: The phenotype-driven approach can identify candidate genes even for uncharacterized diseases by matching symptom patterns to known gene-phenotype associations. The "Undiagnosed Disease" workflow is specifically designed for these cases.</w:t>
      </w:r>
    </w:p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 -- HCLS AI Factory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