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2333"/>
          <w:sz w:val="48"/>
        </w:rPr>
        <w:t>Rare Disease Diagnostic Agent</w:t>
      </w:r>
    </w:p>
    <w:p>
      <w:pPr>
        <w:pStyle w:val="Heading1"/>
      </w:pPr>
      <w:r>
        <w:rPr>
          <w:color w:val="1B2333"/>
          <w:sz w:val="36"/>
        </w:rPr>
        <w:t>Clinical Impact Assessment &amp; Uniqueness Analysis</w:t>
      </w:r>
    </w:p>
    <w:p>
      <w:r>
        <w:rPr>
          <w:b/>
          <w:color w:val="333333"/>
          <w:sz w:val="20"/>
        </w:rPr>
        <w:t>HCLS AI Factory — Precision Medicine Platform</w:t>
      </w:r>
    </w:p>
    <w:p>
      <w:r>
        <w:rPr>
          <w:b w:val="0"/>
          <w:color w:val="333333"/>
          <w:sz w:val="20"/>
        </w:rPr>
        <w:t>Author: Adam Jones | Date: March 2026 | Platform: NVIDIA DGX Spark</w:t>
      </w:r>
    </w:p>
    <w:p>
      <w:r>
        <w:rPr>
          <w:b w:val="0"/>
          <w:color w:val="333333"/>
          <w:sz w:val="20"/>
        </w:rPr>
        <w:t>Version 1.0.0 | Apache 2.0 License</w:t>
      </w:r>
    </w:p>
    <w:p>
      <w:r>
        <w:br w:type="page"/>
      </w:r>
    </w:p>
    <w:p>
      <w:pPr>
        <w:pStyle w:val="Heading1"/>
      </w:pPr>
      <w:r>
        <w:rPr>
          <w:color w:val="1B2333"/>
          <w:sz w:val="36"/>
        </w:rPr>
        <w:t>Will This Agent Decrease Time to Treat Disease?</w:t>
      </w:r>
    </w:p>
    <w:p>
      <w:r>
        <w:rPr>
          <w:b/>
          <w:color w:val="333333"/>
          <w:sz w:val="20"/>
        </w:rPr>
        <w:t>This agent addresses the longest diagnostic delay in all of medicine. The diagnostic odyssey in rare disease is the cruelest failure in healthcare.</w:t>
      </w:r>
    </w:p>
    <w:p>
      <w:pPr>
        <w:pStyle w:val="Heading2"/>
      </w:pPr>
      <w:r>
        <w:rPr>
          <w:color w:val="1AAFCC"/>
          <w:sz w:val="28"/>
        </w:rPr>
        <w:t>The Diagnostic Odyssey — By the Numbers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Metric</w:t>
            </w:r>
          </w:p>
        </w:tc>
        <w:tc>
          <w:tcPr>
            <w:tcW w:type="dxa" w:w="2880"/>
          </w:tcPr>
          <w:p>
            <w:r>
              <w:rPr>
                <w:b/>
                <w:sz w:val="18"/>
              </w:rPr>
              <w:t>Value</w:t>
            </w:r>
          </w:p>
        </w:tc>
        <w:tc>
          <w:tcPr>
            <w:tcW w:type="dxa" w:w="2880"/>
          </w:tcPr>
          <w:p>
            <w:r>
              <w:rPr>
                <w:b/>
                <w:sz w:val="18"/>
              </w:rPr>
              <w:t>Impact</w:t>
            </w:r>
          </w:p>
        </w:tc>
      </w:tr>
      <w:tr>
        <w:tc>
          <w:tcPr>
            <w:tcW w:type="dxa" w:w="2880"/>
          </w:tcPr>
          <w:p>
            <w:r>
              <w:rPr>
                <w:sz w:val="18"/>
              </w:rPr>
              <w:t>Average time to diagnosis</w:t>
            </w:r>
          </w:p>
        </w:tc>
        <w:tc>
          <w:tcPr>
            <w:tcW w:type="dxa" w:w="2880"/>
          </w:tcPr>
          <w:p>
            <w:r>
              <w:rPr>
                <w:sz w:val="18"/>
              </w:rPr>
              <w:t>5-7 years</w:t>
            </w:r>
          </w:p>
        </w:tc>
        <w:tc>
          <w:tcPr>
            <w:tcW w:type="dxa" w:w="2880"/>
          </w:tcPr>
          <w:p>
            <w:r>
              <w:rPr>
                <w:sz w:val="18"/>
              </w:rPr>
              <w:t>Children grow up without treatment</w:t>
            </w:r>
          </w:p>
        </w:tc>
      </w:tr>
      <w:tr>
        <w:tc>
          <w:tcPr>
            <w:tcW w:type="dxa" w:w="2880"/>
          </w:tcPr>
          <w:p>
            <w:r>
              <w:rPr>
                <w:sz w:val="18"/>
              </w:rPr>
              <w:t>Doctors seen before diagnosis</w:t>
            </w:r>
          </w:p>
        </w:tc>
        <w:tc>
          <w:tcPr>
            <w:tcW w:type="dxa" w:w="2880"/>
          </w:tcPr>
          <w:p>
            <w:r>
              <w:rPr>
                <w:sz w:val="18"/>
              </w:rPr>
              <w:t>7-8</w:t>
            </w:r>
          </w:p>
        </w:tc>
        <w:tc>
          <w:tcPr>
            <w:tcW w:type="dxa" w:w="2880"/>
          </w:tcPr>
          <w:p>
            <w:r>
              <w:rPr>
                <w:sz w:val="18"/>
              </w:rPr>
              <w:t>Each referral adds months</w:t>
            </w:r>
          </w:p>
        </w:tc>
      </w:tr>
      <w:tr>
        <w:tc>
          <w:tcPr>
            <w:tcW w:type="dxa" w:w="2880"/>
          </w:tcPr>
          <w:p>
            <w:r>
              <w:rPr>
                <w:sz w:val="18"/>
              </w:rPr>
              <w:t>Misdiagnoses before correct one</w:t>
            </w:r>
          </w:p>
        </w:tc>
        <w:tc>
          <w:tcPr>
            <w:tcW w:type="dxa" w:w="2880"/>
          </w:tcPr>
          <w:p>
            <w:r>
              <w:rPr>
                <w:sz w:val="18"/>
              </w:rPr>
              <w:t>2-3</w:t>
            </w:r>
          </w:p>
        </w:tc>
        <w:tc>
          <w:tcPr>
            <w:tcW w:type="dxa" w:w="2880"/>
          </w:tcPr>
          <w:p>
            <w:r>
              <w:rPr>
                <w:sz w:val="18"/>
              </w:rPr>
              <w:t>40% receive incorrect treatment</w:t>
            </w:r>
          </w:p>
        </w:tc>
      </w:tr>
      <w:tr>
        <w:tc>
          <w:tcPr>
            <w:tcW w:type="dxa" w:w="2880"/>
          </w:tcPr>
          <w:p>
            <w:r>
              <w:rPr>
                <w:sz w:val="18"/>
              </w:rPr>
              <w:t>Out-of-pocket family cost</w:t>
            </w:r>
          </w:p>
        </w:tc>
        <w:tc>
          <w:tcPr>
            <w:tcW w:type="dxa" w:w="2880"/>
          </w:tcPr>
          <w:p>
            <w:r>
              <w:rPr>
                <w:sz w:val="18"/>
              </w:rPr>
              <w:t>$50,000+</w:t>
            </w:r>
          </w:p>
        </w:tc>
        <w:tc>
          <w:tcPr>
            <w:tcW w:type="dxa" w:w="2880"/>
          </w:tcPr>
          <w:p>
            <w:r>
              <w:rPr>
                <w:sz w:val="18"/>
              </w:rPr>
              <w:t>Financial devastation</w:t>
            </w:r>
          </w:p>
        </w:tc>
      </w:tr>
      <w:tr>
        <w:tc>
          <w:tcPr>
            <w:tcW w:type="dxa" w:w="2880"/>
          </w:tcPr>
          <w:p>
            <w:r>
              <w:rPr>
                <w:sz w:val="18"/>
              </w:rPr>
              <w:t>Patients who are children</w:t>
            </w:r>
          </w:p>
        </w:tc>
        <w:tc>
          <w:tcPr>
            <w:tcW w:type="dxa" w:w="2880"/>
          </w:tcPr>
          <w:p>
            <w:r>
              <w:rPr>
                <w:sz w:val="18"/>
              </w:rPr>
              <w:t>50%</w:t>
            </w:r>
          </w:p>
        </w:tc>
        <w:tc>
          <w:tcPr>
            <w:tcW w:type="dxa" w:w="2880"/>
          </w:tcPr>
          <w:p>
            <w:r>
              <w:rPr>
                <w:sz w:val="18"/>
              </w:rPr>
              <w:t>Critical developmental windows missed</w:t>
            </w:r>
          </w:p>
        </w:tc>
      </w:tr>
      <w:tr>
        <w:tc>
          <w:tcPr>
            <w:tcW w:type="dxa" w:w="2880"/>
          </w:tcPr>
          <w:p>
            <w:r>
              <w:rPr>
                <w:sz w:val="18"/>
              </w:rPr>
              <w:t>Children dying before age 5</w:t>
            </w:r>
          </w:p>
        </w:tc>
        <w:tc>
          <w:tcPr>
            <w:tcW w:type="dxa" w:w="2880"/>
          </w:tcPr>
          <w:p>
            <w:r>
              <w:rPr>
                <w:sz w:val="18"/>
              </w:rPr>
              <w:t>30%</w:t>
            </w:r>
          </w:p>
        </w:tc>
        <w:tc>
          <w:tcPr>
            <w:tcW w:type="dxa" w:w="2880"/>
          </w:tcPr>
          <w:p>
            <w:r>
              <w:rPr>
                <w:sz w:val="18"/>
              </w:rPr>
              <w:t>Often from treatable conditions</w:t>
            </w:r>
          </w:p>
        </w:tc>
      </w:tr>
      <w:tr>
        <w:tc>
          <w:tcPr>
            <w:tcW w:type="dxa" w:w="2880"/>
          </w:tcPr>
          <w:p>
            <w:r>
              <w:rPr>
                <w:sz w:val="18"/>
              </w:rPr>
              <w:t>Rare diseases with NO treatment</w:t>
            </w:r>
          </w:p>
        </w:tc>
        <w:tc>
          <w:tcPr>
            <w:tcW w:type="dxa" w:w="2880"/>
          </w:tcPr>
          <w:p>
            <w:r>
              <w:rPr>
                <w:sz w:val="18"/>
              </w:rPr>
              <w:t>95%</w:t>
            </w:r>
          </w:p>
        </w:tc>
        <w:tc>
          <w:tcPr>
            <w:tcW w:type="dxa" w:w="2880"/>
          </w:tcPr>
          <w:p>
            <w:r>
              <w:rPr>
                <w:sz w:val="18"/>
              </w:rPr>
              <w:t>But shrinking as gene therapies emerge</w:t>
            </w:r>
          </w:p>
        </w:tc>
      </w:tr>
      <w:tr>
        <w:tc>
          <w:tcPr>
            <w:tcW w:type="dxa" w:w="2880"/>
          </w:tcPr>
          <w:p>
            <w:r>
              <w:rPr>
                <w:sz w:val="18"/>
              </w:rPr>
              <w:t>People affected worldwide</w:t>
            </w:r>
          </w:p>
        </w:tc>
        <w:tc>
          <w:tcPr>
            <w:tcW w:type="dxa" w:w="2880"/>
          </w:tcPr>
          <w:p>
            <w:r>
              <w:rPr>
                <w:sz w:val="18"/>
              </w:rPr>
              <w:t>300 million</w:t>
            </w:r>
          </w:p>
        </w:tc>
        <w:tc>
          <w:tcPr>
            <w:tcW w:type="dxa" w:w="2880"/>
          </w:tcPr>
          <w:p>
            <w:r>
              <w:rPr>
                <w:sz w:val="18"/>
              </w:rPr>
              <w:t>1 in 17 people globally</w:t>
            </w:r>
          </w:p>
        </w:tc>
      </w:tr>
    </w:tbl>
    <w:p/>
    <w:p>
      <w:pPr>
        <w:pStyle w:val="Heading2"/>
      </w:pPr>
      <w:r>
        <w:rPr>
          <w:color w:val="1AAFCC"/>
          <w:sz w:val="28"/>
        </w:rPr>
        <w:t>Time Compression by Workflow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Workflow</w:t>
            </w:r>
          </w:p>
        </w:tc>
        <w:tc>
          <w:tcPr>
            <w:tcW w:type="dxa" w:w="2160"/>
          </w:tcPr>
          <w:p>
            <w:r>
              <w:rPr>
                <w:b/>
                <w:sz w:val="18"/>
              </w:rPr>
              <w:t>Current Time</w:t>
            </w:r>
          </w:p>
        </w:tc>
        <w:tc>
          <w:tcPr>
            <w:tcW w:type="dxa" w:w="2160"/>
          </w:tcPr>
          <w:p>
            <w:r>
              <w:rPr>
                <w:b/>
                <w:sz w:val="18"/>
              </w:rPr>
              <w:t>With Agent</w:t>
            </w:r>
          </w:p>
        </w:tc>
        <w:tc>
          <w:tcPr>
            <w:tcW w:type="dxa" w:w="2160"/>
          </w:tcPr>
          <w:p>
            <w:r>
              <w:rPr>
                <w:b/>
                <w:sz w:val="18"/>
              </w:rPr>
              <w:t>Impact</w:t>
            </w:r>
          </w:p>
        </w:tc>
      </w:tr>
      <w:tr>
        <w:tc>
          <w:tcPr>
            <w:tcW w:type="dxa" w:w="2160"/>
          </w:tcPr>
          <w:p>
            <w:r>
              <w:rPr>
                <w:sz w:val="18"/>
              </w:rPr>
              <w:t>Phenotype-to-diagnosis</w:t>
            </w:r>
          </w:p>
        </w:tc>
        <w:tc>
          <w:tcPr>
            <w:tcW w:type="dxa" w:w="2160"/>
          </w:tcPr>
          <w:p>
            <w:r>
              <w:rPr>
                <w:sz w:val="18"/>
              </w:rPr>
              <w:t>5-7 years (sequential testing)</w:t>
            </w:r>
          </w:p>
        </w:tc>
        <w:tc>
          <w:tcPr>
            <w:tcW w:type="dxa" w:w="2160"/>
          </w:tcPr>
          <w:p>
            <w:r>
              <w:rPr>
                <w:sz w:val="18"/>
              </w:rPr>
              <w:t>Minutes</w:t>
            </w:r>
          </w:p>
        </w:tc>
        <w:tc>
          <w:tcPr>
            <w:tcW w:type="dxa" w:w="2160"/>
          </w:tcPr>
          <w:p>
            <w:r>
              <w:rPr>
                <w:sz w:val="18"/>
              </w:rPr>
              <w:t>HPO-coded phenotypes matched against 97 diseases with IC-weighted semantic similarity</w:t>
            </w:r>
          </w:p>
        </w:tc>
      </w:tr>
      <w:tr>
        <w:tc>
          <w:tcPr>
            <w:tcW w:type="dxa" w:w="2160"/>
          </w:tcPr>
          <w:p>
            <w:r>
              <w:rPr>
                <w:sz w:val="18"/>
              </w:rPr>
              <w:t>Variant interpretation</w:t>
            </w:r>
          </w:p>
        </w:tc>
        <w:tc>
          <w:tcPr>
            <w:tcW w:type="dxa" w:w="2160"/>
          </w:tcPr>
          <w:p>
            <w:r>
              <w:rPr>
                <w:sz w:val="18"/>
              </w:rPr>
              <w:t>2-4 weeks per case</w:t>
            </w:r>
          </w:p>
        </w:tc>
        <w:tc>
          <w:tcPr>
            <w:tcW w:type="dxa" w:w="2160"/>
          </w:tcPr>
          <w:p>
            <w:r>
              <w:rPr>
                <w:sz w:val="18"/>
              </w:rPr>
              <w:t>Seconds</w:t>
            </w:r>
          </w:p>
        </w:tc>
        <w:tc>
          <w:tcPr>
            <w:tcW w:type="dxa" w:w="2160"/>
          </w:tcPr>
          <w:p>
            <w:r>
              <w:rPr>
                <w:sz w:val="18"/>
              </w:rPr>
              <w:t>28 ACMG criteria applied automatically with evidence justification</w:t>
            </w:r>
          </w:p>
        </w:tc>
      </w:tr>
      <w:tr>
        <w:tc>
          <w:tcPr>
            <w:tcW w:type="dxa" w:w="2160"/>
          </w:tcPr>
          <w:p>
            <w:r>
              <w:rPr>
                <w:sz w:val="18"/>
              </w:rPr>
              <w:t>Gene therapy eligibility</w:t>
            </w:r>
          </w:p>
        </w:tc>
        <w:tc>
          <w:tcPr>
            <w:tcW w:type="dxa" w:w="2160"/>
          </w:tcPr>
          <w:p>
            <w:r>
              <w:rPr>
                <w:sz w:val="18"/>
              </w:rPr>
              <w:t>Never systematically checked</w:t>
            </w:r>
          </w:p>
        </w:tc>
        <w:tc>
          <w:tcPr>
            <w:tcW w:type="dxa" w:w="2160"/>
          </w:tcPr>
          <w:p>
            <w:r>
              <w:rPr>
                <w:sz w:val="18"/>
              </w:rPr>
              <w:t>Automatic</w:t>
            </w:r>
          </w:p>
        </w:tc>
        <w:tc>
          <w:tcPr>
            <w:tcW w:type="dxa" w:w="2160"/>
          </w:tcPr>
          <w:p>
            <w:r>
              <w:rPr>
                <w:sz w:val="18"/>
              </w:rPr>
              <w:t>12 approved therapies matched by disease and genotype</w:t>
            </w:r>
          </w:p>
        </w:tc>
      </w:tr>
      <w:tr>
        <w:tc>
          <w:tcPr>
            <w:tcW w:type="dxa" w:w="2160"/>
          </w:tcPr>
          <w:p>
            <w:r>
              <w:rPr>
                <w:sz w:val="18"/>
              </w:rPr>
              <w:t>Test ordering cascade</w:t>
            </w:r>
          </w:p>
        </w:tc>
        <w:tc>
          <w:tcPr>
            <w:tcW w:type="dxa" w:w="2160"/>
          </w:tcPr>
          <w:p>
            <w:r>
              <w:rPr>
                <w:sz w:val="18"/>
              </w:rPr>
              <w:t>Clinician intuition (specialty bias)</w:t>
            </w:r>
          </w:p>
        </w:tc>
        <w:tc>
          <w:tcPr>
            <w:tcW w:type="dxa" w:w="2160"/>
          </w:tcPr>
          <w:p>
            <w:r>
              <w:rPr>
                <w:sz w:val="18"/>
              </w:rPr>
              <w:t>Algorithmic</w:t>
            </w:r>
          </w:p>
        </w:tc>
        <w:tc>
          <w:tcPr>
            <w:tcW w:type="dxa" w:w="2160"/>
          </w:tcPr>
          <w:p>
            <w:r>
              <w:rPr>
                <w:sz w:val="18"/>
              </w:rPr>
              <w:t>9 diagnostic pathways with evidence-based test sequencing and yield estimates</w:t>
            </w:r>
          </w:p>
        </w:tc>
      </w:tr>
      <w:tr>
        <w:tc>
          <w:tcPr>
            <w:tcW w:type="dxa" w:w="2160"/>
          </w:tcPr>
          <w:p>
            <w:r>
              <w:rPr>
                <w:sz w:val="18"/>
              </w:rPr>
              <w:t>Metabolic crisis triage</w:t>
            </w:r>
          </w:p>
        </w:tc>
        <w:tc>
          <w:tcPr>
            <w:tcW w:type="dxa" w:w="2160"/>
          </w:tcPr>
          <w:p>
            <w:r>
              <w:rPr>
                <w:sz w:val="18"/>
              </w:rPr>
              <w:t>Hours (phone calls to specialist)</w:t>
            </w:r>
          </w:p>
        </w:tc>
        <w:tc>
          <w:tcPr>
            <w:tcW w:type="dxa" w:w="2160"/>
          </w:tcPr>
          <w:p>
            <w:r>
              <w:rPr>
                <w:sz w:val="18"/>
              </w:rPr>
              <w:t>Seconds</w:t>
            </w:r>
          </w:p>
        </w:tc>
        <w:tc>
          <w:tcPr>
            <w:tcW w:type="dxa" w:w="2160"/>
          </w:tcPr>
          <w:p>
            <w:r>
              <w:rPr>
                <w:sz w:val="18"/>
              </w:rPr>
              <w:t>Emergency protocol + confirmatory test recommendation immediately</w:t>
            </w:r>
          </w:p>
        </w:tc>
      </w:tr>
      <w:tr>
        <w:tc>
          <w:tcPr>
            <w:tcW w:type="dxa" w:w="2160"/>
          </w:tcPr>
          <w:p>
            <w:r>
              <w:rPr>
                <w:sz w:val="18"/>
              </w:rPr>
              <w:t>Family segregation analysis</w:t>
            </w:r>
          </w:p>
        </w:tc>
        <w:tc>
          <w:tcPr>
            <w:tcW w:type="dxa" w:w="2160"/>
          </w:tcPr>
          <w:p>
            <w:r>
              <w:rPr>
                <w:sz w:val="18"/>
              </w:rPr>
              <w:t>Days-weeks (manual pedigree)</w:t>
            </w:r>
          </w:p>
        </w:tc>
        <w:tc>
          <w:tcPr>
            <w:tcW w:type="dxa" w:w="2160"/>
          </w:tcPr>
          <w:p>
            <w:r>
              <w:rPr>
                <w:sz w:val="18"/>
              </w:rPr>
              <w:t>Minutes</w:t>
            </w:r>
          </w:p>
        </w:tc>
        <w:tc>
          <w:tcPr>
            <w:tcW w:type="dxa" w:w="2160"/>
          </w:tcPr>
          <w:p>
            <w:r>
              <w:rPr>
                <w:sz w:val="18"/>
              </w:rPr>
              <w:t>LOD score calculation under inheritance model with de novo assessment</w:t>
            </w:r>
          </w:p>
        </w:tc>
      </w:tr>
      <w:tr>
        <w:tc>
          <w:tcPr>
            <w:tcW w:type="dxa" w:w="2160"/>
          </w:tcPr>
          <w:p>
            <w:r>
              <w:rPr>
                <w:sz w:val="18"/>
              </w:rPr>
              <w:t>Natural history prediction</w:t>
            </w:r>
          </w:p>
        </w:tc>
        <w:tc>
          <w:tcPr>
            <w:tcW w:type="dxa" w:w="2160"/>
          </w:tcPr>
          <w:p>
            <w:r>
              <w:rPr>
                <w:sz w:val="18"/>
              </w:rPr>
              <w:t>Literature review (hours)</w:t>
            </w:r>
          </w:p>
        </w:tc>
        <w:tc>
          <w:tcPr>
            <w:tcW w:type="dxa" w:w="2160"/>
          </w:tcPr>
          <w:p>
            <w:r>
              <w:rPr>
                <w:sz w:val="18"/>
              </w:rPr>
              <w:t>Instant</w:t>
            </w:r>
          </w:p>
        </w:tc>
        <w:tc>
          <w:tcPr>
            <w:tcW w:type="dxa" w:w="2160"/>
          </w:tcPr>
          <w:p>
            <w:r>
              <w:rPr>
                <w:sz w:val="18"/>
              </w:rPr>
              <w:t>Genotype-phenotype correlation with milestone timeline and confidence intervals</w:t>
            </w:r>
          </w:p>
        </w:tc>
      </w:tr>
      <w:tr>
        <w:tc>
          <w:tcPr>
            <w:tcW w:type="dxa" w:w="2160"/>
          </w:tcPr>
          <w:p>
            <w:r>
              <w:rPr>
                <w:sz w:val="18"/>
              </w:rPr>
              <w:t>Orphan drug matching</w:t>
            </w:r>
          </w:p>
        </w:tc>
        <w:tc>
          <w:tcPr>
            <w:tcW w:type="dxa" w:w="2160"/>
          </w:tcPr>
          <w:p>
            <w:r>
              <w:rPr>
                <w:sz w:val="18"/>
              </w:rPr>
              <w:t>Manual search across databases</w:t>
            </w:r>
          </w:p>
        </w:tc>
        <w:tc>
          <w:tcPr>
            <w:tcW w:type="dxa" w:w="2160"/>
          </w:tcPr>
          <w:p>
            <w:r>
              <w:rPr>
                <w:sz w:val="18"/>
              </w:rPr>
              <w:t>Automatic</w:t>
            </w:r>
          </w:p>
        </w:tc>
        <w:tc>
          <w:tcPr>
            <w:tcW w:type="dxa" w:w="2160"/>
          </w:tcPr>
          <w:p>
            <w:r>
              <w:rPr>
                <w:sz w:val="18"/>
              </w:rPr>
              <w:t>FDA + EMA orphan drug databases + compassionate use + expanded access</w:t>
            </w:r>
          </w:p>
        </w:tc>
      </w:tr>
    </w:tbl>
    <w:p/>
    <w:p>
      <w:pPr>
        <w:pStyle w:val="Heading2"/>
      </w:pPr>
      <w:r>
        <w:rPr>
          <w:color w:val="1AAFCC"/>
          <w:sz w:val="28"/>
        </w:rPr>
        <w:t>Where It Saves Lives Directly</w:t>
      </w:r>
    </w:p>
    <w:p>
      <w:r>
        <w:rPr>
          <w:b/>
          <w:color w:val="333333"/>
          <w:sz w:val="20"/>
        </w:rPr>
        <w:t>A newborn in the NICU with metabolic crisis.</w:t>
      </w:r>
    </w:p>
    <w:p>
      <w:r>
        <w:rPr>
          <w:b w:val="0"/>
          <w:color w:val="333333"/>
          <w:sz w:val="20"/>
        </w:rPr>
        <w:t>The metabolic screening workflow identifies the pattern — hyperammonemia, metabolic acidosis, elevated specific acylcarnitines — and immediately recommends stopping protein intake, starting glucose infusion, and ordering the specific enzyme assay. Today this takes hours of phone calls to a metabolic specialist who may be three states away. For a child in metabolic crisis, those hours are the difference between life and death or between normal development and permanent brain injury.</w:t>
      </w:r>
    </w:p>
    <w:p>
      <w:r>
        <w:rPr>
          <w:b/>
          <w:color w:val="333333"/>
          <w:sz w:val="20"/>
        </w:rPr>
        <w:t>A child with SMA diagnosed at 3 months instead of 18 months.</w:t>
      </w:r>
    </w:p>
    <w:p>
      <w:r>
        <w:rPr>
          <w:b w:val="0"/>
          <w:color w:val="333333"/>
          <w:sz w:val="20"/>
        </w:rPr>
        <w:t>The gene therapy eligibility workflow matches SMN1 deletion to onasemnogene abeparvovec (Zolgensma) — most effective before age 2. Every month of delay reduces motor neuron preservation. The difference between diagnosis at 3 months and 18 months can be the difference between a child who walks and one who never will.</w:t>
      </w:r>
    </w:p>
    <w:p>
      <w:r>
        <w:rPr>
          <w:b/>
          <w:color w:val="333333"/>
          <w:sz w:val="20"/>
        </w:rPr>
        <w:t>A teenager with undiagnosed Fabry disease.</w:t>
      </w:r>
    </w:p>
    <w:p>
      <w:r>
        <w:rPr>
          <w:b w:val="0"/>
          <w:color w:val="333333"/>
          <w:sz w:val="20"/>
        </w:rPr>
        <w:t>Unexplained kidney problems, neuropathic pain, corneal changes — each specialist sees their own piece. The phenotype-driven workflow recognizes the pattern across organ systems, identifies GLA gene, and connects to enzyme replacement therapy (agalsidase) and the emerging gene therapy pipeline. Without the agent, average Fabry diagnosis takes 13 years.</w:t>
      </w:r>
    </w:p>
    <w:p>
      <w:r>
        <w:br w:type="page"/>
      </w:r>
    </w:p>
    <w:p>
      <w:pPr>
        <w:pStyle w:val="Heading1"/>
      </w:pPr>
      <w:r>
        <w:rPr>
          <w:color w:val="1B2333"/>
          <w:sz w:val="36"/>
        </w:rPr>
        <w:t>Does Something Like This Currently Exist?</w:t>
      </w:r>
    </w:p>
    <w:p>
      <w:r>
        <w:rPr>
          <w:b/>
          <w:color w:val="333333"/>
          <w:sz w:val="20"/>
        </w:rPr>
        <w:t>Not like this. Not at this level of integration.</w:t>
      </w:r>
    </w:p>
    <w:p>
      <w:pPr>
        <w:pStyle w:val="Heading2"/>
      </w:pPr>
      <w:r>
        <w:rPr>
          <w:color w:val="1AAFCC"/>
          <w:sz w:val="28"/>
        </w:rPr>
        <w:t>Market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Platform</w:t>
            </w:r>
          </w:p>
        </w:tc>
        <w:tc>
          <w:tcPr>
            <w:tcW w:type="dxa" w:w="2880"/>
          </w:tcPr>
          <w:p>
            <w:r>
              <w:rPr>
                <w:b/>
                <w:sz w:val="18"/>
              </w:rPr>
              <w:t>What It Does</w:t>
            </w:r>
          </w:p>
        </w:tc>
        <w:tc>
          <w:tcPr>
            <w:tcW w:type="dxa" w:w="2880"/>
          </w:tcPr>
          <w:p>
            <w:r>
              <w:rPr>
                <w:b/>
                <w:sz w:val="18"/>
              </w:rPr>
              <w:t>What It Doesn't Do</w:t>
            </w:r>
          </w:p>
        </w:tc>
      </w:tr>
      <w:tr>
        <w:tc>
          <w:tcPr>
            <w:tcW w:type="dxa" w:w="2880"/>
          </w:tcPr>
          <w:p>
            <w:r>
              <w:rPr>
                <w:sz w:val="18"/>
              </w:rPr>
              <w:t>Phenomizer (Charite)</w:t>
            </w:r>
          </w:p>
        </w:tc>
        <w:tc>
          <w:tcPr>
            <w:tcW w:type="dxa" w:w="2880"/>
          </w:tcPr>
          <w:p>
            <w:r>
              <w:rPr>
                <w:sz w:val="18"/>
              </w:rPr>
              <w:t>HPO-to-disease matching using IC scoring</w:t>
            </w:r>
          </w:p>
        </w:tc>
        <w:tc>
          <w:tcPr>
            <w:tcW w:type="dxa" w:w="2880"/>
          </w:tcPr>
          <w:p>
            <w:r>
              <w:rPr>
                <w:sz w:val="18"/>
              </w:rPr>
              <w:t>No variant interpretation, no therapy matching, no gene therapy eligibility, no cross-agent</w:t>
            </w:r>
          </w:p>
        </w:tc>
      </w:tr>
      <w:tr>
        <w:tc>
          <w:tcPr>
            <w:tcW w:type="dxa" w:w="2880"/>
          </w:tcPr>
          <w:p>
            <w:r>
              <w:rPr>
                <w:sz w:val="18"/>
              </w:rPr>
              <w:t>Exomiser (Sanger)</w:t>
            </w:r>
          </w:p>
        </w:tc>
        <w:tc>
          <w:tcPr>
            <w:tcW w:type="dxa" w:w="2880"/>
          </w:tcPr>
          <w:p>
            <w:r>
              <w:rPr>
                <w:sz w:val="18"/>
              </w:rPr>
              <w:t>WES variant prioritization with phenotype</w:t>
            </w:r>
          </w:p>
        </w:tc>
        <w:tc>
          <w:tcPr>
            <w:tcW w:type="dxa" w:w="2880"/>
          </w:tcPr>
          <w:p>
            <w:r>
              <w:rPr>
                <w:sz w:val="18"/>
              </w:rPr>
              <w:t>Standalone Java, no clinical workflows, no LLM synthesis, no real-time updates</w:t>
            </w:r>
          </w:p>
        </w:tc>
      </w:tr>
      <w:tr>
        <w:tc>
          <w:tcPr>
            <w:tcW w:type="dxa" w:w="2880"/>
          </w:tcPr>
          <w:p>
            <w:r>
              <w:rPr>
                <w:sz w:val="18"/>
              </w:rPr>
              <w:t>LIRICAL (Jackson Lab)</w:t>
            </w:r>
          </w:p>
        </w:tc>
        <w:tc>
          <w:tcPr>
            <w:tcW w:type="dxa" w:w="2880"/>
          </w:tcPr>
          <w:p>
            <w:r>
              <w:rPr>
                <w:sz w:val="18"/>
              </w:rPr>
              <w:t>Likelihood ratio phenotype matching</w:t>
            </w:r>
          </w:p>
        </w:tc>
        <w:tc>
          <w:tcPr>
            <w:tcW w:type="dxa" w:w="2880"/>
          </w:tcPr>
          <w:p>
            <w:r>
              <w:rPr>
                <w:sz w:val="18"/>
              </w:rPr>
              <w:t>Command-line only, no UI, no therapy, no cross-agent, no reports</w:t>
            </w:r>
          </w:p>
        </w:tc>
      </w:tr>
      <w:tr>
        <w:tc>
          <w:tcPr>
            <w:tcW w:type="dxa" w:w="2880"/>
          </w:tcPr>
          <w:p>
            <w:r>
              <w:rPr>
                <w:sz w:val="18"/>
              </w:rPr>
              <w:t>Face2Gene (FDNA)</w:t>
            </w:r>
          </w:p>
        </w:tc>
        <w:tc>
          <w:tcPr>
            <w:tcW w:type="dxa" w:w="2880"/>
          </w:tcPr>
          <w:p>
            <w:r>
              <w:rPr>
                <w:sz w:val="18"/>
              </w:rPr>
              <w:t>Facial recognition for syndromes</w:t>
            </w:r>
          </w:p>
        </w:tc>
        <w:tc>
          <w:tcPr>
            <w:tcW w:type="dxa" w:w="2880"/>
          </w:tcPr>
          <w:p>
            <w:r>
              <w:rPr>
                <w:sz w:val="18"/>
              </w:rPr>
              <w:t>Imaging-only, no genomics, no variant classification, no treatment</w:t>
            </w:r>
          </w:p>
        </w:tc>
      </w:tr>
      <w:tr>
        <w:tc>
          <w:tcPr>
            <w:tcW w:type="dxa" w:w="2880"/>
          </w:tcPr>
          <w:p>
            <w:r>
              <w:rPr>
                <w:sz w:val="18"/>
              </w:rPr>
              <w:t>Franklin (Genoox)</w:t>
            </w:r>
          </w:p>
        </w:tc>
        <w:tc>
          <w:tcPr>
            <w:tcW w:type="dxa" w:w="2880"/>
          </w:tcPr>
          <w:p>
            <w:r>
              <w:rPr>
                <w:sz w:val="18"/>
              </w:rPr>
              <w:t>Variant classification with ACMG</w:t>
            </w:r>
          </w:p>
        </w:tc>
        <w:tc>
          <w:tcPr>
            <w:tcW w:type="dxa" w:w="2880"/>
          </w:tcPr>
          <w:p>
            <w:r>
              <w:rPr>
                <w:sz w:val="18"/>
              </w:rPr>
              <w:t>Variants-only, no phenotype matching, no therapy eligibility</w:t>
            </w:r>
          </w:p>
        </w:tc>
      </w:tr>
      <w:tr>
        <w:tc>
          <w:tcPr>
            <w:tcW w:type="dxa" w:w="2880"/>
          </w:tcPr>
          <w:p>
            <w:r>
              <w:rPr>
                <w:sz w:val="18"/>
              </w:rPr>
              <w:t>VarSome (Saphetor)</w:t>
            </w:r>
          </w:p>
        </w:tc>
        <w:tc>
          <w:tcPr>
            <w:tcW w:type="dxa" w:w="2880"/>
          </w:tcPr>
          <w:p>
            <w:r>
              <w:rPr>
                <w:sz w:val="18"/>
              </w:rPr>
              <w:t>Variant interpretation</w:t>
            </w:r>
          </w:p>
        </w:tc>
        <w:tc>
          <w:tcPr>
            <w:tcW w:type="dxa" w:w="2880"/>
          </w:tcPr>
          <w:p>
            <w:r>
              <w:rPr>
                <w:sz w:val="18"/>
              </w:rPr>
              <w:t>Single-variant focus, no differential diagnosis, no workflows</w:t>
            </w:r>
          </w:p>
        </w:tc>
      </w:tr>
      <w:tr>
        <w:tc>
          <w:tcPr>
            <w:tcW w:type="dxa" w:w="2880"/>
          </w:tcPr>
          <w:p>
            <w:r>
              <w:rPr>
                <w:sz w:val="18"/>
              </w:rPr>
              <w:t>Fabric Genomics</w:t>
            </w:r>
          </w:p>
        </w:tc>
        <w:tc>
          <w:tcPr>
            <w:tcW w:type="dxa" w:w="2880"/>
          </w:tcPr>
          <w:p>
            <w:r>
              <w:rPr>
                <w:sz w:val="18"/>
              </w:rPr>
              <w:t>AI variant interpretation</w:t>
            </w:r>
          </w:p>
        </w:tc>
        <w:tc>
          <w:tcPr>
            <w:tcW w:type="dxa" w:w="2880"/>
          </w:tcPr>
          <w:p>
            <w:r>
              <w:rPr>
                <w:sz w:val="18"/>
              </w:rPr>
              <w:t>Enterprise-priced, proprietary, no therapy matching, no cross-agent</w:t>
            </w:r>
          </w:p>
        </w:tc>
      </w:tr>
      <w:tr>
        <w:tc>
          <w:tcPr>
            <w:tcW w:type="dxa" w:w="2880"/>
          </w:tcPr>
          <w:p>
            <w:r>
              <w:rPr>
                <w:sz w:val="18"/>
              </w:rPr>
              <w:t>PhenoTips (Gene42)</w:t>
            </w:r>
          </w:p>
        </w:tc>
        <w:tc>
          <w:tcPr>
            <w:tcW w:type="dxa" w:w="2880"/>
          </w:tcPr>
          <w:p>
            <w:r>
              <w:rPr>
                <w:sz w:val="18"/>
              </w:rPr>
              <w:t>Phenotype capture for genetics</w:t>
            </w:r>
          </w:p>
        </w:tc>
        <w:tc>
          <w:tcPr>
            <w:tcW w:type="dxa" w:w="2880"/>
          </w:tcPr>
          <w:p>
            <w:r>
              <w:rPr>
                <w:sz w:val="18"/>
              </w:rPr>
              <w:t>Data capture tool, not diagnostic intelligence</w:t>
            </w:r>
          </w:p>
        </w:tc>
      </w:tr>
    </w:tbl>
    <w:p/>
    <w:p>
      <w:pPr>
        <w:pStyle w:val="Heading2"/>
      </w:pPr>
      <w:r>
        <w:rPr>
          <w:color w:val="1AAFCC"/>
          <w:sz w:val="28"/>
        </w:rPr>
        <w:t>What Makes This Architecturally Novel</w:t>
      </w:r>
    </w:p>
    <w:p>
      <w:r>
        <w:rPr>
          <w:b/>
          <w:color w:val="333333"/>
          <w:sz w:val="20"/>
        </w:rPr>
        <w:t>End-to-end diagnostic intelligence, not a point tool:</w:t>
      </w:r>
    </w:p>
    <w:p>
      <w:r>
        <w:rPr>
          <w:b w:val="0"/>
          <w:color w:val="333333"/>
          <w:sz w:val="20"/>
        </w:rPr>
        <w:t>Every existing platform does one thing. Yours does phenotype matching + ACMG variant classification + gene therapy eligibility + clinical trial identification + diagnostic report generation in a single system with 10 clinical workflows and 6 decision support engines.</w:t>
      </w:r>
    </w:p>
    <w:p>
      <w:r>
        <w:rPr>
          <w:b/>
          <w:color w:val="333333"/>
          <w:sz w:val="20"/>
        </w:rPr>
        <w:t>Knowledge-base-grounded fallback without external dependencies:</w:t>
      </w:r>
    </w:p>
    <w:p>
      <w:r>
        <w:rPr>
          <w:b w:val="0"/>
          <w:color w:val="333333"/>
          <w:sz w:val="20"/>
        </w:rPr>
        <w:t>Phenomizer requires internet. Exomiser requires Java + databases. Your agent works completely offline with 97 diseases, 45 genes, 28 ACMG criteria, 12 gene therapies, and 9 diagnostic algorithms built in. Every UI tab returns meaningful data without Milvus or LLM.</w:t>
      </w:r>
    </w:p>
    <w:p>
      <w:r>
        <w:rPr>
          <w:b/>
          <w:color w:val="333333"/>
          <w:sz w:val="20"/>
        </w:rPr>
        <w:t>Cross-agent molecular coordination:</w:t>
      </w:r>
    </w:p>
    <w:p>
      <w:r>
        <w:rPr>
          <w:b w:val="0"/>
          <w:color w:val="333333"/>
          <w:sz w:val="20"/>
        </w:rPr>
        <w:t>When a cardiac genetic condition is identified, the Cardiology Agent provides risk assessment. When a therapy candidate emerges, the Clinical Trial Agent matches to trials. When a pharmacogenomic variant is found, the PGx Agent provides dosing guidance. No rare disease platform has 10 companion agents.</w:t>
      </w:r>
    </w:p>
    <w:p>
      <w:r>
        <w:rPr>
          <w:b/>
          <w:color w:val="333333"/>
          <w:sz w:val="20"/>
        </w:rPr>
        <w:t>Gene therapy eligibility as a first-class feature:</w:t>
      </w:r>
    </w:p>
    <w:p>
      <w:r>
        <w:rPr>
          <w:b w:val="0"/>
          <w:color w:val="333333"/>
          <w:sz w:val="20"/>
        </w:rPr>
        <w:t>No existing diagnostic platform automatically matches patients to 12 approved gene therapies plus investigational programs. For SMA, where treatment timing determines whether a child walks, automated eligibility matching can change outcomes.</w:t>
      </w:r>
    </w:p>
    <w:p>
      <w:r>
        <w:rPr>
          <w:b/>
          <w:color w:val="333333"/>
          <w:sz w:val="20"/>
        </w:rPr>
        <w:t>Open source on accessible hardware:</w:t>
      </w:r>
    </w:p>
    <w:p>
      <w:r>
        <w:rPr>
          <w:b w:val="0"/>
          <w:color w:val="333333"/>
          <w:sz w:val="20"/>
        </w:rPr>
        <w:t>Franklin: $3,000-5,000 per case. Face2Gene: enterprise licensing. Your agent: $3,999 total, Apache 2.0. A genetics clinic in rural Kenya can run the same diagnostic intelligence as Boston Children's Hospital.</w:t>
      </w:r>
    </w:p>
    <w:p>
      <w:r>
        <w:rPr>
          <w:b/>
          <w:color w:val="333333"/>
          <w:sz w:val="20"/>
        </w:rPr>
        <w:t>Real clinical-grade reporting:</w:t>
      </w:r>
    </w:p>
    <w:p>
      <w:r>
        <w:rPr>
          <w:b w:val="0"/>
          <w:color w:val="333333"/>
          <w:sz w:val="20"/>
        </w:rPr>
        <w:t>PDF reports via ReportLab, FHIR R4 DiagnosticReport bundles for EHR integration, GA4GH Phenopackets for Matchmaker Exchange. No free rare disease tool produces all three formats.</w:t>
      </w:r>
    </w:p>
    <w:p>
      <w:r>
        <w:br w:type="page"/>
      </w:r>
    </w:p>
    <w:p>
      <w:pPr>
        <w:pStyle w:val="Heading1"/>
      </w:pPr>
      <w:r>
        <w:rPr>
          <w:color w:val="1B2333"/>
          <w:sz w:val="36"/>
        </w:rPr>
        <w:t>Platform Capability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Capability</w:t>
            </w:r>
          </w:p>
        </w:tc>
        <w:tc>
          <w:tcPr>
            <w:tcW w:type="dxa" w:w="2880"/>
          </w:tcPr>
          <w:p>
            <w:r>
              <w:rPr>
                <w:b/>
                <w:sz w:val="18"/>
              </w:rPr>
              <w:t>Count</w:t>
            </w:r>
          </w:p>
        </w:tc>
        <w:tc>
          <w:tcPr>
            <w:tcW w:type="dxa" w:w="2880"/>
          </w:tcPr>
          <w:p>
            <w:r>
              <w:rPr>
                <w:b/>
                <w:sz w:val="18"/>
              </w:rPr>
              <w:t>Detail</w:t>
            </w:r>
          </w:p>
        </w:tc>
      </w:tr>
      <w:tr>
        <w:tc>
          <w:tcPr>
            <w:tcW w:type="dxa" w:w="2880"/>
          </w:tcPr>
          <w:p>
            <w:r>
              <w:rPr>
                <w:sz w:val="18"/>
              </w:rPr>
              <w:t>Diagnostic Workflows</w:t>
            </w:r>
          </w:p>
        </w:tc>
        <w:tc>
          <w:tcPr>
            <w:tcW w:type="dxa" w:w="2880"/>
          </w:tcPr>
          <w:p>
            <w:r>
              <w:rPr>
                <w:sz w:val="18"/>
              </w:rPr>
              <w:t>10</w:t>
            </w:r>
          </w:p>
        </w:tc>
        <w:tc>
          <w:tcPr>
            <w:tcW w:type="dxa" w:w="2880"/>
          </w:tcPr>
          <w:p>
            <w:r>
              <w:rPr>
                <w:sz w:val="18"/>
              </w:rPr>
              <w:t>Phenotype-Driven, WES/WGS, Metabolic, Dysmorphology, Neurogenetic, Cardiac Genetics, Connective Tissue, IEM, Gene Therapy Eligibility, Undiagnosed Disease</w:t>
            </w:r>
          </w:p>
        </w:tc>
      </w:tr>
      <w:tr>
        <w:tc>
          <w:tcPr>
            <w:tcW w:type="dxa" w:w="2880"/>
          </w:tcPr>
          <w:p>
            <w:r>
              <w:rPr>
                <w:sz w:val="18"/>
              </w:rPr>
              <w:t>Decision Support Engines</w:t>
            </w:r>
          </w:p>
        </w:tc>
        <w:tc>
          <w:tcPr>
            <w:tcW w:type="dxa" w:w="2880"/>
          </w:tcPr>
          <w:p>
            <w:r>
              <w:rPr>
                <w:sz w:val="18"/>
              </w:rPr>
              <w:t>6</w:t>
            </w:r>
          </w:p>
        </w:tc>
        <w:tc>
          <w:tcPr>
            <w:tcW w:type="dxa" w:w="2880"/>
          </w:tcPr>
          <w:p>
            <w:r>
              <w:rPr>
                <w:sz w:val="18"/>
              </w:rPr>
              <w:t>HPO-to-Gene Matcher (IC/BMA), ACMG Classifier (28 criteria), Orphan Drug Matcher, Diagnostic Algorithm Recommender, Family Segregation (LOD), Natural History Predictor</w:t>
            </w:r>
          </w:p>
        </w:tc>
      </w:tr>
      <w:tr>
        <w:tc>
          <w:tcPr>
            <w:tcW w:type="dxa" w:w="2880"/>
          </w:tcPr>
          <w:p>
            <w:r>
              <w:rPr>
                <w:sz w:val="18"/>
              </w:rPr>
              <w:t>Vector Collections</w:t>
            </w:r>
          </w:p>
        </w:tc>
        <w:tc>
          <w:tcPr>
            <w:tcW w:type="dxa" w:w="2880"/>
          </w:tcPr>
          <w:p>
            <w:r>
              <w:rPr>
                <w:sz w:val="18"/>
              </w:rPr>
              <w:t>14</w:t>
            </w:r>
          </w:p>
        </w:tc>
        <w:tc>
          <w:tcPr>
            <w:tcW w:type="dxa" w:w="2880"/>
          </w:tcPr>
          <w:p>
            <w:r>
              <w:rPr>
                <w:sz w:val="18"/>
              </w:rPr>
              <w:t>13 rare-disease-specific + 1 shared genomic_evidence</w:t>
            </w:r>
          </w:p>
        </w:tc>
      </w:tr>
      <w:tr>
        <w:tc>
          <w:tcPr>
            <w:tcW w:type="dxa" w:w="2880"/>
          </w:tcPr>
          <w:p>
            <w:r>
              <w:rPr>
                <w:sz w:val="18"/>
              </w:rPr>
              <w:t>Disease Knowledge Base</w:t>
            </w:r>
          </w:p>
        </w:tc>
        <w:tc>
          <w:tcPr>
            <w:tcW w:type="dxa" w:w="2880"/>
          </w:tcPr>
          <w:p>
            <w:r>
              <w:rPr>
                <w:sz w:val="18"/>
              </w:rPr>
              <w:t>97 diseases</w:t>
            </w:r>
          </w:p>
        </w:tc>
        <w:tc>
          <w:tcPr>
            <w:tcW w:type="dxa" w:w="2880"/>
          </w:tcPr>
          <w:p>
            <w:r>
              <w:rPr>
                <w:sz w:val="18"/>
              </w:rPr>
              <w:t>28 metabolic + 23 neurological + 10 connective tissue + 15 hematologic + 13 immunologic + 8 cancer predisposition</w:t>
            </w:r>
          </w:p>
        </w:tc>
      </w:tr>
      <w:tr>
        <w:tc>
          <w:tcPr>
            <w:tcW w:type="dxa" w:w="2880"/>
          </w:tcPr>
          <w:p>
            <w:r>
              <w:rPr>
                <w:sz w:val="18"/>
              </w:rPr>
              <w:t>Gene Therapies Tracked</w:t>
            </w:r>
          </w:p>
        </w:tc>
        <w:tc>
          <w:tcPr>
            <w:tcW w:type="dxa" w:w="2880"/>
          </w:tcPr>
          <w:p>
            <w:r>
              <w:rPr>
                <w:sz w:val="18"/>
              </w:rPr>
              <w:t>12</w:t>
            </w:r>
          </w:p>
        </w:tc>
        <w:tc>
          <w:tcPr>
            <w:tcW w:type="dxa" w:w="2880"/>
          </w:tcPr>
          <w:p>
            <w:r>
              <w:rPr>
                <w:sz w:val="18"/>
              </w:rPr>
              <w:t>6 FDA-approved + 6 newly approved (Roctavian, Elevidys, Beqvez, Vyjuvek, Lyfgenia, Libmeldy)</w:t>
            </w:r>
          </w:p>
        </w:tc>
      </w:tr>
      <w:tr>
        <w:tc>
          <w:tcPr>
            <w:tcW w:type="dxa" w:w="2880"/>
          </w:tcPr>
          <w:p>
            <w:r>
              <w:rPr>
                <w:sz w:val="18"/>
              </w:rPr>
              <w:t>ACMG Criteria</w:t>
            </w:r>
          </w:p>
        </w:tc>
        <w:tc>
          <w:tcPr>
            <w:tcW w:type="dxa" w:w="2880"/>
          </w:tcPr>
          <w:p>
            <w:r>
              <w:rPr>
                <w:sz w:val="18"/>
              </w:rPr>
              <w:t>28</w:t>
            </w:r>
          </w:p>
        </w:tc>
        <w:tc>
          <w:tcPr>
            <w:tcW w:type="dxa" w:w="2880"/>
          </w:tcPr>
          <w:p>
            <w:r>
              <w:rPr>
                <w:sz w:val="18"/>
              </w:rPr>
              <w:t>PVS1 through BP7 — complete pathogenicity classification framework</w:t>
            </w:r>
          </w:p>
        </w:tc>
      </w:tr>
      <w:tr>
        <w:tc>
          <w:tcPr>
            <w:tcW w:type="dxa" w:w="2880"/>
          </w:tcPr>
          <w:p>
            <w:r>
              <w:rPr>
                <w:sz w:val="18"/>
              </w:rPr>
              <w:t>Diagnostic Algorithms</w:t>
            </w:r>
          </w:p>
        </w:tc>
        <w:tc>
          <w:tcPr>
            <w:tcW w:type="dxa" w:w="2880"/>
          </w:tcPr>
          <w:p>
            <w:r>
              <w:rPr>
                <w:sz w:val="18"/>
              </w:rPr>
              <w:t>9</w:t>
            </w:r>
          </w:p>
        </w:tc>
        <w:tc>
          <w:tcPr>
            <w:tcW w:type="dxa" w:w="2880"/>
          </w:tcPr>
          <w:p>
            <w:r>
              <w:rPr>
                <w:sz w:val="18"/>
              </w:rPr>
              <w:t>Neurodevelopmental, metabolic crisis, skeletal, cardiac, immunodeficiency, connective tissue, hematologic, ophthalmologic, renal</w:t>
            </w:r>
          </w:p>
        </w:tc>
      </w:tr>
      <w:tr>
        <w:tc>
          <w:tcPr>
            <w:tcW w:type="dxa" w:w="2880"/>
          </w:tcPr>
          <w:p>
            <w:r>
              <w:rPr>
                <w:sz w:val="18"/>
              </w:rPr>
              <w:t>Agent Conditions</w:t>
            </w:r>
          </w:p>
        </w:tc>
        <w:tc>
          <w:tcPr>
            <w:tcW w:type="dxa" w:w="2880"/>
          </w:tcPr>
          <w:p>
            <w:r>
              <w:rPr>
                <w:sz w:val="18"/>
              </w:rPr>
              <w:t>48</w:t>
            </w:r>
          </w:p>
        </w:tc>
        <w:tc>
          <w:tcPr>
            <w:tcW w:type="dxa" w:w="2880"/>
          </w:tcPr>
          <w:p>
            <w:r>
              <w:rPr>
                <w:sz w:val="18"/>
              </w:rPr>
              <w:t>Across all disease categories for entity detection</w:t>
            </w:r>
          </w:p>
        </w:tc>
      </w:tr>
      <w:tr>
        <w:tc>
          <w:tcPr>
            <w:tcW w:type="dxa" w:w="2880"/>
          </w:tcPr>
          <w:p>
            <w:r>
              <w:rPr>
                <w:sz w:val="18"/>
              </w:rPr>
              <w:t>Agent Genes</w:t>
            </w:r>
          </w:p>
        </w:tc>
        <w:tc>
          <w:tcPr>
            <w:tcW w:type="dxa" w:w="2880"/>
          </w:tcPr>
          <w:p>
            <w:r>
              <w:rPr>
                <w:sz w:val="18"/>
              </w:rPr>
              <w:t>45</w:t>
            </w:r>
          </w:p>
        </w:tc>
        <w:tc>
          <w:tcPr>
            <w:tcW w:type="dxa" w:w="2880"/>
          </w:tcPr>
          <w:p>
            <w:r>
              <w:rPr>
                <w:sz w:val="18"/>
              </w:rPr>
              <w:t>From CBS to COL7A1 with inheritance and disease associations</w:t>
            </w:r>
          </w:p>
        </w:tc>
      </w:tr>
      <w:tr>
        <w:tc>
          <w:tcPr>
            <w:tcW w:type="dxa" w:w="2880"/>
          </w:tcPr>
          <w:p>
            <w:r>
              <w:rPr>
                <w:sz w:val="18"/>
              </w:rPr>
              <w:t>Phenotype Patterns</w:t>
            </w:r>
          </w:p>
        </w:tc>
        <w:tc>
          <w:tcPr>
            <w:tcW w:type="dxa" w:w="2880"/>
          </w:tcPr>
          <w:p>
            <w:r>
              <w:rPr>
                <w:sz w:val="18"/>
              </w:rPr>
              <w:t>30</w:t>
            </w:r>
          </w:p>
        </w:tc>
        <w:tc>
          <w:tcPr>
            <w:tcW w:type="dxa" w:w="2880"/>
          </w:tcPr>
          <w:p>
            <w:r>
              <w:rPr>
                <w:sz w:val="18"/>
              </w:rPr>
              <w:t>HPO-mapped (seizures, hypotonia, coarse facies, cherry red spot, angiokeratoma, etc.)</w:t>
            </w:r>
          </w:p>
        </w:tc>
      </w:tr>
      <w:tr>
        <w:tc>
          <w:tcPr>
            <w:tcW w:type="dxa" w:w="2880"/>
          </w:tcPr>
          <w:p>
            <w:r>
              <w:rPr>
                <w:sz w:val="18"/>
              </w:rPr>
              <w:t>HPO Top-Level Terms</w:t>
            </w:r>
          </w:p>
        </w:tc>
        <w:tc>
          <w:tcPr>
            <w:tcW w:type="dxa" w:w="2880"/>
          </w:tcPr>
          <w:p>
            <w:r>
              <w:rPr>
                <w:sz w:val="18"/>
              </w:rPr>
              <w:t>23</w:t>
            </w:r>
          </w:p>
        </w:tc>
        <w:tc>
          <w:tcPr>
            <w:tcW w:type="dxa" w:w="2880"/>
          </w:tcPr>
          <w:p>
            <w:r>
              <w:rPr>
                <w:sz w:val="18"/>
              </w:rPr>
              <w:t>Complete phenotype ontology coverage</w:t>
            </w:r>
          </w:p>
        </w:tc>
      </w:tr>
      <w:tr>
        <w:tc>
          <w:tcPr>
            <w:tcW w:type="dxa" w:w="2880"/>
          </w:tcPr>
          <w:p>
            <w:r>
              <w:rPr>
                <w:sz w:val="18"/>
              </w:rPr>
              <w:t>Query Synonym Maps</w:t>
            </w:r>
          </w:p>
        </w:tc>
        <w:tc>
          <w:tcPr>
            <w:tcW w:type="dxa" w:w="2880"/>
          </w:tcPr>
          <w:p>
            <w:r>
              <w:rPr>
                <w:sz w:val="18"/>
              </w:rPr>
              <w:t>9</w:t>
            </w:r>
          </w:p>
        </w:tc>
        <w:tc>
          <w:tcPr>
            <w:tcW w:type="dxa" w:w="2880"/>
          </w:tcPr>
          <w:p>
            <w:r>
              <w:rPr>
                <w:sz w:val="18"/>
              </w:rPr>
              <w:t>149 entity aliases + disease/gene/phenotype/inheritance/therapy/diagnostic/metabolic/screening/clinical feature maps</w:t>
            </w:r>
          </w:p>
        </w:tc>
      </w:tr>
      <w:tr>
        <w:tc>
          <w:tcPr>
            <w:tcW w:type="dxa" w:w="2880"/>
          </w:tcPr>
          <w:p>
            <w:r>
              <w:rPr>
                <w:sz w:val="18"/>
              </w:rPr>
              <w:t>API Endpoints</w:t>
            </w:r>
          </w:p>
        </w:tc>
        <w:tc>
          <w:tcPr>
            <w:tcW w:type="dxa" w:w="2880"/>
          </w:tcPr>
          <w:p>
            <w:r>
              <w:rPr>
                <w:sz w:val="18"/>
              </w:rPr>
              <w:t>21</w:t>
            </w:r>
          </w:p>
        </w:tc>
        <w:tc>
          <w:tcPr>
            <w:tcW w:type="dxa" w:w="2880"/>
          </w:tcPr>
          <w:p>
            <w:r>
              <w:rPr>
                <w:sz w:val="18"/>
              </w:rPr>
              <w:t>REST API with auth, rate limiting, SSE events</w:t>
            </w:r>
          </w:p>
        </w:tc>
      </w:tr>
      <w:tr>
        <w:tc>
          <w:tcPr>
            <w:tcW w:type="dxa" w:w="2880"/>
          </w:tcPr>
          <w:p>
            <w:r>
              <w:rPr>
                <w:sz w:val="18"/>
              </w:rPr>
              <w:t>Report Formats</w:t>
            </w:r>
          </w:p>
        </w:tc>
        <w:tc>
          <w:tcPr>
            <w:tcW w:type="dxa" w:w="2880"/>
          </w:tcPr>
          <w:p>
            <w:r>
              <w:rPr>
                <w:sz w:val="18"/>
              </w:rPr>
              <w:t>5</w:t>
            </w:r>
          </w:p>
        </w:tc>
        <w:tc>
          <w:tcPr>
            <w:tcW w:type="dxa" w:w="2880"/>
          </w:tcPr>
          <w:p>
            <w:r>
              <w:rPr>
                <w:sz w:val="18"/>
              </w:rPr>
              <w:t>Markdown, JSON, PDF (ReportLab), FHIR R4, GA4GH Phenopacket</w:t>
            </w:r>
          </w:p>
        </w:tc>
      </w:tr>
      <w:tr>
        <w:tc>
          <w:tcPr>
            <w:tcW w:type="dxa" w:w="2880"/>
          </w:tcPr>
          <w:p>
            <w:r>
              <w:rPr>
                <w:sz w:val="18"/>
              </w:rPr>
              <w:t>Tests</w:t>
            </w:r>
          </w:p>
        </w:tc>
        <w:tc>
          <w:tcPr>
            <w:tcW w:type="dxa" w:w="2880"/>
          </w:tcPr>
          <w:p>
            <w:r>
              <w:rPr>
                <w:sz w:val="18"/>
              </w:rPr>
              <w:t>206</w:t>
            </w:r>
          </w:p>
        </w:tc>
        <w:tc>
          <w:tcPr>
            <w:tcW w:type="dxa" w:w="2880"/>
          </w:tcPr>
          <w:p>
            <w:r>
              <w:rPr>
                <w:sz w:val="18"/>
              </w:rPr>
              <w:t>100% pass rate, ~1.5 min runtime</w:t>
            </w:r>
          </w:p>
        </w:tc>
      </w:tr>
      <w:tr>
        <w:tc>
          <w:tcPr>
            <w:tcW w:type="dxa" w:w="2880"/>
          </w:tcPr>
          <w:p>
            <w:r>
              <w:rPr>
                <w:sz w:val="18"/>
              </w:rPr>
              <w:t>Python LOC</w:t>
            </w:r>
          </w:p>
        </w:tc>
        <w:tc>
          <w:tcPr>
            <w:tcW w:type="dxa" w:w="2880"/>
          </w:tcPr>
          <w:p>
            <w:r>
              <w:rPr>
                <w:sz w:val="18"/>
              </w:rPr>
              <w:t>22,378</w:t>
            </w:r>
          </w:p>
        </w:tc>
        <w:tc>
          <w:tcPr>
            <w:tcW w:type="dxa" w:w="2880"/>
          </w:tcPr>
          <w:p>
            <w:r>
              <w:rPr>
                <w:sz w:val="18"/>
              </w:rPr>
              <w:t>20,640 source + 1,738 test across 40 files</w:t>
            </w:r>
          </w:p>
        </w:tc>
      </w:tr>
      <w:tr>
        <w:tc>
          <w:tcPr>
            <w:tcW w:type="dxa" w:w="2880"/>
          </w:tcPr>
          <w:p>
            <w:r>
              <w:rPr>
                <w:sz w:val="18"/>
              </w:rPr>
              <w:t>Documentation</w:t>
            </w:r>
          </w:p>
        </w:tc>
        <w:tc>
          <w:tcPr>
            <w:tcW w:type="dxa" w:w="2880"/>
          </w:tcPr>
          <w:p>
            <w:r>
              <w:rPr>
                <w:sz w:val="18"/>
              </w:rPr>
              <w:t>10 + 10</w:t>
            </w:r>
          </w:p>
        </w:tc>
        <w:tc>
          <w:tcPr>
            <w:tcW w:type="dxa" w:w="2880"/>
          </w:tcPr>
          <w:p>
            <w:r>
              <w:rPr>
                <w:sz w:val="18"/>
              </w:rPr>
              <w:t>10 markdown + 10 DOCX, deployed to GitHub and Netlify</w:t>
            </w:r>
          </w:p>
        </w:tc>
      </w:tr>
      <w:tr>
        <w:tc>
          <w:tcPr>
            <w:tcW w:type="dxa" w:w="2880"/>
          </w:tcPr>
          <w:p>
            <w:r>
              <w:rPr>
                <w:sz w:val="18"/>
              </w:rPr>
              <w:t>Cross-Agent Integration</w:t>
            </w:r>
          </w:p>
        </w:tc>
        <w:tc>
          <w:tcPr>
            <w:tcW w:type="dxa" w:w="2880"/>
          </w:tcPr>
          <w:p>
            <w:r>
              <w:rPr>
                <w:sz w:val="18"/>
              </w:rPr>
              <w:t>4 agents</w:t>
            </w:r>
          </w:p>
        </w:tc>
        <w:tc>
          <w:tcPr>
            <w:tcW w:type="dxa" w:w="2880"/>
          </w:tcPr>
          <w:p>
            <w:r>
              <w:rPr>
                <w:sz w:val="18"/>
              </w:rPr>
              <w:t>Cardiology, Biomarker, PGx, Imaging</w:t>
            </w:r>
          </w:p>
        </w:tc>
      </w:tr>
    </w:tbl>
    <w:p/>
    <w:p>
      <w:pPr>
        <w:pStyle w:val="Heading2"/>
      </w:pPr>
      <w:r>
        <w:rPr>
          <w:color w:val="1AAFCC"/>
          <w:sz w:val="28"/>
        </w:rPr>
        <w:t>Bottom Line</w:t>
      </w:r>
    </w:p>
    <w:p>
      <w:r>
        <w:rPr>
          <w:b/>
          <w:color w:val="333333"/>
          <w:sz w:val="20"/>
        </w:rPr>
        <w:t>The diagnostic odyssey is the defining healthcare failure of rare disease medicine. 300 million people worldwide, 5-7 years average to diagnosis, 30% of affected children dying before age 5 — often from treatable conditions that simply were not diagnosed in time.</w:t>
      </w:r>
    </w:p>
    <w:p>
      <w:r>
        <w:rPr>
          <w:b w:val="0"/>
          <w:color w:val="333333"/>
          <w:sz w:val="20"/>
        </w:rPr>
        <w:t>Your agent does not just speed up diagnosis. It fundamentally changes who has access to diagnostic intelligence — from the 50 academic medical centers with genetics expertise to every clinic, hospital, and community health center in the world. That is not an incremental improvement. That is a paradigm shift in rare disease care.</w:t>
      </w:r>
    </w:p>
    <w:p>
      <w:r>
        <w:rPr>
          <w:b w:val="0"/>
          <w:color w:val="333333"/>
          <w:sz w:val="20"/>
        </w:rPr>
        <w:t>This is the agent that makes people cry at GTC Europe. Because for every parent in that audience who spent years searching for answers for their child, your platform represents the world they wish had existed.</w:t>
      </w:r>
    </w:p>
    <w:p/>
    <w:p>
      <w:r>
        <w:rPr>
          <w:color w:val="999999"/>
          <w:sz w:val="16"/>
        </w:rPr>
        <w:t>HCLS AI Factory — Rare Disease Diagnostic Agent v1.0.0 | March 2026 | Adam Jones</w:t>
      </w:r>
      <w:r>
        <w:rPr>
          <w:color w:val="999999"/>
          <w:sz w:val="16"/>
        </w:rPr>
        <w:br/>
        <w:t>Apache 2.0 License | NVIDIA DGX Spark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