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B2333"/>
        </w:rPr>
        <w:t>Rare Disease Diagnostic Agent -- Documentation Index</w:t>
      </w:r>
    </w:p>
    <w:p/>
    <w:p>
      <w:r>
        <w:rPr>
          <w:rFonts w:ascii="Calibri" w:hAnsi="Calibri"/>
          <w:b w:val="0"/>
          <w:i w:val="0"/>
          <w:color w:val="333333"/>
          <w:sz w:val="22"/>
        </w:rPr>
        <w:t>RAG-powered rare disease diagnostic support system built on Milvus, Claude, and BGE-small-en-v1.5.</w:t>
      </w:r>
    </w:p>
    <w:p>
      <w:r>
        <w:rPr>
          <w:rFonts w:ascii="Calibri" w:hAnsi="Calibri"/>
          <w:b w:val="0"/>
          <w:i w:val="0"/>
          <w:color w:val="333333"/>
          <w:sz w:val="22"/>
        </w:rPr>
        <w:t>Part of the [HCLS AI Factory](https://hcls-ai-factory.org) precision medicine platform.</w:t>
      </w:r>
    </w:p>
    <w:p/>
    <w:p>
      <w:r>
        <w:rPr>
          <w:rFonts w:ascii="Calibri" w:hAnsi="Calibri"/>
          <w:b/>
          <w:i w:val="0"/>
          <w:color w:val="333333"/>
          <w:sz w:val="22"/>
        </w:rPr>
        <w:t>Version: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1.0.0 | </w:t>
      </w:r>
      <w:r>
        <w:rPr>
          <w:rFonts w:ascii="Calibri" w:hAnsi="Calibri"/>
          <w:b/>
          <w:i w:val="0"/>
          <w:color w:val="333333"/>
          <w:sz w:val="22"/>
        </w:rPr>
        <w:t>Author:</w:t>
      </w:r>
      <w:r>
        <w:rPr>
          <w:rFonts w:ascii="Calibri" w:hAnsi="Calibri"/>
          <w:b w:val="0"/>
          <w:i w:val="0"/>
          <w:color w:val="333333"/>
          <w:sz w:val="22"/>
        </w:rPr>
        <w:t xml:space="preserve"> Adam Jones | </w:t>
      </w:r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March 2026</w:t>
      </w:r>
    </w:p>
    <w:p/>
    <w:p>
      <w:r>
        <w:t>____________________________________________________________</w:t>
      </w:r>
    </w:p>
    <w:p/>
    <w:p>
      <w:pPr>
        <w:pStyle w:val="Heading2"/>
      </w:pPr>
      <w:r>
        <w:rPr>
          <w:rFonts w:ascii="Calibri" w:hAnsi="Calibri"/>
          <w:color w:val="1B2333"/>
        </w:rPr>
        <w:t>Documentation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680"/>
            <w:shd w:fill="1B2333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t>[Project Bible](PROJECT_BIBLE.md)</w:t>
            </w:r>
          </w:p>
        </w:tc>
        <w:tc>
          <w:tcPr>
            <w:tcW w:type="dxa" w:w="4680"/>
          </w:tcPr>
          <w:p>
            <w:r>
              <w:t>Complete reference -- collections, workflows, API, configuration</w:t>
            </w:r>
          </w:p>
        </w:tc>
      </w:tr>
      <w:tr>
        <w:tc>
          <w:tcPr>
            <w:tcW w:type="dxa" w:w="4680"/>
          </w:tcPr>
          <w:p>
            <w:r>
              <w:t>[Architecture Guide](ARCHITECTURE_GUIDE.md)</w:t>
            </w:r>
          </w:p>
        </w:tc>
        <w:tc>
          <w:tcPr>
            <w:tcW w:type="dxa" w:w="4680"/>
          </w:tcPr>
          <w:p>
            <w:r>
              <w:t>System design, data flow, HPO matching pipeline, ACMG pipeline</w:t>
            </w:r>
          </w:p>
        </w:tc>
      </w:tr>
      <w:tr>
        <w:tc>
          <w:tcPr>
            <w:tcW w:type="dxa" w:w="4680"/>
          </w:tcPr>
          <w:p>
            <w:r>
              <w:t>[White Paper](WHITE_PAPER.md)</w:t>
            </w:r>
          </w:p>
        </w:tc>
        <w:tc>
          <w:tcPr>
            <w:tcW w:type="dxa" w:w="4680"/>
          </w:tcPr>
          <w:p>
            <w:r>
              <w:t>Diagnostic odyssey problem, RAG-based solution, validation</w:t>
            </w:r>
          </w:p>
        </w:tc>
      </w:tr>
      <w:tr>
        <w:tc>
          <w:tcPr>
            <w:tcW w:type="dxa" w:w="4680"/>
          </w:tcPr>
          <w:p>
            <w:r>
              <w:t>[Deployment Guide](DEPLOYMENT_GUIDE.md)</w:t>
            </w:r>
          </w:p>
        </w:tc>
        <w:tc>
          <w:tcPr>
            <w:tcW w:type="dxa" w:w="4680"/>
          </w:tcPr>
          <w:p>
            <w:r>
              <w:t>Docker Compose, manual setup, Milvus tuning, security</w:t>
            </w:r>
          </w:p>
        </w:tc>
      </w:tr>
      <w:tr>
        <w:tc>
          <w:tcPr>
            <w:tcW w:type="dxa" w:w="4680"/>
          </w:tcPr>
          <w:p>
            <w:r>
              <w:t>[Demo Guide](DEMO_GUIDE.md)</w:t>
            </w:r>
          </w:p>
        </w:tc>
        <w:tc>
          <w:tcPr>
            <w:tcW w:type="dxa" w:w="4680"/>
          </w:tcPr>
          <w:p>
            <w:r>
              <w:t>5-tab walkthrough, sample HPO queries, ACMG demo, gene therapy demo</w:t>
            </w:r>
          </w:p>
        </w:tc>
      </w:tr>
      <w:tr>
        <w:tc>
          <w:tcPr>
            <w:tcW w:type="dxa" w:w="4680"/>
          </w:tcPr>
          <w:p>
            <w:r>
              <w:t>[Learning Guide -- Foundations](LEARNING_GUIDE_FOUNDATIONS.md)</w:t>
            </w:r>
          </w:p>
        </w:tc>
        <w:tc>
          <w:tcPr>
            <w:tcW w:type="dxa" w:w="4680"/>
          </w:tcPr>
          <w:p>
            <w:r>
              <w:t>Rare disease primer, HPO ontology, ACMG criteria, inheritance, gene therapy</w:t>
            </w:r>
          </w:p>
        </w:tc>
      </w:tr>
      <w:tr>
        <w:tc>
          <w:tcPr>
            <w:tcW w:type="dxa" w:w="4680"/>
          </w:tcPr>
          <w:p>
            <w:r>
              <w:t>[Learning Guide -- Advanced](LEARNING_GUIDE_ADVANCED.md)</w:t>
            </w:r>
          </w:p>
        </w:tc>
        <w:tc>
          <w:tcPr>
            <w:tcW w:type="dxa" w:w="4680"/>
          </w:tcPr>
          <w:p>
            <w:r>
              <w:t>ACMG 28-criteria deep dive, phenotype matching, family segregation, natural history</w:t>
            </w:r>
          </w:p>
        </w:tc>
      </w:tr>
      <w:tr>
        <w:tc>
          <w:tcPr>
            <w:tcW w:type="dxa" w:w="4680"/>
          </w:tcPr>
          <w:p>
            <w:r>
              <w:t>[Production Readiness Report](PRODUCTION_READINESS_REPORT.md)</w:t>
            </w:r>
          </w:p>
        </w:tc>
        <w:tc>
          <w:tcPr>
            <w:tcW w:type="dxa" w:w="4680"/>
          </w:tcPr>
          <w:p>
            <w:r>
              <w:t>Capability matrix, test suite, deployment checklist</w:t>
            </w:r>
          </w:p>
        </w:tc>
      </w:tr>
      <w:tr>
        <w:tc>
          <w:tcPr>
            <w:tcW w:type="dxa" w:w="4680"/>
          </w:tcPr>
          <w:p>
            <w:r>
              <w:t>[Research Paper](RARE_DISEASE_DIAGNOSTIC_AGENT_RESEARCH_PAPER.md)</w:t>
            </w:r>
          </w:p>
        </w:tc>
        <w:tc>
          <w:tcPr>
            <w:tcW w:type="dxa" w:w="4680"/>
          </w:tcPr>
          <w:p>
            <w:r>
              <w:t>Full technical paper with PRD elements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333"/>
        </w:rPr>
        <w:t>Quick Links</w:t>
      </w:r>
    </w:p>
    <w:p/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Streamlit UI:</w:t>
      </w:r>
      <w:r>
        <w:rPr>
          <w:rFonts w:ascii="Calibri" w:hAnsi="Calibri"/>
          <w:b w:val="0"/>
          <w:i w:val="0"/>
          <w:color w:val="333333"/>
          <w:sz w:val="22"/>
        </w:rPr>
        <w:t xml:space="preserve"> Port 8544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FastAPI API:</w:t>
      </w:r>
      <w:r>
        <w:rPr>
          <w:rFonts w:ascii="Calibri" w:hAnsi="Calibri"/>
          <w:b w:val="0"/>
          <w:i w:val="0"/>
          <w:color w:val="333333"/>
          <w:sz w:val="22"/>
        </w:rPr>
        <w:t xml:space="preserve"> Port 8134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10 Diagnostic Workflows</w:t>
      </w:r>
      <w:r>
        <w:rPr>
          <w:rFonts w:ascii="Calibri" w:hAnsi="Calibri"/>
          <w:b w:val="0"/>
          <w:i w:val="0"/>
          <w:color w:val="333333"/>
          <w:sz w:val="22"/>
        </w:rPr>
        <w:t xml:space="preserve"> | </w:t>
      </w:r>
      <w:r>
        <w:rPr>
          <w:rFonts w:ascii="Calibri" w:hAnsi="Calibri"/>
          <w:b/>
          <w:i w:val="0"/>
          <w:color w:val="333333"/>
          <w:sz w:val="22"/>
        </w:rPr>
        <w:t>14 Vector Collections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| </w:t>
      </w:r>
      <w:r>
        <w:rPr>
          <w:rFonts w:ascii="Calibri" w:hAnsi="Calibri"/>
          <w:b/>
          <w:i w:val="0"/>
          <w:color w:val="333333"/>
          <w:sz w:val="22"/>
        </w:rPr>
        <w:t>13 Disease Categories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193 Tests</w:t>
      </w:r>
      <w:r>
        <w:rPr>
          <w:rFonts w:ascii="Calibri" w:hAnsi="Calibri"/>
          <w:b w:val="0"/>
          <w:i w:val="0"/>
          <w:color w:val="333333"/>
          <w:sz w:val="22"/>
        </w:rPr>
        <w:t xml:space="preserve"> | 100% Pass Rate | &lt;0.2s Runtime</w:t>
      </w:r>
    </w:p>
    <w:p/>
    <w:p>
      <w:r>
        <w:t>____________________________________________________________</w:t>
      </w:r>
    </w:p>
    <w:p/>
    <w:p>
      <w:r>
        <w:rPr>
          <w:rFonts w:ascii="Calibri" w:hAnsi="Calibri"/>
          <w:b w:val="0"/>
          <w:i/>
          <w:color w:val="333333"/>
          <w:sz w:val="22"/>
        </w:rPr>
        <w:t>Apache 2.0 License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Confidential — For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6"/>
      </w:rPr>
      <w:t>HCLS AI Factory — Rare Disease Diagnostic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