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B2333"/>
        </w:rPr>
        <w:t>Rare Disease Diagnostic Agent -- Learning Guide: Advanced Topics</w:t>
      </w:r>
    </w:p>
    <w:p/>
    <w:p>
      <w:r>
        <w:rPr>
          <w:rFonts w:ascii="Calibri" w:hAnsi="Calibri"/>
          <w:b/>
          <w:i w:val="0"/>
          <w:color w:val="333333"/>
          <w:sz w:val="22"/>
        </w:rPr>
        <w:t>ACMG 28-criteria deep dive, phenotype matching algorithms, family segregation analysis, natural history prediction, newborn screening expansion, and gene therapy pipelines.</w:t>
      </w:r>
    </w:p>
    <w:p/>
    <w:p>
      <w:r>
        <w:rPr>
          <w:rFonts w:ascii="Calibri" w:hAnsi="Calibri"/>
          <w:b/>
          <w:i w:val="0"/>
          <w:color w:val="333333"/>
          <w:sz w:val="22"/>
        </w:rPr>
        <w:t>Version: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1.0.0</w:t>
      </w:r>
    </w:p>
    <w:p>
      <w:r>
        <w:rPr>
          <w:rFonts w:ascii="Calibri" w:hAnsi="Calibri"/>
          <w:b/>
          <w:i w:val="0"/>
          <w:color w:val="333333"/>
          <w:sz w:val="22"/>
        </w:rPr>
        <w:t>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March 22, 2026</w:t>
      </w:r>
    </w:p>
    <w:p>
      <w:r>
        <w:rPr>
          <w:rFonts w:ascii="Calibri" w:hAnsi="Calibri"/>
          <w:b/>
          <w:i w:val="0"/>
          <w:color w:val="333333"/>
          <w:sz w:val="22"/>
        </w:rPr>
        <w:t>Author:</w:t>
      </w:r>
      <w:r>
        <w:rPr>
          <w:rFonts w:ascii="Calibri" w:hAnsi="Calibri"/>
          <w:b w:val="0"/>
          <w:i w:val="0"/>
          <w:color w:val="333333"/>
          <w:sz w:val="22"/>
        </w:rPr>
        <w:t xml:space="preserve"> Adam Jones</w:t>
      </w:r>
    </w:p>
    <w:p>
      <w:r>
        <w:rPr>
          <w:rFonts w:ascii="Calibri" w:hAnsi="Calibri"/>
          <w:b/>
          <w:i w:val="0"/>
          <w:color w:val="333333"/>
          <w:sz w:val="22"/>
        </w:rPr>
        <w:t>Platform:</w:t>
      </w:r>
      <w:r>
        <w:rPr>
          <w:rFonts w:ascii="Calibri" w:hAnsi="Calibri"/>
          <w:b w:val="0"/>
          <w:i w:val="0"/>
          <w:color w:val="333333"/>
          <w:sz w:val="22"/>
        </w:rPr>
        <w:t xml:space="preserve"> NVIDIA DGX Spark -- HCLS AI Factory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Table of Contents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[ACMG 28-Criteria Deep Dive](#1-acmg-28-criteria-deep-dive)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[Phenotype Matching Algorithms](#2-phenotype-matching-algorithms)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[Family Segregation Analysis](#3-family-segregation-analysis)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[Natural History Prediction](#4-natural-history-prediction)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[Newborn Screening Expansion](#5-newborn-screening-expansion)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[Gene Therapy Pipelines](#6-gene-therapy-pipelines)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[Diagnostic Yield Optimization](#7-diagnostic-yield-optimization)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[Multi-Omics Integration](#8-multi-omics-integration)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[Undiagnosed Disease Programs](#9-undiagnosed-disease-programs)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[Pharmacogenomics in Rare Disease](#10-pharmacogenomics-in-rare-disease)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[Ethical Considerations](#11-ethical-considerations)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[The Future of Rare Disease Diagnosis](#12-the-future-of-rare-disease-diagnosis)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1. ACMG 28-Criteria Deep Dive</w:t>
      </w:r>
    </w:p>
    <w:p/>
    <w:p>
      <w:pPr>
        <w:pStyle w:val="Heading3"/>
      </w:pPr>
      <w:r>
        <w:rPr>
          <w:rFonts w:ascii="Calibri" w:hAnsi="Calibri"/>
          <w:color w:val="1AAFCC"/>
        </w:rPr>
        <w:t>1.1 Pathogenic Criteria -- Very Strong</w:t>
      </w:r>
    </w:p>
    <w:p/>
    <w:p>
      <w:pPr>
        <w:pStyle w:val="Heading4"/>
      </w:pPr>
      <w:r>
        <w:rPr>
          <w:rFonts w:ascii="Calibri" w:hAnsi="Calibri"/>
          <w:color w:val="1AAFCC"/>
        </w:rPr>
        <w:t>PVS1: Null Variant in LOF-Intolerant Gene</w:t>
      </w:r>
    </w:p>
    <w:p/>
    <w:p>
      <w:r>
        <w:rPr>
          <w:rFonts w:ascii="Calibri" w:hAnsi="Calibri"/>
          <w:b/>
          <w:i w:val="0"/>
          <w:color w:val="333333"/>
          <w:sz w:val="22"/>
        </w:rPr>
        <w:t>What it means:</w:t>
      </w:r>
      <w:r>
        <w:rPr>
          <w:rFonts w:ascii="Calibri" w:hAnsi="Calibri"/>
          <w:b w:val="0"/>
          <w:i w:val="0"/>
          <w:color w:val="333333"/>
          <w:sz w:val="22"/>
        </w:rPr>
        <w:t xml:space="preserve"> A variant that completely disrupts gene function (loss-of-function) in a gene where haploinsufficiency is a known disease mechanism.</w:t>
      </w:r>
    </w:p>
    <w:p/>
    <w:p>
      <w:r>
        <w:rPr>
          <w:rFonts w:ascii="Calibri" w:hAnsi="Calibri"/>
          <w:b/>
          <w:i w:val="0"/>
          <w:color w:val="333333"/>
          <w:sz w:val="22"/>
        </w:rPr>
        <w:t>Qualifying variant types: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Nonsense (premature stop codon)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Frameshift (reading frame disruption)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Canonical splice site (+/-1,2 positions)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Initiation codon (start loss)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Single or multi-exon deletion</w:t>
      </w:r>
    </w:p>
    <w:p/>
    <w:p>
      <w:r>
        <w:rPr>
          <w:rFonts w:ascii="Calibri" w:hAnsi="Calibri"/>
          <w:b/>
          <w:i w:val="0"/>
          <w:color w:val="333333"/>
          <w:sz w:val="22"/>
        </w:rPr>
        <w:t>LOF intolerance assessment: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gnomAD pLI score &gt; 0.9 indicates intolerance to LOF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LOEUF (Loss of Expected Upper Fraction) &lt; 0.35 is the newer metric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Gene must have established LOF mechanism for the disease in question</w:t>
      </w:r>
    </w:p>
    <w:p/>
    <w:p>
      <w:r>
        <w:rPr>
          <w:rFonts w:ascii="Calibri" w:hAnsi="Calibri"/>
          <w:b/>
          <w:i w:val="0"/>
          <w:color w:val="333333"/>
          <w:sz w:val="22"/>
        </w:rPr>
        <w:t>Caveats: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Does NOT apply to genes where disease is caused by gain-of-function (e.g., some SCN5A variants)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Reduced strength for: last exon truncation, alternative transcripts, rescue by nonsense-mediated decay escape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The ClinGen Sequence Variant Interpretation (SVI) workgroup provides detailed decision trees for PVS1 application</w:t>
      </w:r>
    </w:p>
    <w:p/>
    <w:p>
      <w:r>
        <w:rPr>
          <w:rFonts w:ascii="Calibri" w:hAnsi="Calibri"/>
          <w:b/>
          <w:i w:val="0"/>
          <w:color w:val="333333"/>
          <w:sz w:val="22"/>
        </w:rPr>
        <w:t>Agent implementation: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system maintains a curated list of 20 LOF-intolerant genes including SCN1A, MECP2, KCNQ1, KCNH2, SCN5A, MYH7, MYBPC3, FBN1, COL1A1, COL1A2, HTT, NSD1, NIPBL, KMT2D, CHD7, PTPN11, RAF1, BRAF, FGFR3, and TCOF1.</w:t>
      </w:r>
    </w:p>
    <w:p/>
    <w:p>
      <w:pPr>
        <w:pStyle w:val="Heading3"/>
      </w:pPr>
      <w:r>
        <w:rPr>
          <w:rFonts w:ascii="Calibri" w:hAnsi="Calibri"/>
          <w:color w:val="1AAFCC"/>
        </w:rPr>
        <w:t>1.2 Pathogenic Criteria -- Strong (PS1-PS4)</w:t>
      </w:r>
    </w:p>
    <w:p/>
    <w:p>
      <w:pPr>
        <w:pStyle w:val="Heading4"/>
      </w:pPr>
      <w:r>
        <w:rPr>
          <w:rFonts w:ascii="Calibri" w:hAnsi="Calibri"/>
          <w:color w:val="1AAFCC"/>
        </w:rPr>
        <w:t>PS1: Same Amino Acid Change as Established Pathogenic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same amino acid substitution has been previously established as pathogenic, regardless of the nucleotide change. Example: If p.Arg412Gly in FBN1 is pathogenic, then any nucleotide change producing p.Arg412Gly is PS1-eligible.</w:t>
      </w:r>
    </w:p>
    <w:p/>
    <w:p>
      <w:r>
        <w:rPr>
          <w:rFonts w:ascii="Calibri" w:hAnsi="Calibri"/>
          <w:b/>
          <w:i w:val="0"/>
          <w:color w:val="333333"/>
          <w:sz w:val="22"/>
        </w:rPr>
        <w:t>Caveat:</w:t>
      </w:r>
      <w:r>
        <w:rPr>
          <w:rFonts w:ascii="Calibri" w:hAnsi="Calibri"/>
          <w:b w:val="0"/>
          <w:i w:val="0"/>
          <w:color w:val="333333"/>
          <w:sz w:val="22"/>
        </w:rPr>
        <w:t xml:space="preserve"> Must verify the nucleotide change does not alter splicing differently.</w:t>
      </w:r>
    </w:p>
    <w:p/>
    <w:p>
      <w:pPr>
        <w:pStyle w:val="Heading4"/>
      </w:pPr>
      <w:r>
        <w:rPr>
          <w:rFonts w:ascii="Calibri" w:hAnsi="Calibri"/>
          <w:color w:val="1AAFCC"/>
        </w:rPr>
        <w:t>PS2: De Novo (Both Maternity and Paternity Confirmed)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 de novo variant in a patient with the disease and no family history. Requires confirmation through testing of both biological parents.</w:t>
      </w:r>
    </w:p>
    <w:p/>
    <w:p>
      <w:r>
        <w:rPr>
          <w:rFonts w:ascii="Calibri" w:hAnsi="Calibri"/>
          <w:b/>
          <w:i w:val="0"/>
          <w:color w:val="333333"/>
          <w:sz w:val="22"/>
        </w:rPr>
        <w:t>Strength modifiers: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Confirmed de novo (both parents tested): Full PS2 strength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Assumed de novo (parents not available): Downgraded to PM6</w:t>
      </w:r>
    </w:p>
    <w:p/>
    <w:p>
      <w:pPr>
        <w:pStyle w:val="Heading4"/>
      </w:pPr>
      <w:r>
        <w:rPr>
          <w:rFonts w:ascii="Calibri" w:hAnsi="Calibri"/>
          <w:color w:val="1AAFCC"/>
        </w:rPr>
        <w:t>PS3: Well-Established In Vitro or In Vivo Functional Studies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Functional studies demonstrate a damaging effect on the gene product. Examples: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Enzyme activity assay showing &lt; 10% residual activity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Electrophysiology studies showing altered channel function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Mouse model with disease phenotype when carrying the variant</w:t>
      </w:r>
    </w:p>
    <w:p/>
    <w:p>
      <w:r>
        <w:rPr>
          <w:rFonts w:ascii="Calibri" w:hAnsi="Calibri"/>
          <w:b/>
          <w:i w:val="0"/>
          <w:color w:val="333333"/>
          <w:sz w:val="22"/>
        </w:rPr>
        <w:t>The challenge:</w:t>
      </w:r>
      <w:r>
        <w:rPr>
          <w:rFonts w:ascii="Calibri" w:hAnsi="Calibri"/>
          <w:b w:val="0"/>
          <w:i w:val="0"/>
          <w:color w:val="333333"/>
          <w:sz w:val="22"/>
        </w:rPr>
        <w:t xml:space="preserve"> Not all functional studies are equally reliable. ClinGen provides gene-specific guidance on which assays qualify for PS3.</w:t>
      </w:r>
    </w:p>
    <w:p/>
    <w:p>
      <w:pPr>
        <w:pStyle w:val="Heading4"/>
      </w:pPr>
      <w:r>
        <w:rPr>
          <w:rFonts w:ascii="Calibri" w:hAnsi="Calibri"/>
          <w:color w:val="1AAFCC"/>
        </w:rPr>
        <w:t>PS4: Prevalence in Affected Individuals Significantly Increased vs Controls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Statistical evidence that the variant occurs significantly more often in affected individuals than in matched controls. Requires case-control data with adequate sample sizes and population matching.</w:t>
      </w:r>
    </w:p>
    <w:p/>
    <w:p>
      <w:pPr>
        <w:pStyle w:val="Heading3"/>
      </w:pPr>
      <w:r>
        <w:rPr>
          <w:rFonts w:ascii="Calibri" w:hAnsi="Calibri"/>
          <w:color w:val="1AAFCC"/>
        </w:rPr>
        <w:t>1.3 Pathogenic Criteria -- Moderate (PM1-PM6)</w:t>
      </w:r>
    </w:p>
    <w:p/>
    <w:p>
      <w:pPr>
        <w:pStyle w:val="Heading4"/>
      </w:pPr>
      <w:r>
        <w:rPr>
          <w:rFonts w:ascii="Calibri" w:hAnsi="Calibri"/>
          <w:color w:val="1AAFCC"/>
        </w:rPr>
        <w:t>PM1: Mutational Hot Spot / Critical Functional Domain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variant is located in a well-established functional domain or known mutational hot spot. The agent maintains hot spot coordinates for: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FGFR3: positions 370-380 (transmembrane domain -- achondroplasia)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BRAF: positions 594-601 (kinase domain)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KRAS: positions 10-15, 58-63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TP53: positions 125-300 (DNA-binding domain)</w:t>
      </w:r>
    </w:p>
    <w:p/>
    <w:p>
      <w:pPr>
        <w:pStyle w:val="Heading4"/>
      </w:pPr>
      <w:r>
        <w:rPr>
          <w:rFonts w:ascii="Calibri" w:hAnsi="Calibri"/>
          <w:color w:val="1AAFCC"/>
        </w:rPr>
        <w:t>PM2: Absent from Controls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variant is absent from or at extremely low frequency (&lt; 0.0001) in gnomAD and other population databases. This criterion has been refined by ClinGen SVI to use population-specific frequency thresholds that account for disease prevalence and penetrance.</w:t>
      </w:r>
    </w:p>
    <w:p/>
    <w:p>
      <w:pPr>
        <w:pStyle w:val="Heading4"/>
      </w:pPr>
      <w:r>
        <w:rPr>
          <w:rFonts w:ascii="Calibri" w:hAnsi="Calibri"/>
          <w:color w:val="1AAFCC"/>
        </w:rPr>
        <w:t>PM3: In Trans with a Known Pathogenic Variant (Recessive Disorders)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For autosomal recessive conditions, detecting the variant in trans (on the opposite chromosome) from a known pathogenic variant supports pathogenicity. Ideally confirmed by phasing through parental testing.</w:t>
      </w:r>
    </w:p>
    <w:p/>
    <w:p>
      <w:pPr>
        <w:pStyle w:val="Heading4"/>
      </w:pPr>
      <w:r>
        <w:rPr>
          <w:rFonts w:ascii="Calibri" w:hAnsi="Calibri"/>
          <w:color w:val="1AAFCC"/>
        </w:rPr>
        <w:t>PM4: Protein Length Change in Non-Repeat Region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In-frame deletions or insertions that alter protein length, provided they are NOT in a repetitive region (which would trigger BP3 instead).</w:t>
      </w:r>
    </w:p>
    <w:p/>
    <w:p>
      <w:pPr>
        <w:pStyle w:val="Heading4"/>
      </w:pPr>
      <w:r>
        <w:rPr>
          <w:rFonts w:ascii="Calibri" w:hAnsi="Calibri"/>
          <w:color w:val="1AAFCC"/>
        </w:rPr>
        <w:t>PM5: Novel Missense at an Established Pathogenic Position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 different amino acid substitution at the same position where another missense has been established as pathogenic. Example: If p.Arg412Gly is pathogenic, then p.Arg412Trp at the same position qualifies for PM5.</w:t>
      </w:r>
    </w:p>
    <w:p/>
    <w:p>
      <w:pPr>
        <w:pStyle w:val="Heading4"/>
      </w:pPr>
      <w:r>
        <w:rPr>
          <w:rFonts w:ascii="Calibri" w:hAnsi="Calibri"/>
          <w:color w:val="1AAFCC"/>
        </w:rPr>
        <w:t>PM6: Assumed De Novo Without Parental Confirmation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Used when paternity and/or maternity is assumed but not confirmed through testing. Weaker than PS2.</w:t>
      </w:r>
    </w:p>
    <w:p/>
    <w:p>
      <w:pPr>
        <w:pStyle w:val="Heading3"/>
      </w:pPr>
      <w:r>
        <w:rPr>
          <w:rFonts w:ascii="Calibri" w:hAnsi="Calibri"/>
          <w:color w:val="1AAFCC"/>
        </w:rPr>
        <w:t>1.4 Pathogenic Criteria -- Supporting (PP1-PP5)</w:t>
      </w:r>
    </w:p>
    <w:p/>
    <w:p>
      <w:pPr>
        <w:pStyle w:val="Heading4"/>
      </w:pPr>
      <w:r>
        <w:rPr>
          <w:rFonts w:ascii="Calibri" w:hAnsi="Calibri"/>
          <w:color w:val="1AAFCC"/>
        </w:rPr>
        <w:t>PP1: Cosegregation with Disease in Multiple Affected Family Members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variant tracks with the disease through the family pedigree. Strength is proportional to the number of informative meioses (see Section 3 on LOD scores).</w:t>
      </w:r>
    </w:p>
    <w:p/>
    <w:p>
      <w:pPr>
        <w:pStyle w:val="Heading4"/>
      </w:pPr>
      <w:r>
        <w:rPr>
          <w:rFonts w:ascii="Calibri" w:hAnsi="Calibri"/>
          <w:color w:val="1AAFCC"/>
        </w:rPr>
        <w:t>PP2: Missense in a Gene with Low Rate of Benign Missense Variation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Some genes are intolerant to missense variation -- nearly all observed missense variants in these genes are pathogenic. The gene's missense Z-score in gnomAD quantifies this constraint.</w:t>
      </w:r>
    </w:p>
    <w:p/>
    <w:p>
      <w:pPr>
        <w:pStyle w:val="Heading4"/>
      </w:pPr>
      <w:r>
        <w:rPr>
          <w:rFonts w:ascii="Calibri" w:hAnsi="Calibri"/>
          <w:color w:val="1AAFCC"/>
        </w:rPr>
        <w:t>PP3: Multiple Lines of Computational Evidence Support Deleterious Effect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 xml:space="preserve">In silico prediction tools (REVEL, CADD, PolyPhen-2, SIFT, MutationTaster) concordantly predict the variant is damaging. The agent evaluates the </w:t>
      </w:r>
      <w:r>
        <w:rPr>
          <w:rFonts w:ascii="Courier New" w:hAnsi="Courier New"/>
          <w:b w:val="0"/>
          <w:i w:val="0"/>
          <w:color w:val="444444"/>
          <w:sz w:val="20"/>
        </w:rPr>
        <w:t>computational_prediction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field.</w:t>
      </w:r>
    </w:p>
    <w:p/>
    <w:p>
      <w:pPr>
        <w:pStyle w:val="Heading4"/>
      </w:pPr>
      <w:r>
        <w:rPr>
          <w:rFonts w:ascii="Calibri" w:hAnsi="Calibri"/>
          <w:color w:val="1AAFCC"/>
        </w:rPr>
        <w:t>PP4: Patient Phenotype Highly Specific for a Disease with a Single Genetic Etiology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When the clinical presentation is pathognomonic for a specific genetic disease. Example: ectopia lentis + tall stature + aortic root dilation is highly specific for Marfan syndrome (FBN1).</w:t>
      </w:r>
    </w:p>
    <w:p/>
    <w:p>
      <w:pPr>
        <w:pStyle w:val="Heading4"/>
      </w:pPr>
      <w:r>
        <w:rPr>
          <w:rFonts w:ascii="Calibri" w:hAnsi="Calibri"/>
          <w:color w:val="1AAFCC"/>
        </w:rPr>
        <w:t>PP5: Reputable Source Recently Reports Variant as Pathogenic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 ClinVar submission from a reputable laboratory classifies the variant as pathogenic. Note: ClinGen SVI has recommended retiring PP5 in favor of directly evaluating the underlying evidence.</w:t>
      </w:r>
    </w:p>
    <w:p/>
    <w:p>
      <w:pPr>
        <w:pStyle w:val="Heading3"/>
      </w:pPr>
      <w:r>
        <w:rPr>
          <w:rFonts w:ascii="Calibri" w:hAnsi="Calibri"/>
          <w:color w:val="1AAFCC"/>
        </w:rPr>
        <w:t>1.5 Benign Criteria (BA1, BS1-BS2, BP1-BP7)</w:t>
      </w:r>
    </w:p>
    <w:p/>
    <w:p>
      <w:pPr>
        <w:pStyle w:val="Heading4"/>
      </w:pPr>
      <w:r>
        <w:rPr>
          <w:rFonts w:ascii="Calibri" w:hAnsi="Calibri"/>
          <w:color w:val="1AAFCC"/>
        </w:rPr>
        <w:t>BA1: Population Frequency &gt; 5% (Standalone Benign)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Any variant with allele frequency &gt; 5% in gnomAD or other population databases is classified as benign immediately, regardless of other evidence. This is the only standalone criterion in the ACMG framework.</w:t>
      </w:r>
    </w:p>
    <w:p/>
    <w:p>
      <w:r>
        <w:rPr>
          <w:rFonts w:ascii="Calibri" w:hAnsi="Calibri"/>
          <w:b/>
          <w:i w:val="0"/>
          <w:color w:val="333333"/>
          <w:sz w:val="22"/>
        </w:rPr>
        <w:t>Exception: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Some conditions (e.g., hereditary hemochromatosis, HFE C282Y at 5-10% in Northern Europeans) have specific BA1 exemptions.</w:t>
      </w:r>
    </w:p>
    <w:p/>
    <w:p>
      <w:pPr>
        <w:pStyle w:val="Heading4"/>
      </w:pPr>
      <w:r>
        <w:rPr>
          <w:rFonts w:ascii="Calibri" w:hAnsi="Calibri"/>
          <w:color w:val="1AAFCC"/>
        </w:rPr>
        <w:t>BS1: Greater Than Expected Frequency for Disorder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Allele frequency is higher than expected for the disease given its prevalence and penetrance. Calculated using the Hardy-Weinberg equation and disease-specific parameters.</w:t>
      </w:r>
    </w:p>
    <w:p/>
    <w:p>
      <w:pPr>
        <w:pStyle w:val="Heading4"/>
      </w:pPr>
      <w:r>
        <w:rPr>
          <w:rFonts w:ascii="Calibri" w:hAnsi="Calibri"/>
          <w:color w:val="1AAFCC"/>
        </w:rPr>
        <w:t>BS2: Observed in a Healthy Adult with Full Penetrance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variant is observed in a healthy individual who has passed the age of expected disease onset, for a condition with complete penetrance. Strongest evidence for conditions like Huntington disease where penetrance is ~100%.</w:t>
      </w:r>
    </w:p>
    <w:p/>
    <w:p>
      <w:pPr>
        <w:pStyle w:val="Heading4"/>
      </w:pPr>
      <w:r>
        <w:rPr>
          <w:rFonts w:ascii="Calibri" w:hAnsi="Calibri"/>
          <w:color w:val="1AAFCC"/>
        </w:rPr>
        <w:t>BP1-BP7: Supporting Benign Evidence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BP1:</w:t>
      </w:r>
      <w:r>
        <w:rPr>
          <w:rFonts w:ascii="Calibri" w:hAnsi="Calibri"/>
          <w:b w:val="0"/>
          <w:i w:val="0"/>
          <w:color w:val="333333"/>
          <w:sz w:val="22"/>
        </w:rPr>
        <w:t xml:space="preserve"> Missense in gene where only truncating variants cause disease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BP3:</w:t>
      </w:r>
      <w:r>
        <w:rPr>
          <w:rFonts w:ascii="Calibri" w:hAnsi="Calibri"/>
          <w:b w:val="0"/>
          <w:i w:val="0"/>
          <w:color w:val="333333"/>
          <w:sz w:val="22"/>
        </w:rPr>
        <w:t xml:space="preserve"> In-frame indel in repetitive region without known function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BP4:</w:t>
      </w:r>
      <w:r>
        <w:rPr>
          <w:rFonts w:ascii="Calibri" w:hAnsi="Calibri"/>
          <w:b w:val="0"/>
          <w:i w:val="0"/>
          <w:color w:val="333333"/>
          <w:sz w:val="22"/>
        </w:rPr>
        <w:t xml:space="preserve"> Multiple computational predictors suggest no functional impact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BP6:</w:t>
      </w:r>
      <w:r>
        <w:rPr>
          <w:rFonts w:ascii="Calibri" w:hAnsi="Calibri"/>
          <w:b w:val="0"/>
          <w:i w:val="0"/>
          <w:color w:val="333333"/>
          <w:sz w:val="22"/>
        </w:rPr>
        <w:t xml:space="preserve"> Reputable source reports variant as benign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BP7:</w:t>
      </w:r>
      <w:r>
        <w:rPr>
          <w:rFonts w:ascii="Calibri" w:hAnsi="Calibri"/>
          <w:b w:val="0"/>
          <w:i w:val="0"/>
          <w:color w:val="333333"/>
          <w:sz w:val="22"/>
        </w:rPr>
        <w:t xml:space="preserve"> Synonymous variant with no predicted splice effect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2. Phenotype Matching Algorithms</w:t>
      </w:r>
    </w:p>
    <w:p/>
    <w:p>
      <w:pPr>
        <w:pStyle w:val="Heading3"/>
      </w:pPr>
      <w:r>
        <w:rPr>
          <w:rFonts w:ascii="Calibri" w:hAnsi="Calibri"/>
          <w:color w:val="1AAFCC"/>
        </w:rPr>
        <w:t>2.1 Information Content (IC) Scoring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IC quantifies the discriminating power of a phenotype term: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IC(t) = -log2(p(t))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Where p(t) is the fraction of diseases annotated with term t in HPO.</w:t>
      </w:r>
    </w:p>
    <w:p/>
    <w:p>
      <w:r>
        <w:rPr>
          <w:rFonts w:ascii="Calibri" w:hAnsi="Calibri"/>
          <w:b/>
          <w:i w:val="0"/>
          <w:color w:val="333333"/>
          <w:sz w:val="22"/>
        </w:rPr>
        <w:t>Properties: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IC increases as term frequency decreases (rarer = more informative)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Root terms (e.g., "Phenotypic abnormality") have IC near 0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Leaf terms (e.g., "Genu recurvatum") have high IC (6-10)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IC is additive: total information from independent terms sums</w:t>
      </w:r>
    </w:p>
    <w:p/>
    <w:p>
      <w:pPr>
        <w:pStyle w:val="Heading3"/>
      </w:pPr>
      <w:r>
        <w:rPr>
          <w:rFonts w:ascii="Calibri" w:hAnsi="Calibri"/>
          <w:color w:val="1AAFCC"/>
        </w:rPr>
        <w:t>2.2 Best-Match-Average (BMA) Similarity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BMA is the standard algorithm for phenotype profile comparison in rare disease: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BMA(P, D) = 0.5 * (avg_p + avg_d)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avg_p = (1/|P|) * SUM over p in P of: max over d in D of sim(p, d)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avg_d = (1/|D|) * SUM over d in D of: max over p in P of sim(d, p)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Where sim(a, b) is the IC of the most informative common ancestor (MICA) of terms a and b.</w:t>
      </w:r>
    </w:p>
    <w:p/>
    <w:p>
      <w:r>
        <w:rPr>
          <w:rFonts w:ascii="Calibri" w:hAnsi="Calibri"/>
          <w:b/>
          <w:i w:val="0"/>
          <w:color w:val="333333"/>
          <w:sz w:val="22"/>
        </w:rPr>
        <w:t>Advantages: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Bidirectional: penalizes both missing and extra phenotypes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IC-weighted: specific matches count more than generic ones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Handles partial matches gracefully</w:t>
      </w:r>
    </w:p>
    <w:p/>
    <w:p>
      <w:pPr>
        <w:pStyle w:val="Heading3"/>
      </w:pPr>
      <w:r>
        <w:rPr>
          <w:rFonts w:ascii="Calibri" w:hAnsi="Calibri"/>
          <w:color w:val="1AAFCC"/>
        </w:rPr>
        <w:t>2.3 Resnik Similarity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Resnik similarity between two HPO terms is the IC of their Most Informative Common Ancestor (MICA):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sim_Resnik(t1, t2) = IC(MICA(t1, t2))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For exact matches, sim_Resnik equals the IC of the term itself. For related but non-identical terms, the similarity is the IC of their shared ancestor.</w:t>
      </w:r>
    </w:p>
    <w:p/>
    <w:p>
      <w:pPr>
        <w:pStyle w:val="Heading3"/>
      </w:pPr>
      <w:r>
        <w:rPr>
          <w:rFonts w:ascii="Calibri" w:hAnsi="Calibri"/>
          <w:color w:val="1AAFCC"/>
        </w:rPr>
        <w:t>2.4 Lin Similarity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Lin similarity normalizes Resnik similarity: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sim_Lin(t1, t2) = (2 * IC(MICA(t1, t2))) / (IC(t1) + IC(t2))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This produces values in [0, 1], making comparison across term pairs more interpretable.</w:t>
      </w:r>
    </w:p>
    <w:p/>
    <w:p>
      <w:pPr>
        <w:pStyle w:val="Heading3"/>
      </w:pPr>
      <w:r>
        <w:rPr>
          <w:rFonts w:ascii="Calibri" w:hAnsi="Calibri"/>
          <w:color w:val="1AAFCC"/>
        </w:rPr>
        <w:t>2.5 Agent Implementation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Rare Disease Diagnostic Agent uses a combined scoring approach: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combined = BMA * 0.7 + freq_weight * 0.3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Where freq_weight incorporates the frequency of each matched phenotype within the specific gene-disease association. A phenotype that is present in 95% of patients with a disease contributes more than one present in only 30%.</w:t>
      </w:r>
    </w:p>
    <w:p/>
    <w:p>
      <w:pPr>
        <w:pStyle w:val="Heading3"/>
      </w:pPr>
      <w:r>
        <w:rPr>
          <w:rFonts w:ascii="Calibri" w:hAnsi="Calibri"/>
          <w:color w:val="1AAFCC"/>
        </w:rPr>
        <w:t>2.6 Ranking Algorithm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Compute BMA similarity for each candidate gene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Weight by phenotype frequency in gene-disease association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Combine: 70% BMA + 30% frequency weight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Normalize to [0, 1]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Sort descending, return top_k candidates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3. Family Segregation Analysis</w:t>
      </w:r>
    </w:p>
    <w:p/>
    <w:p>
      <w:pPr>
        <w:pStyle w:val="Heading3"/>
      </w:pPr>
      <w:r>
        <w:rPr>
          <w:rFonts w:ascii="Calibri" w:hAnsi="Calibri"/>
          <w:color w:val="1AAFCC"/>
        </w:rPr>
        <w:t>3.1 LOD Scores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LOD (Logarithm of Odds) score is the standard measure for evaluating genetic linkage and variant-disease cosegregation: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LOD = log10(L(theta=0) / L(theta=0.5))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Where: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theta = 0: complete linkage (variant and disease always co-occur)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theta = 0.5: no linkage (random association)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L: likelihood of observed data under each model</w:t>
      </w:r>
    </w:p>
    <w:p/>
    <w:p>
      <w:pPr>
        <w:pStyle w:val="Heading3"/>
      </w:pPr>
      <w:r>
        <w:rPr>
          <w:rFonts w:ascii="Calibri" w:hAnsi="Calibri"/>
          <w:color w:val="1AAFCC"/>
        </w:rPr>
        <w:t>3.2 ACMG Segregation Evidence Levels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ClinGen has calibrated LOD scores to ACMG evidence strength: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LOD Score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ACMG Evidence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&gt;= 3.0</w:t>
            </w:r>
          </w:p>
        </w:tc>
        <w:tc>
          <w:tcPr>
            <w:tcW w:type="dxa" w:w="3120"/>
          </w:tcPr>
          <w:p>
            <w:r>
              <w:t>PS (Strong)</w:t>
            </w:r>
          </w:p>
        </w:tc>
        <w:tc>
          <w:tcPr>
            <w:tcW w:type="dxa" w:w="3120"/>
          </w:tcPr>
          <w:p>
            <w:r>
              <w:t>Equivalent to p &lt; 0.001</w:t>
            </w:r>
          </w:p>
        </w:tc>
      </w:tr>
      <w:tr>
        <w:tc>
          <w:tcPr>
            <w:tcW w:type="dxa" w:w="3120"/>
          </w:tcPr>
          <w:p>
            <w:r>
              <w:t>1.5 - 2.99</w:t>
            </w:r>
          </w:p>
        </w:tc>
        <w:tc>
          <w:tcPr>
            <w:tcW w:type="dxa" w:w="3120"/>
          </w:tcPr>
          <w:p>
            <w:r>
              <w:t>PM (Moderate)</w:t>
            </w:r>
          </w:p>
        </w:tc>
        <w:tc>
          <w:tcPr>
            <w:tcW w:type="dxa" w:w="3120"/>
          </w:tcPr>
          <w:p>
            <w:r>
              <w:t>Significant but not conclusive</w:t>
            </w:r>
          </w:p>
        </w:tc>
      </w:tr>
      <w:tr>
        <w:tc>
          <w:tcPr>
            <w:tcW w:type="dxa" w:w="3120"/>
          </w:tcPr>
          <w:p>
            <w:r>
              <w:t>0.6 - 1.49</w:t>
            </w:r>
          </w:p>
        </w:tc>
        <w:tc>
          <w:tcPr>
            <w:tcW w:type="dxa" w:w="3120"/>
          </w:tcPr>
          <w:p>
            <w:r>
              <w:t>PP (Supporting)</w:t>
            </w:r>
          </w:p>
        </w:tc>
        <w:tc>
          <w:tcPr>
            <w:tcW w:type="dxa" w:w="3120"/>
          </w:tcPr>
          <w:p>
            <w:r>
              <w:t>Suggestive cosegregation</w:t>
            </w:r>
          </w:p>
        </w:tc>
      </w:tr>
      <w:tr>
        <w:tc>
          <w:tcPr>
            <w:tcW w:type="dxa" w:w="3120"/>
          </w:tcPr>
          <w:p>
            <w:r>
              <w:t>&lt; 0.6</w:t>
            </w:r>
          </w:p>
        </w:tc>
        <w:tc>
          <w:tcPr>
            <w:tcW w:type="dxa" w:w="3120"/>
          </w:tcPr>
          <w:p>
            <w:r>
              <w:t>Insufficient</w:t>
            </w:r>
          </w:p>
        </w:tc>
        <w:tc>
          <w:tcPr>
            <w:tcW w:type="dxa" w:w="3120"/>
          </w:tcPr>
          <w:p>
            <w:r>
              <w:t>Not enough informative meioses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3.3 Required Family Size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Inheritance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Informative Meioses for PS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Typical Family Size</w:t>
            </w:r>
          </w:p>
        </w:tc>
      </w:tr>
      <w:tr>
        <w:tc>
          <w:tcPr>
            <w:tcW w:type="dxa" w:w="3120"/>
          </w:tcPr>
          <w:p>
            <w:r>
              <w:t>Autosomal Dominant</w:t>
            </w:r>
          </w:p>
        </w:tc>
        <w:tc>
          <w:tcPr>
            <w:tcW w:type="dxa" w:w="3120"/>
          </w:tcPr>
          <w:p>
            <w:r>
              <w:t>7+ affected carriers</w:t>
            </w:r>
          </w:p>
        </w:tc>
        <w:tc>
          <w:tcPr>
            <w:tcW w:type="dxa" w:w="3120"/>
          </w:tcPr>
          <w:p>
            <w:r>
              <w:t>~3 generation family</w:t>
            </w:r>
          </w:p>
        </w:tc>
      </w:tr>
      <w:tr>
        <w:tc>
          <w:tcPr>
            <w:tcW w:type="dxa" w:w="3120"/>
          </w:tcPr>
          <w:p>
            <w:r>
              <w:t>Autosomal Recessive</w:t>
            </w:r>
          </w:p>
        </w:tc>
        <w:tc>
          <w:tcPr>
            <w:tcW w:type="dxa" w:w="3120"/>
          </w:tcPr>
          <w:p>
            <w:r>
              <w:t>5+ (including obligate carriers)</w:t>
            </w:r>
          </w:p>
        </w:tc>
        <w:tc>
          <w:tcPr>
            <w:tcW w:type="dxa" w:w="3120"/>
          </w:tcPr>
          <w:p>
            <w:r>
              <w:t>Multiple siblings</w:t>
            </w:r>
          </w:p>
        </w:tc>
      </w:tr>
      <w:tr>
        <w:tc>
          <w:tcPr>
            <w:tcW w:type="dxa" w:w="3120"/>
          </w:tcPr>
          <w:p>
            <w:r>
              <w:t>X-Linked Recessive</w:t>
            </w:r>
          </w:p>
        </w:tc>
        <w:tc>
          <w:tcPr>
            <w:tcW w:type="dxa" w:w="3120"/>
          </w:tcPr>
          <w:p>
            <w:r>
              <w:t>5+</w:t>
            </w:r>
          </w:p>
        </w:tc>
        <w:tc>
          <w:tcPr>
            <w:tcW w:type="dxa" w:w="3120"/>
          </w:tcPr>
          <w:p>
            <w:r>
              <w:t>Multiple generations through carrier females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3.4 Agent Implementation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Family Segregation Analyzer implements simplified LOD scoring: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Each concordant meiosis (affected carries variant, unaffected does not): +0.3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Each discordant meiosis (affected lacks variant, or unaffected carries it): -1.0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Supports AD, AR, XLD, XLR inheritance models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Outputs LOD score, ACMG evidence level, concordant/discordant counts</w:t>
      </w:r>
    </w:p>
    <w:p/>
    <w:p>
      <w:pPr>
        <w:pStyle w:val="Heading3"/>
      </w:pPr>
      <w:r>
        <w:rPr>
          <w:rFonts w:ascii="Calibri" w:hAnsi="Calibri"/>
          <w:color w:val="1AAFCC"/>
        </w:rPr>
        <w:t>3.5 Pitfalls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Reduced penetrance:</w:t>
      </w:r>
      <w:r>
        <w:rPr>
          <w:rFonts w:ascii="Calibri" w:hAnsi="Calibri"/>
          <w:b w:val="0"/>
          <w:i w:val="0"/>
          <w:color w:val="333333"/>
          <w:sz w:val="22"/>
        </w:rPr>
        <w:t xml:space="preserve"> Non-penetrant carriers appear discordant but are not truly so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Phenocopies: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Unrelated causes of similar phenotypes inflate discordance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Small families: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Single nuclear family provides limited evidence (LOD typically &lt; 1.0)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De novo variants:</w:t>
      </w:r>
      <w:r>
        <w:rPr>
          <w:rFonts w:ascii="Calibri" w:hAnsi="Calibri"/>
          <w:b w:val="0"/>
          <w:i w:val="0"/>
          <w:color w:val="333333"/>
          <w:sz w:val="22"/>
        </w:rPr>
        <w:t xml:space="preserve"> Family segregation is uninformative for de novo events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4. Natural History Prediction</w:t>
      </w:r>
    </w:p>
    <w:p/>
    <w:p>
      <w:pPr>
        <w:pStyle w:val="Heading3"/>
      </w:pPr>
      <w:r>
        <w:rPr>
          <w:rFonts w:ascii="Calibri" w:hAnsi="Calibri"/>
          <w:color w:val="1AAFCC"/>
        </w:rPr>
        <w:t>4.1 What Is Natural History?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Natural history describes the typical disease course over a patient's lifetime: age of onset, progression rate, milestone events, complications, and survival. Understanding natural history is essential for: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Prognostic counseling for families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Anticipatory management (preventing complications before they occur)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Treatment timing decisions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Clinical trial endpoint selection</w:t>
      </w:r>
    </w:p>
    <w:p/>
    <w:p>
      <w:pPr>
        <w:pStyle w:val="Heading3"/>
      </w:pPr>
      <w:r>
        <w:rPr>
          <w:rFonts w:ascii="Calibri" w:hAnsi="Calibri"/>
          <w:color w:val="1AAFCC"/>
        </w:rPr>
        <w:t>4.2 Data Sources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Strength</w:t>
            </w:r>
          </w:p>
        </w:tc>
      </w:tr>
      <w:tr>
        <w:tc>
          <w:tcPr>
            <w:tcW w:type="dxa" w:w="3120"/>
          </w:tcPr>
          <w:p>
            <w:r>
              <w:t>Patient registries</w:t>
            </w:r>
          </w:p>
        </w:tc>
        <w:tc>
          <w:tcPr>
            <w:tcW w:type="dxa" w:w="3120"/>
          </w:tcPr>
          <w:p>
            <w:r>
              <w:t>Prospective cohort</w:t>
            </w:r>
          </w:p>
        </w:tc>
        <w:tc>
          <w:tcPr>
            <w:tcW w:type="dxa" w:w="3120"/>
          </w:tcPr>
          <w:p>
            <w:r>
              <w:t>Large sample, standardized data</w:t>
            </w:r>
          </w:p>
        </w:tc>
      </w:tr>
      <w:tr>
        <w:tc>
          <w:tcPr>
            <w:tcW w:type="dxa" w:w="3120"/>
          </w:tcPr>
          <w:p>
            <w:r>
              <w:t>Published cohort studies</w:t>
            </w:r>
          </w:p>
        </w:tc>
        <w:tc>
          <w:tcPr>
            <w:tcW w:type="dxa" w:w="3120"/>
          </w:tcPr>
          <w:p>
            <w:r>
              <w:t>Retrospective</w:t>
            </w:r>
          </w:p>
        </w:tc>
        <w:tc>
          <w:tcPr>
            <w:tcW w:type="dxa" w:w="3120"/>
          </w:tcPr>
          <w:p>
            <w:r>
              <w:t>Variable quality, publication bias</w:t>
            </w:r>
          </w:p>
        </w:tc>
      </w:tr>
      <w:tr>
        <w:tc>
          <w:tcPr>
            <w:tcW w:type="dxa" w:w="3120"/>
          </w:tcPr>
          <w:p>
            <w:r>
              <w:t>Case reports</w:t>
            </w:r>
          </w:p>
        </w:tc>
        <w:tc>
          <w:tcPr>
            <w:tcW w:type="dxa" w:w="3120"/>
          </w:tcPr>
          <w:p>
            <w:r>
              <w:t>Individual</w:t>
            </w:r>
          </w:p>
        </w:tc>
        <w:tc>
          <w:tcPr>
            <w:tcW w:type="dxa" w:w="3120"/>
          </w:tcPr>
          <w:p>
            <w:r>
              <w:t>Anecdotal, biased toward unusual presentations</w:t>
            </w:r>
          </w:p>
        </w:tc>
      </w:tr>
      <w:tr>
        <w:tc>
          <w:tcPr>
            <w:tcW w:type="dxa" w:w="3120"/>
          </w:tcPr>
          <w:p>
            <w:r>
              <w:t>Clinical trials (natural history arms)</w:t>
            </w:r>
          </w:p>
        </w:tc>
        <w:tc>
          <w:tcPr>
            <w:tcW w:type="dxa" w:w="3120"/>
          </w:tcPr>
          <w:p>
            <w:r>
              <w:t>Prospective</w:t>
            </w:r>
          </w:p>
        </w:tc>
        <w:tc>
          <w:tcPr>
            <w:tcW w:type="dxa" w:w="3120"/>
          </w:tcPr>
          <w:p>
            <w:r>
              <w:t>Well-characterized but small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4.3 Agent Implementation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Natural History Predictor covers 6 well-characterized diseases:</w:t>
      </w:r>
    </w:p>
    <w:p/>
    <w:p>
      <w:r>
        <w:rPr>
          <w:rFonts w:ascii="Calibri" w:hAnsi="Calibri"/>
          <w:b/>
          <w:i w:val="0"/>
          <w:color w:val="333333"/>
          <w:sz w:val="22"/>
        </w:rPr>
        <w:t>SMA Type 1: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Symptom onset: 0-6 months (median 3)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Loss of head control: 3-12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Ventilatory support: 6-24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Mortality without treatment: 12-48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Modifier: SMN2 copy number (3 copies = milder)</w:t>
      </w:r>
    </w:p>
    <w:p/>
    <w:p>
      <w:r>
        <w:rPr>
          <w:rFonts w:ascii="Calibri" w:hAnsi="Calibri"/>
          <w:b/>
          <w:i w:val="0"/>
          <w:color w:val="333333"/>
          <w:sz w:val="22"/>
        </w:rPr>
        <w:t>Duchenne Muscular Dystrophy: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Gait abnormality onset: 24-60 months (median 36)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Loss of ambulation: 84-156 months (median 120)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Cardiomyopathy onset: 120-216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Ventilatory support: 180-264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Modifier: Exon-skippable mutations (therapy-eligible)</w:t>
      </w:r>
    </w:p>
    <w:p/>
    <w:p>
      <w:r>
        <w:rPr>
          <w:rFonts w:ascii="Calibri" w:hAnsi="Calibri"/>
          <w:b/>
          <w:i w:val="0"/>
          <w:color w:val="333333"/>
          <w:sz w:val="22"/>
        </w:rPr>
        <w:t>Cystic Fibrosis: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NBS diagnosis: 0-6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First Pseudomonas: 6-120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FEV1 decline: 72-216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Modifier: CFTR modulators dramatically extend survival</w:t>
      </w:r>
    </w:p>
    <w:p/>
    <w:p>
      <w:r>
        <w:rPr>
          <w:rFonts w:ascii="Calibri" w:hAnsi="Calibri"/>
          <w:b/>
          <w:i w:val="0"/>
          <w:color w:val="333333"/>
          <w:sz w:val="22"/>
        </w:rPr>
        <w:t>PKU: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NBS detection: birth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Diet initiation: within 3 weeks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Normal IQ if treated early; IQ &lt; 50 if untreated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Modifier: BH4-responsive mutations allow diet relaxation</w:t>
      </w:r>
    </w:p>
    <w:p/>
    <w:p>
      <w:r>
        <w:rPr>
          <w:rFonts w:ascii="Calibri" w:hAnsi="Calibri"/>
          <w:b/>
          <w:i w:val="0"/>
          <w:color w:val="333333"/>
          <w:sz w:val="22"/>
        </w:rPr>
        <w:t>Marfan Syndrome: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Diagnosis: 24-240 months (highly variable)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Aortic root dilation: 60-360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Aortic dissection risk: 240-600 months (untreated)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Modifier: Haploinsufficiency variants generally more severe</w:t>
      </w:r>
    </w:p>
    <w:p/>
    <w:p>
      <w:r>
        <w:rPr>
          <w:rFonts w:ascii="Calibri" w:hAnsi="Calibri"/>
          <w:b/>
          <w:i w:val="0"/>
          <w:color w:val="333333"/>
          <w:sz w:val="22"/>
        </w:rPr>
        <w:t>Dravet Syndrome: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First febrile seizure: 4-12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Afebrile seizures: 8-24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Developmental plateau: 18-36 months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Modifier: Truncating SCN1A variants = more severe</w:t>
      </w:r>
    </w:p>
    <w:p/>
    <w:p>
      <w:pPr>
        <w:pStyle w:val="Heading3"/>
      </w:pPr>
      <w:r>
        <w:rPr>
          <w:rFonts w:ascii="Calibri" w:hAnsi="Calibri"/>
          <w:color w:val="1AAFCC"/>
        </w:rPr>
        <w:t>4.4 Genotype-Phenotype Correlation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Disease course often depends on the specific genotype: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Disease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Modifier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3120"/>
          </w:tcPr>
          <w:p>
            <w:r>
              <w:t>SMA</w:t>
            </w:r>
          </w:p>
        </w:tc>
        <w:tc>
          <w:tcPr>
            <w:tcW w:type="dxa" w:w="3120"/>
          </w:tcPr>
          <w:p>
            <w:r>
              <w:t>SMN2 copies</w:t>
            </w:r>
          </w:p>
        </w:tc>
        <w:tc>
          <w:tcPr>
            <w:tcW w:type="dxa" w:w="3120"/>
          </w:tcPr>
          <w:p>
            <w:r>
              <w:t>More copies = milder disease</w:t>
            </w:r>
          </w:p>
        </w:tc>
      </w:tr>
      <w:tr>
        <w:tc>
          <w:tcPr>
            <w:tcW w:type="dxa" w:w="3120"/>
          </w:tcPr>
          <w:p>
            <w:r>
              <w:t>CF</w:t>
            </w:r>
          </w:p>
        </w:tc>
        <w:tc>
          <w:tcPr>
            <w:tcW w:type="dxa" w:w="3120"/>
          </w:tcPr>
          <w:p>
            <w:r>
              <w:t>F508del homozygous</w:t>
            </w:r>
          </w:p>
        </w:tc>
        <w:tc>
          <w:tcPr>
            <w:tcW w:type="dxa" w:w="3120"/>
          </w:tcPr>
          <w:p>
            <w:r>
              <w:t>Trikafta-eligible = dramatically improved</w:t>
            </w:r>
          </w:p>
        </w:tc>
      </w:tr>
      <w:tr>
        <w:tc>
          <w:tcPr>
            <w:tcW w:type="dxa" w:w="3120"/>
          </w:tcPr>
          <w:p>
            <w:r>
              <w:t>DMD</w:t>
            </w:r>
          </w:p>
        </w:tc>
        <w:tc>
          <w:tcPr>
            <w:tcW w:type="dxa" w:w="3120"/>
          </w:tcPr>
          <w:p>
            <w:r>
              <w:t>Exon-skippable mutation</w:t>
            </w:r>
          </w:p>
        </w:tc>
        <w:tc>
          <w:tcPr>
            <w:tcW w:type="dxa" w:w="3120"/>
          </w:tcPr>
          <w:p>
            <w:r>
              <w:t>Eligible for exon-skipping therapy</w:t>
            </w:r>
          </w:p>
        </w:tc>
      </w:tr>
      <w:tr>
        <w:tc>
          <w:tcPr>
            <w:tcW w:type="dxa" w:w="3120"/>
          </w:tcPr>
          <w:p>
            <w:r>
              <w:t>Dravet</w:t>
            </w:r>
          </w:p>
        </w:tc>
        <w:tc>
          <w:tcPr>
            <w:tcW w:type="dxa" w:w="3120"/>
          </w:tcPr>
          <w:p>
            <w:r>
              <w:t>Truncating vs missense SCN1A</w:t>
            </w:r>
          </w:p>
        </w:tc>
        <w:tc>
          <w:tcPr>
            <w:tcW w:type="dxa" w:w="3120"/>
          </w:tcPr>
          <w:p>
            <w:r>
              <w:t>Truncating = more severe</w:t>
            </w:r>
          </w:p>
        </w:tc>
      </w:tr>
      <w:tr>
        <w:tc>
          <w:tcPr>
            <w:tcW w:type="dxa" w:w="3120"/>
          </w:tcPr>
          <w:p>
            <w:r>
              <w:t>Marfan</w:t>
            </w:r>
          </w:p>
        </w:tc>
        <w:tc>
          <w:tcPr>
            <w:tcW w:type="dxa" w:w="3120"/>
          </w:tcPr>
          <w:p>
            <w:r>
              <w:t>Haploinsufficiency vs dominant-negative</w:t>
            </w:r>
          </w:p>
        </w:tc>
        <w:tc>
          <w:tcPr>
            <w:tcW w:type="dxa" w:w="3120"/>
          </w:tcPr>
          <w:p>
            <w:r>
              <w:t>Haploinsufficiency = more severe cardiovascular</w:t>
            </w:r>
          </w:p>
        </w:tc>
      </w:tr>
      <w:tr>
        <w:tc>
          <w:tcPr>
            <w:tcW w:type="dxa" w:w="3120"/>
          </w:tcPr>
          <w:p>
            <w:r>
              <w:t>PKU</w:t>
            </w:r>
          </w:p>
        </w:tc>
        <w:tc>
          <w:tcPr>
            <w:tcW w:type="dxa" w:w="3120"/>
          </w:tcPr>
          <w:p>
            <w:r>
              <w:t>BH4-responsive PAH mutations</w:t>
            </w:r>
          </w:p>
        </w:tc>
        <w:tc>
          <w:tcPr>
            <w:tcW w:type="dxa" w:w="3120"/>
          </w:tcPr>
          <w:p>
            <w:r>
              <w:t>Sapropterin may allow diet relaxation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5. Newborn Screening Expansion</w:t>
      </w:r>
    </w:p>
    <w:p/>
    <w:p>
      <w:pPr>
        <w:pStyle w:val="Heading3"/>
      </w:pPr>
      <w:r>
        <w:rPr>
          <w:rFonts w:ascii="Calibri" w:hAnsi="Calibri"/>
          <w:color w:val="1AAFCC"/>
        </w:rPr>
        <w:t>5.1 Current State of NBS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US Recommended Uniform Screening Panel (RUSP) has expanded from 4 conditions in 1960 to 37 core conditions and 26 secondary conditions in 2024. Recent additions include: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SMA (2018) -- detectable by DNA-based testing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Pompe disease (2015) -- enzyme activity assay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MPS I (2016) -- enzyme activity assay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X-ALD (2016) -- C26:0-lysophosphatidylcholine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MPS II (2022) -- enzyme activity assay</w:t>
      </w:r>
    </w:p>
    <w:p/>
    <w:p>
      <w:pPr>
        <w:pStyle w:val="Heading3"/>
      </w:pPr>
      <w:r>
        <w:rPr>
          <w:rFonts w:ascii="Calibri" w:hAnsi="Calibri"/>
          <w:color w:val="1AAFCC"/>
        </w:rPr>
        <w:t>5.2 Genomic NBS (gNBS)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Pilot programs are evaluating whole-genome sequencing of all newborns: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BabySeq (US):</w:t>
      </w:r>
      <w:r>
        <w:rPr>
          <w:rFonts w:ascii="Calibri" w:hAnsi="Calibri"/>
          <w:b w:val="0"/>
          <w:i w:val="0"/>
          <w:color w:val="333333"/>
          <w:sz w:val="22"/>
        </w:rPr>
        <w:t xml:space="preserve"> Demonstrated 9.4% of healthy newborns carry actionable genetic findings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Genomics England NBS (UK):</w:t>
      </w:r>
      <w:r>
        <w:rPr>
          <w:rFonts w:ascii="Calibri" w:hAnsi="Calibri"/>
          <w:b w:val="0"/>
          <w:i w:val="0"/>
          <w:color w:val="333333"/>
          <w:sz w:val="22"/>
        </w:rPr>
        <w:t xml:space="preserve"> Screening for ~200 conditions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BeginNGS (US):</w:t>
      </w:r>
      <w:r>
        <w:rPr>
          <w:rFonts w:ascii="Calibri" w:hAnsi="Calibri"/>
          <w:b w:val="0"/>
          <w:i w:val="0"/>
          <w:color w:val="333333"/>
          <w:sz w:val="22"/>
        </w:rPr>
        <w:t xml:space="preserve"> Screening for actionable conditions with available treatments</w:t>
      </w:r>
    </w:p>
    <w:p/>
    <w:p>
      <w:pPr>
        <w:pStyle w:val="Heading3"/>
      </w:pPr>
      <w:r>
        <w:rPr>
          <w:rFonts w:ascii="Calibri" w:hAnsi="Calibri"/>
          <w:color w:val="1AAFCC"/>
        </w:rPr>
        <w:t>5.3 Expansion Criteria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 condition should be added to NBS if: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It can be detected reliably in the newborn period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Early detection improves outcomes compared to clinical diagnosis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An effective treatment or management strategy exists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A suitable screening test is available at acceptable cost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A follow-up system can handle positive results</w:t>
      </w:r>
    </w:p>
    <w:p/>
    <w:p>
      <w:pPr>
        <w:pStyle w:val="Heading3"/>
      </w:pPr>
      <w:r>
        <w:rPr>
          <w:rFonts w:ascii="Calibri" w:hAnsi="Calibri"/>
          <w:color w:val="1AAFCC"/>
        </w:rPr>
        <w:t>5.4 Challenges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False positives: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NBS generates many false positives, causing family anxiety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VUS in genomic NBS:</w:t>
      </w:r>
      <w:r>
        <w:rPr>
          <w:rFonts w:ascii="Calibri" w:hAnsi="Calibri"/>
          <w:b w:val="0"/>
          <w:i w:val="0"/>
          <w:color w:val="333333"/>
          <w:sz w:val="22"/>
        </w:rPr>
        <w:t xml:space="preserve"> WGS identifies many VUS that create clinical uncertainty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Equity:</w:t>
      </w:r>
      <w:r>
        <w:rPr>
          <w:rFonts w:ascii="Calibri" w:hAnsi="Calibri"/>
          <w:b w:val="0"/>
          <w:i w:val="0"/>
          <w:color w:val="333333"/>
          <w:sz w:val="22"/>
        </w:rPr>
        <w:t xml:space="preserve"> Not all states/countries screen for the same conditions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Incidental findings:</w:t>
      </w:r>
      <w:r>
        <w:rPr>
          <w:rFonts w:ascii="Calibri" w:hAnsi="Calibri"/>
          <w:b w:val="0"/>
          <w:i w:val="0"/>
          <w:color w:val="333333"/>
          <w:sz w:val="22"/>
        </w:rPr>
        <w:t xml:space="preserve"> Genomic NBS may reveal untreatable conditions or adult-onset risks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Infrastructure:</w:t>
      </w:r>
      <w:r>
        <w:rPr>
          <w:rFonts w:ascii="Calibri" w:hAnsi="Calibri"/>
          <w:b w:val="0"/>
          <w:i w:val="0"/>
          <w:color w:val="333333"/>
          <w:sz w:val="22"/>
        </w:rPr>
        <w:t xml:space="preserve"> Follow-up systems struggle to handle increased volume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6. Gene Therapy Pipelines</w:t>
      </w:r>
    </w:p>
    <w:p/>
    <w:p>
      <w:pPr>
        <w:pStyle w:val="Heading3"/>
      </w:pPr>
      <w:r>
        <w:rPr>
          <w:rFonts w:ascii="Calibri" w:hAnsi="Calibri"/>
          <w:color w:val="1AAFCC"/>
        </w:rPr>
        <w:t>6.1 AAV Gene Replacement Pipeline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1. Identify target gene and disease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2. Design AAV transgene cassette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Promoter selection (tissue-specific or ubiquitous)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Codon optimization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Regulatory elements (enhancer, polyA)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3. Select AAV serotype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AAV9: crosses blood-brain barrier (SMA, neurological)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AAV2: retinal tropism (LCA)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AAV5: hepatic tropism (hemophilia)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AAVrh74: muscle tropism (DMD)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4. Vector production (HEK293 cells)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5. Preclinical testing (mouse -&gt; NHP)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6. IND filing and clinical trial phases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7. BLA filing and FDA review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8. Manufacturing scale-up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9. Commercial launch and patient access</w:t>
      </w:r>
    </w:p>
    <w:p/>
    <w:p>
      <w:pPr>
        <w:pStyle w:val="Heading3"/>
      </w:pPr>
      <w:r>
        <w:rPr>
          <w:rFonts w:ascii="Calibri" w:hAnsi="Calibri"/>
          <w:color w:val="1AAFCC"/>
        </w:rPr>
        <w:t>6.2 CRISPR Gene Editing Pipeline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1. Design guide RNA (gRNA) targeting pathogenic locus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2. Select editing strategy: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Gene knockout (disrupt deleterious allele)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Gene correction (HDR to fix point mutation)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Base editing (single nucleotide change without DSB)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- Prime editing (precise insertion/deletion)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3. Ex vivo workflow: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a. Harvest patient stem cells (HSCs or T cells)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b. Electroporate CRISPR components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c. Select edited cells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d. Myeloablative conditioning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e. Reinfuse edited cells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4. In vivo workflow (future):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a. Lipid nanoparticle (LNP) delivery to target organ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b. Direct administration</w:t>
      </w:r>
    </w:p>
    <w:p/>
    <w:p>
      <w:pPr>
        <w:pStyle w:val="Heading3"/>
      </w:pPr>
      <w:r>
        <w:rPr>
          <w:rFonts w:ascii="Calibri" w:hAnsi="Calibri"/>
          <w:color w:val="1AAFCC"/>
        </w:rPr>
        <w:t>6.3 Lentiviral Gene Addition Pipeline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1. Design lentiviral vector with therapeutic transgene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2. Self-inactivating (SIN) vector design for safety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3. Ex vivo workflow: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a. Mobilize and harvest patient HSCs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b. Transduce with lentiviral vector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c. Quality control (VCN, sterility, identity)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d. Myeloablative conditioning (busulfan)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e. Reinfuse transduced cells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4. Engraftment monitoring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5. Long-term follow-up (integration site analysis)</w:t>
      </w:r>
    </w:p>
    <w:p/>
    <w:p>
      <w:pPr>
        <w:pStyle w:val="Heading3"/>
      </w:pPr>
      <w:r>
        <w:rPr>
          <w:rFonts w:ascii="Calibri" w:hAnsi="Calibri"/>
          <w:color w:val="1AAFCC"/>
        </w:rPr>
        <w:t>6.4 Eligibility Assessment Framework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agent evaluates gene therapy eligibility across multiple dimensions: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4680"/>
          </w:tcPr>
          <w:p>
            <w:r>
              <w:t>Disease confirmation</w:t>
            </w:r>
          </w:p>
        </w:tc>
        <w:tc>
          <w:tcPr>
            <w:tcW w:type="dxa" w:w="4680"/>
          </w:tcPr>
          <w:p>
            <w:r>
              <w:t>Molecular diagnosis with confirmed pathogenic variant</w:t>
            </w:r>
          </w:p>
        </w:tc>
      </w:tr>
      <w:tr>
        <w:tc>
          <w:tcPr>
            <w:tcW w:type="dxa" w:w="4680"/>
          </w:tcPr>
          <w:p>
            <w:r>
              <w:t>Genotype compatibility</w:t>
            </w:r>
          </w:p>
        </w:tc>
        <w:tc>
          <w:tcPr>
            <w:tcW w:type="dxa" w:w="4680"/>
          </w:tcPr>
          <w:p>
            <w:r>
              <w:t>Variant type compatible with therapy mechanism</w:t>
            </w:r>
          </w:p>
        </w:tc>
      </w:tr>
      <w:tr>
        <w:tc>
          <w:tcPr>
            <w:tcW w:type="dxa" w:w="4680"/>
          </w:tcPr>
          <w:p>
            <w:r>
              <w:t>Age eligibility</w:t>
            </w:r>
          </w:p>
        </w:tc>
        <w:tc>
          <w:tcPr>
            <w:tcW w:type="dxa" w:w="4680"/>
          </w:tcPr>
          <w:p>
            <w:r>
              <w:t>Within approved age window</w:t>
            </w:r>
          </w:p>
        </w:tc>
      </w:tr>
      <w:tr>
        <w:tc>
          <w:tcPr>
            <w:tcW w:type="dxa" w:w="4680"/>
          </w:tcPr>
          <w:p>
            <w:r>
              <w:t>Organ function</w:t>
            </w:r>
          </w:p>
        </w:tc>
        <w:tc>
          <w:tcPr>
            <w:tcW w:type="dxa" w:w="4680"/>
          </w:tcPr>
          <w:p>
            <w:r>
              <w:t>Sufficient baseline function for benefit</w:t>
            </w:r>
          </w:p>
        </w:tc>
      </w:tr>
      <w:tr>
        <w:tc>
          <w:tcPr>
            <w:tcW w:type="dxa" w:w="4680"/>
          </w:tcPr>
          <w:p>
            <w:r>
              <w:t>Anti-AAV antibodies</w:t>
            </w:r>
          </w:p>
        </w:tc>
        <w:tc>
          <w:tcPr>
            <w:tcW w:type="dxa" w:w="4680"/>
          </w:tcPr>
          <w:p>
            <w:r>
              <w:t>Seropositive patients may be ineligible for AAV therapies</w:t>
            </w:r>
          </w:p>
        </w:tc>
      </w:tr>
      <w:tr>
        <w:tc>
          <w:tcPr>
            <w:tcW w:type="dxa" w:w="4680"/>
          </w:tcPr>
          <w:p>
            <w:r>
              <w:t>Prior gene therapy</w:t>
            </w:r>
          </w:p>
        </w:tc>
        <w:tc>
          <w:tcPr>
            <w:tcW w:type="dxa" w:w="4680"/>
          </w:tcPr>
          <w:p>
            <w:r>
              <w:t>Most AAV therapies are one-time only</w:t>
            </w:r>
          </w:p>
        </w:tc>
      </w:tr>
      <w:tr>
        <w:tc>
          <w:tcPr>
            <w:tcW w:type="dxa" w:w="4680"/>
          </w:tcPr>
          <w:p>
            <w:r>
              <w:t>Geographic access</w:t>
            </w:r>
          </w:p>
        </w:tc>
        <w:tc>
          <w:tcPr>
            <w:tcW w:type="dxa" w:w="4680"/>
          </w:tcPr>
          <w:p>
            <w:r>
              <w:t>Therapy availability by region</w:t>
            </w:r>
          </w:p>
        </w:tc>
      </w:tr>
      <w:tr>
        <w:tc>
          <w:tcPr>
            <w:tcW w:type="dxa" w:w="4680"/>
          </w:tcPr>
          <w:p>
            <w:r>
              <w:t>Insurance coverage</w:t>
            </w:r>
          </w:p>
        </w:tc>
        <w:tc>
          <w:tcPr>
            <w:tcW w:type="dxa" w:w="4680"/>
          </w:tcPr>
          <w:p>
            <w:r>
              <w:t>Authorization and funding pathway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7. Diagnostic Yield Optimization</w:t>
      </w:r>
    </w:p>
    <w:p/>
    <w:p>
      <w:pPr>
        <w:pStyle w:val="Heading3"/>
      </w:pPr>
      <w:r>
        <w:rPr>
          <w:rFonts w:ascii="Calibri" w:hAnsi="Calibri"/>
          <w:color w:val="1AAFCC"/>
        </w:rPr>
        <w:t>7.1 Testing Strategy by Phenotype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Clinical Scenario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Optimal First Test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Expected Yield</w:t>
            </w:r>
          </w:p>
        </w:tc>
      </w:tr>
      <w:tr>
        <w:tc>
          <w:tcPr>
            <w:tcW w:type="dxa" w:w="3120"/>
          </w:tcPr>
          <w:p>
            <w:r>
              <w:t>Isolated ID/DD</w:t>
            </w:r>
          </w:p>
        </w:tc>
        <w:tc>
          <w:tcPr>
            <w:tcW w:type="dxa" w:w="3120"/>
          </w:tcPr>
          <w:p>
            <w:r>
              <w:t>CMA then WES</w:t>
            </w:r>
          </w:p>
        </w:tc>
        <w:tc>
          <w:tcPr>
            <w:tcW w:type="dxa" w:w="3120"/>
          </w:tcPr>
          <w:p>
            <w:r>
              <w:t>15-20% + 25-40%</w:t>
            </w:r>
          </w:p>
        </w:tc>
      </w:tr>
      <w:tr>
        <w:tc>
          <w:tcPr>
            <w:tcW w:type="dxa" w:w="3120"/>
          </w:tcPr>
          <w:p>
            <w:r>
              <w:t>ID/DD + dysmorphism</w:t>
            </w:r>
          </w:p>
        </w:tc>
        <w:tc>
          <w:tcPr>
            <w:tcW w:type="dxa" w:w="3120"/>
          </w:tcPr>
          <w:p>
            <w:r>
              <w:t>CMA then WES</w:t>
            </w:r>
          </w:p>
        </w:tc>
        <w:tc>
          <w:tcPr>
            <w:tcW w:type="dxa" w:w="3120"/>
          </w:tcPr>
          <w:p>
            <w:r>
              <w:t>20% + 30-50%</w:t>
            </w:r>
          </w:p>
        </w:tc>
      </w:tr>
      <w:tr>
        <w:tc>
          <w:tcPr>
            <w:tcW w:type="dxa" w:w="3120"/>
          </w:tcPr>
          <w:p>
            <w:r>
              <w:t>Epilepsy + DD</w:t>
            </w:r>
          </w:p>
        </w:tc>
        <w:tc>
          <w:tcPr>
            <w:tcW w:type="dxa" w:w="3120"/>
          </w:tcPr>
          <w:p>
            <w:r>
              <w:t>Epilepsy gene panel or WES</w:t>
            </w:r>
          </w:p>
        </w:tc>
        <w:tc>
          <w:tcPr>
            <w:tcW w:type="dxa" w:w="3120"/>
          </w:tcPr>
          <w:p>
            <w:r>
              <w:t>20-50%</w:t>
            </w:r>
          </w:p>
        </w:tc>
      </w:tr>
      <w:tr>
        <w:tc>
          <w:tcPr>
            <w:tcW w:type="dxa" w:w="3120"/>
          </w:tcPr>
          <w:p>
            <w:r>
              <w:t>Cardiomyopathy</w:t>
            </w:r>
          </w:p>
        </w:tc>
        <w:tc>
          <w:tcPr>
            <w:tcW w:type="dxa" w:w="3120"/>
          </w:tcPr>
          <w:p>
            <w:r>
              <w:t>Cardiomyopathy gene panel</w:t>
            </w:r>
          </w:p>
        </w:tc>
        <w:tc>
          <w:tcPr>
            <w:tcW w:type="dxa" w:w="3120"/>
          </w:tcPr>
          <w:p>
            <w:r>
              <w:t>20-40%</w:t>
            </w:r>
          </w:p>
        </w:tc>
      </w:tr>
      <w:tr>
        <w:tc>
          <w:tcPr>
            <w:tcW w:type="dxa" w:w="3120"/>
          </w:tcPr>
          <w:p>
            <w:r>
              <w:t>Skeletal dysplasia</w:t>
            </w:r>
          </w:p>
        </w:tc>
        <w:tc>
          <w:tcPr>
            <w:tcW w:type="dxa" w:w="3120"/>
          </w:tcPr>
          <w:p>
            <w:r>
              <w:t>Skeletal survey + gene panel</w:t>
            </w:r>
          </w:p>
        </w:tc>
        <w:tc>
          <w:tcPr>
            <w:tcW w:type="dxa" w:w="3120"/>
          </w:tcPr>
          <w:p>
            <w:r>
              <w:t>30-50%</w:t>
            </w:r>
          </w:p>
        </w:tc>
      </w:tr>
      <w:tr>
        <w:tc>
          <w:tcPr>
            <w:tcW w:type="dxa" w:w="3120"/>
          </w:tcPr>
          <w:p>
            <w:r>
              <w:t>Connective tissue disorder</w:t>
            </w:r>
          </w:p>
        </w:tc>
        <w:tc>
          <w:tcPr>
            <w:tcW w:type="dxa" w:w="3120"/>
          </w:tcPr>
          <w:p>
            <w:r>
              <w:t>Clinical criteria + targeted gene</w:t>
            </w:r>
          </w:p>
        </w:tc>
        <w:tc>
          <w:tcPr>
            <w:tcW w:type="dxa" w:w="3120"/>
          </w:tcPr>
          <w:p>
            <w:r>
              <w:t>70-93% (Marfan)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7.2 Trio vs Singleton Analysis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Diagnostic Yield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Advantages</w:t>
            </w:r>
          </w:p>
        </w:tc>
      </w:tr>
      <w:tr>
        <w:tc>
          <w:tcPr>
            <w:tcW w:type="dxa" w:w="3120"/>
          </w:tcPr>
          <w:p>
            <w:r>
              <w:t>Singleton WES</w:t>
            </w:r>
          </w:p>
        </w:tc>
        <w:tc>
          <w:tcPr>
            <w:tcW w:type="dxa" w:w="3120"/>
          </w:tcPr>
          <w:p>
            <w:r>
              <w:t>25-35%</w:t>
            </w:r>
          </w:p>
        </w:tc>
        <w:tc>
          <w:tcPr>
            <w:tcW w:type="dxa" w:w="3120"/>
          </w:tcPr>
          <w:p>
            <w:r>
              <w:t>Lower cost</w:t>
            </w:r>
          </w:p>
        </w:tc>
      </w:tr>
      <w:tr>
        <w:tc>
          <w:tcPr>
            <w:tcW w:type="dxa" w:w="3120"/>
          </w:tcPr>
          <w:p>
            <w:r>
              <w:t>Trio WES (proband + parents)</w:t>
            </w:r>
          </w:p>
        </w:tc>
        <w:tc>
          <w:tcPr>
            <w:tcW w:type="dxa" w:w="3120"/>
          </w:tcPr>
          <w:p>
            <w:r>
              <w:t>35-50%</w:t>
            </w:r>
          </w:p>
        </w:tc>
        <w:tc>
          <w:tcPr>
            <w:tcW w:type="dxa" w:w="3120"/>
          </w:tcPr>
          <w:p>
            <w:r>
              <w:t>De novo detection, phasing, reduced VUS</w:t>
            </w:r>
          </w:p>
        </w:tc>
      </w:tr>
      <w:tr>
        <w:tc>
          <w:tcPr>
            <w:tcW w:type="dxa" w:w="3120"/>
          </w:tcPr>
          <w:p>
            <w:r>
              <w:t>Trio WGS</w:t>
            </w:r>
          </w:p>
        </w:tc>
        <w:tc>
          <w:tcPr>
            <w:tcW w:type="dxa" w:w="3120"/>
          </w:tcPr>
          <w:p>
            <w:r>
              <w:t>40-60%</w:t>
            </w:r>
          </w:p>
        </w:tc>
        <w:tc>
          <w:tcPr>
            <w:tcW w:type="dxa" w:w="3120"/>
          </w:tcPr>
          <w:p>
            <w:r>
              <w:t>Non-coding variants, structural variants</w:t>
            </w:r>
          </w:p>
        </w:tc>
      </w:tr>
      <w:tr>
        <w:tc>
          <w:tcPr>
            <w:tcW w:type="dxa" w:w="3120"/>
          </w:tcPr>
          <w:p>
            <w:r>
              <w:t>Quad/family WGS</w:t>
            </w:r>
          </w:p>
        </w:tc>
        <w:tc>
          <w:tcPr>
            <w:tcW w:type="dxa" w:w="3120"/>
          </w:tcPr>
          <w:p>
            <w:r>
              <w:t>Higher</w:t>
            </w:r>
          </w:p>
        </w:tc>
        <w:tc>
          <w:tcPr>
            <w:tcW w:type="dxa" w:w="3120"/>
          </w:tcPr>
          <w:p>
            <w:r>
              <w:t>Complex inheritance patterns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7.3 Reanalysis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Periodic reanalysis of previously negative WES/WGS data yields additional diagnoses: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10-15% additional yield on reanalysis at 1-2 years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New gene-disease associations discovered monthly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Updated bioinformatics pipelines improve variant calling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8. Multi-Omics Integration</w:t>
      </w:r>
    </w:p>
    <w:p/>
    <w:p>
      <w:pPr>
        <w:pStyle w:val="Heading3"/>
      </w:pPr>
      <w:r>
        <w:rPr>
          <w:rFonts w:ascii="Calibri" w:hAnsi="Calibri"/>
          <w:color w:val="1AAFCC"/>
        </w:rPr>
        <w:t>8.1 Beyond DNA Sequencing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Omics Layer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Added Value</w:t>
            </w:r>
          </w:p>
        </w:tc>
      </w:tr>
      <w:tr>
        <w:tc>
          <w:tcPr>
            <w:tcW w:type="dxa" w:w="3120"/>
          </w:tcPr>
          <w:p>
            <w:r>
              <w:t>Transcriptomics (RNA-seq)</w:t>
            </w:r>
          </w:p>
        </w:tc>
        <w:tc>
          <w:tcPr>
            <w:tcW w:type="dxa" w:w="3120"/>
          </w:tcPr>
          <w:p>
            <w:r>
              <w:t>RNA sequencing</w:t>
            </w:r>
          </w:p>
        </w:tc>
        <w:tc>
          <w:tcPr>
            <w:tcW w:type="dxa" w:w="3120"/>
          </w:tcPr>
          <w:p>
            <w:r>
              <w:t>Detect splicing defects, expression changes</w:t>
            </w:r>
          </w:p>
        </w:tc>
      </w:tr>
      <w:tr>
        <w:tc>
          <w:tcPr>
            <w:tcW w:type="dxa" w:w="3120"/>
          </w:tcPr>
          <w:p>
            <w:r>
              <w:t>Metabolomics</w:t>
            </w:r>
          </w:p>
        </w:tc>
        <w:tc>
          <w:tcPr>
            <w:tcW w:type="dxa" w:w="3120"/>
          </w:tcPr>
          <w:p>
            <w:r>
              <w:t>Mass spectrometry</w:t>
            </w:r>
          </w:p>
        </w:tc>
        <w:tc>
          <w:tcPr>
            <w:tcW w:type="dxa" w:w="3120"/>
          </w:tcPr>
          <w:p>
            <w:r>
              <w:t>Identify metabolic pathway disruptions</w:t>
            </w:r>
          </w:p>
        </w:tc>
      </w:tr>
      <w:tr>
        <w:tc>
          <w:tcPr>
            <w:tcW w:type="dxa" w:w="3120"/>
          </w:tcPr>
          <w:p>
            <w:r>
              <w:t>Proteomics</w:t>
            </w:r>
          </w:p>
        </w:tc>
        <w:tc>
          <w:tcPr>
            <w:tcW w:type="dxa" w:w="3120"/>
          </w:tcPr>
          <w:p>
            <w:r>
              <w:t>Mass spectrometry</w:t>
            </w:r>
          </w:p>
        </w:tc>
        <w:tc>
          <w:tcPr>
            <w:tcW w:type="dxa" w:w="3120"/>
          </w:tcPr>
          <w:p>
            <w:r>
              <w:t>Protein expression and modification</w:t>
            </w:r>
          </w:p>
        </w:tc>
      </w:tr>
      <w:tr>
        <w:tc>
          <w:tcPr>
            <w:tcW w:type="dxa" w:w="3120"/>
          </w:tcPr>
          <w:p>
            <w:r>
              <w:t>Epigenomics</w:t>
            </w:r>
          </w:p>
        </w:tc>
        <w:tc>
          <w:tcPr>
            <w:tcW w:type="dxa" w:w="3120"/>
          </w:tcPr>
          <w:p>
            <w:r>
              <w:t>Methylation arrays</w:t>
            </w:r>
          </w:p>
        </w:tc>
        <w:tc>
          <w:tcPr>
            <w:tcW w:type="dxa" w:w="3120"/>
          </w:tcPr>
          <w:p>
            <w:r>
              <w:t>Imprinting disorders, episignatures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8.2 RNA-seq for Unsolved Cases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RNA-seq from patient tissue (blood, fibroblasts, muscle) can detect: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Aberrant splicing caused by deep intronic variants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Allele-specific expression (monoallelic expression in AR disease)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Expression outliers suggesting regulatory variants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Diagnostic yield: 10-35% additional diagnoses in previously unsolved cases.</w:t>
      </w:r>
    </w:p>
    <w:p/>
    <w:p>
      <w:pPr>
        <w:pStyle w:val="Heading3"/>
      </w:pPr>
      <w:r>
        <w:rPr>
          <w:rFonts w:ascii="Calibri" w:hAnsi="Calibri"/>
          <w:color w:val="1AAFCC"/>
        </w:rPr>
        <w:t>8.3 Episignatures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DNA methylation patterns (episignatures) can diagnose specific genetic syndromes: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Unique methylation profiles for 50+ syndromes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Can distinguish overlapping clinical presentations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Useful for VUS reclassification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9. Undiagnosed Disease Programs</w:t>
      </w:r>
    </w:p>
    <w:p/>
    <w:p>
      <w:pPr>
        <w:pStyle w:val="Heading3"/>
      </w:pPr>
      <w:r>
        <w:rPr>
          <w:rFonts w:ascii="Calibri" w:hAnsi="Calibri"/>
          <w:color w:val="1AAFCC"/>
        </w:rPr>
        <w:t>9.1 Major Programs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Program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Approach</w:t>
            </w:r>
          </w:p>
        </w:tc>
      </w:tr>
      <w:tr>
        <w:tc>
          <w:tcPr>
            <w:tcW w:type="dxa" w:w="3120"/>
          </w:tcPr>
          <w:p>
            <w:r>
              <w:t>UDP (Undiagnosed Diseases Program)</w:t>
            </w:r>
          </w:p>
        </w:tc>
        <w:tc>
          <w:tcPr>
            <w:tcW w:type="dxa" w:w="3120"/>
          </w:tcPr>
          <w:p>
            <w:r>
              <w:t>USA (NIH)</w:t>
            </w:r>
          </w:p>
        </w:tc>
        <w:tc>
          <w:tcPr>
            <w:tcW w:type="dxa" w:w="3120"/>
          </w:tcPr>
          <w:p>
            <w:r>
              <w:t>Multi-omics, expert evaluation</w:t>
            </w:r>
          </w:p>
        </w:tc>
      </w:tr>
      <w:tr>
        <w:tc>
          <w:tcPr>
            <w:tcW w:type="dxa" w:w="3120"/>
          </w:tcPr>
          <w:p>
            <w:r>
              <w:t>UDNI (Undiagnosed Diseases Network International)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  <w:tc>
          <w:tcPr>
            <w:tcW w:type="dxa" w:w="3120"/>
          </w:tcPr>
          <w:p>
            <w:r>
              <w:t>Coordinated cross-border evaluation</w:t>
            </w:r>
          </w:p>
        </w:tc>
      </w:tr>
      <w:tr>
        <w:tc>
          <w:tcPr>
            <w:tcW w:type="dxa" w:w="3120"/>
          </w:tcPr>
          <w:p>
            <w:r>
              <w:t>SOLVE-RD</w:t>
            </w:r>
          </w:p>
        </w:tc>
        <w:tc>
          <w:tcPr>
            <w:tcW w:type="dxa" w:w="3120"/>
          </w:tcPr>
          <w:p>
            <w:r>
              <w:t>EU</w:t>
            </w:r>
          </w:p>
        </w:tc>
        <w:tc>
          <w:tcPr>
            <w:tcW w:type="dxa" w:w="3120"/>
          </w:tcPr>
          <w:p>
            <w:r>
              <w:t>WGS reanalysis across ERNs</w:t>
            </w:r>
          </w:p>
        </w:tc>
      </w:tr>
      <w:tr>
        <w:tc>
          <w:tcPr>
            <w:tcW w:type="dxa" w:w="3120"/>
          </w:tcPr>
          <w:p>
            <w:r>
              <w:t>100,000 Genomes Project</w:t>
            </w:r>
          </w:p>
        </w:tc>
        <w:tc>
          <w:tcPr>
            <w:tcW w:type="dxa" w:w="3120"/>
          </w:tcPr>
          <w:p>
            <w:r>
              <w:t>UK</w:t>
            </w:r>
          </w:p>
        </w:tc>
        <w:tc>
          <w:tcPr>
            <w:tcW w:type="dxa" w:w="3120"/>
          </w:tcPr>
          <w:p>
            <w:r>
              <w:t>WGS with phenotype linkage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9.2 Solving the Unsolvable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Strategies for patients who remain undiagnosed after standard genetic testing: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WGS reanalysis with updated annotations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RNA-seq from relevant tissue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Metabolomics profiling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Functional validation of candidate variants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International matchmaking (GeneMatcher, DECIPHER)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Animal modeling of novel gene candidates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10. Pharmacogenomics in Rare Disease</w:t>
      </w:r>
    </w:p>
    <w:p/>
    <w:p>
      <w:pPr>
        <w:pStyle w:val="Heading3"/>
      </w:pPr>
      <w:r>
        <w:rPr>
          <w:rFonts w:ascii="Calibri" w:hAnsi="Calibri"/>
          <w:color w:val="1AAFCC"/>
        </w:rPr>
        <w:t>10.1 PGx Relevance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Pharmacogenomics is particularly relevant for rare disease patients because: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Many rare disease therapies have narrow therapeutic windows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Enzyme replacement therapies may interact with metabolic pathways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Anti-seizure medications require careful PGx-guided dosing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Gene therapy immunosuppression regimens benefit from PGx profiling</w:t>
      </w:r>
    </w:p>
    <w:p/>
    <w:p>
      <w:pPr>
        <w:pStyle w:val="Heading3"/>
      </w:pPr>
      <w:r>
        <w:rPr>
          <w:rFonts w:ascii="Calibri" w:hAnsi="Calibri"/>
          <w:color w:val="1AAFCC"/>
        </w:rPr>
        <w:t>10.2 Key PGx Interactions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Drug Class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Gene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Rare Disease Context</w:t>
            </w:r>
          </w:p>
        </w:tc>
      </w:tr>
      <w:tr>
        <w:tc>
          <w:tcPr>
            <w:tcW w:type="dxa" w:w="3120"/>
          </w:tcPr>
          <w:p>
            <w:r>
              <w:t>Antiepileptics</w:t>
            </w:r>
          </w:p>
        </w:tc>
        <w:tc>
          <w:tcPr>
            <w:tcW w:type="dxa" w:w="3120"/>
          </w:tcPr>
          <w:p>
            <w:r>
              <w:t>HLA-B, CYP2C19</w:t>
            </w:r>
          </w:p>
        </w:tc>
        <w:tc>
          <w:tcPr>
            <w:tcW w:type="dxa" w:w="3120"/>
          </w:tcPr>
          <w:p>
            <w:r>
              <w:t>Dravet syndrome, epilepsy management</w:t>
            </w:r>
          </w:p>
        </w:tc>
      </w:tr>
      <w:tr>
        <w:tc>
          <w:tcPr>
            <w:tcW w:type="dxa" w:w="3120"/>
          </w:tcPr>
          <w:p>
            <w:r>
              <w:t>Immunosuppressants</w:t>
            </w:r>
          </w:p>
        </w:tc>
        <w:tc>
          <w:tcPr>
            <w:tcW w:type="dxa" w:w="3120"/>
          </w:tcPr>
          <w:p>
            <w:r>
              <w:t>TPMT, NUDT15</w:t>
            </w:r>
          </w:p>
        </w:tc>
        <w:tc>
          <w:tcPr>
            <w:tcW w:type="dxa" w:w="3120"/>
          </w:tcPr>
          <w:p>
            <w:r>
              <w:t>Post-gene therapy conditioning</w:t>
            </w:r>
          </w:p>
        </w:tc>
      </w:tr>
      <w:tr>
        <w:tc>
          <w:tcPr>
            <w:tcW w:type="dxa" w:w="3120"/>
          </w:tcPr>
          <w:p>
            <w:r>
              <w:t>Cardiac drugs</w:t>
            </w:r>
          </w:p>
        </w:tc>
        <w:tc>
          <w:tcPr>
            <w:tcW w:type="dxa" w:w="3120"/>
          </w:tcPr>
          <w:p>
            <w:r>
              <w:t>CYP2D6, SLCO1B1</w:t>
            </w:r>
          </w:p>
        </w:tc>
        <w:tc>
          <w:tcPr>
            <w:tcW w:type="dxa" w:w="3120"/>
          </w:tcPr>
          <w:p>
            <w:r>
              <w:t>Cardiomyopathy, channelopathy management</w:t>
            </w:r>
          </w:p>
        </w:tc>
      </w:tr>
      <w:tr>
        <w:tc>
          <w:tcPr>
            <w:tcW w:type="dxa" w:w="3120"/>
          </w:tcPr>
          <w:p>
            <w:r>
              <w:t>Enzyme replacement</w:t>
            </w:r>
          </w:p>
        </w:tc>
        <w:tc>
          <w:tcPr>
            <w:tcW w:type="dxa" w:w="3120"/>
          </w:tcPr>
          <w:p>
            <w:r>
              <w:t>NAT2</w:t>
            </w:r>
          </w:p>
        </w:tc>
        <w:tc>
          <w:tcPr>
            <w:tcW w:type="dxa" w:w="3120"/>
          </w:tcPr>
          <w:p>
            <w:r>
              <w:t>Metabolic disease management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11. Ethical Considerations</w:t>
      </w:r>
    </w:p>
    <w:p/>
    <w:p>
      <w:pPr>
        <w:pStyle w:val="Heading3"/>
      </w:pPr>
      <w:r>
        <w:rPr>
          <w:rFonts w:ascii="Calibri" w:hAnsi="Calibri"/>
          <w:color w:val="1AAFCC"/>
        </w:rPr>
        <w:t>11.1 Key Ethical Issues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Challenge</w:t>
            </w:r>
          </w:p>
        </w:tc>
      </w:tr>
      <w:tr>
        <w:tc>
          <w:tcPr>
            <w:tcW w:type="dxa" w:w="4680"/>
          </w:tcPr>
          <w:p>
            <w:r>
              <w:t>Diagnostic uncertainty</w:t>
            </w:r>
          </w:p>
        </w:tc>
        <w:tc>
          <w:tcPr>
            <w:tcW w:type="dxa" w:w="4680"/>
          </w:tcPr>
          <w:p>
            <w:r>
              <w:t>VUS results create anxiety without clear clinical action</w:t>
            </w:r>
          </w:p>
        </w:tc>
      </w:tr>
      <w:tr>
        <w:tc>
          <w:tcPr>
            <w:tcW w:type="dxa" w:w="4680"/>
          </w:tcPr>
          <w:p>
            <w:r>
              <w:t>Incidental findings</w:t>
            </w:r>
          </w:p>
        </w:tc>
        <w:tc>
          <w:tcPr>
            <w:tcW w:type="dxa" w:w="4680"/>
          </w:tcPr>
          <w:p>
            <w:r>
              <w:t>Genomic testing may reveal unrelated health risks</w:t>
            </w:r>
          </w:p>
        </w:tc>
      </w:tr>
      <w:tr>
        <w:tc>
          <w:tcPr>
            <w:tcW w:type="dxa" w:w="4680"/>
          </w:tcPr>
          <w:p>
            <w:r>
              <w:t>Reproductive implications</w:t>
            </w:r>
          </w:p>
        </w:tc>
        <w:tc>
          <w:tcPr>
            <w:tcW w:type="dxa" w:w="4680"/>
          </w:tcPr>
          <w:p>
            <w:r>
              <w:t>Carrier status affects family planning</w:t>
            </w:r>
          </w:p>
        </w:tc>
      </w:tr>
      <w:tr>
        <w:tc>
          <w:tcPr>
            <w:tcW w:type="dxa" w:w="4680"/>
          </w:tcPr>
          <w:p>
            <w:r>
              <w:t>Pediatric testing</w:t>
            </w:r>
          </w:p>
        </w:tc>
        <w:tc>
          <w:tcPr>
            <w:tcW w:type="dxa" w:w="4680"/>
          </w:tcPr>
          <w:p>
            <w:r>
              <w:t>Testing children for adult-onset conditions</w:t>
            </w:r>
          </w:p>
        </w:tc>
      </w:tr>
      <w:tr>
        <w:tc>
          <w:tcPr>
            <w:tcW w:type="dxa" w:w="4680"/>
          </w:tcPr>
          <w:p>
            <w:r>
              <w:t>Data privacy</w:t>
            </w:r>
          </w:p>
        </w:tc>
        <w:tc>
          <w:tcPr>
            <w:tcW w:type="dxa" w:w="4680"/>
          </w:tcPr>
          <w:p>
            <w:r>
              <w:t>Genomic data requires stringent protection</w:t>
            </w:r>
          </w:p>
        </w:tc>
      </w:tr>
      <w:tr>
        <w:tc>
          <w:tcPr>
            <w:tcW w:type="dxa" w:w="4680"/>
          </w:tcPr>
          <w:p>
            <w:r>
              <w:t>Equity</w:t>
            </w:r>
          </w:p>
        </w:tc>
        <w:tc>
          <w:tcPr>
            <w:tcW w:type="dxa" w:w="4680"/>
          </w:tcPr>
          <w:p>
            <w:r>
              <w:t>Access to genetic testing and gene therapy varies by geography and wealth</w:t>
            </w:r>
          </w:p>
        </w:tc>
      </w:tr>
      <w:tr>
        <w:tc>
          <w:tcPr>
            <w:tcW w:type="dxa" w:w="4680"/>
          </w:tcPr>
          <w:p>
            <w:r>
              <w:t>Cost of gene therapy</w:t>
            </w:r>
          </w:p>
        </w:tc>
        <w:tc>
          <w:tcPr>
            <w:tcW w:type="dxa" w:w="4680"/>
          </w:tcPr>
          <w:p>
            <w:r>
              <w:t>$1-3.5 million per treatment raises justice questions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11.2 Return of Results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Current consensus for return of genomic results: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Report pathogenic and likely pathogenic variants in disease-related genes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Offer return of ACMG secondary findings (SF v3.2: 81 genes)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Do NOT report VUS for clinical action (but may report for monitoring)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Respect patient preferences for incidental findings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12. The Future of Rare Disease Diagnosis</w:t>
      </w:r>
    </w:p>
    <w:p/>
    <w:p>
      <w:pPr>
        <w:pStyle w:val="Heading3"/>
      </w:pPr>
      <w:r>
        <w:rPr>
          <w:rFonts w:ascii="Calibri" w:hAnsi="Calibri"/>
          <w:color w:val="1AAFCC"/>
        </w:rPr>
        <w:t>12.1 Emerging Technologies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3120"/>
          </w:tcPr>
          <w:p>
            <w:r>
              <w:t>Long-read sequencing (PacBio, ONT)</w:t>
            </w:r>
          </w:p>
        </w:tc>
        <w:tc>
          <w:tcPr>
            <w:tcW w:type="dxa" w:w="3120"/>
          </w:tcPr>
          <w:p>
            <w:r>
              <w:t>Structural variants, repeat expansions</w:t>
            </w:r>
          </w:p>
        </w:tc>
        <w:tc>
          <w:tcPr>
            <w:tcW w:type="dxa" w:w="3120"/>
          </w:tcPr>
          <w:p>
            <w:r>
              <w:t>Now</w:t>
            </w:r>
          </w:p>
        </w:tc>
      </w:tr>
      <w:tr>
        <w:tc>
          <w:tcPr>
            <w:tcW w:type="dxa" w:w="3120"/>
          </w:tcPr>
          <w:p>
            <w:r>
              <w:t>Optical genome mapping</w:t>
            </w:r>
          </w:p>
        </w:tc>
        <w:tc>
          <w:tcPr>
            <w:tcW w:type="dxa" w:w="3120"/>
          </w:tcPr>
          <w:p>
            <w:r>
              <w:t>Large structural variants</w:t>
            </w:r>
          </w:p>
        </w:tc>
        <w:tc>
          <w:tcPr>
            <w:tcW w:type="dxa" w:w="3120"/>
          </w:tcPr>
          <w:p>
            <w:r>
              <w:t>Now</w:t>
            </w:r>
          </w:p>
        </w:tc>
      </w:tr>
      <w:tr>
        <w:tc>
          <w:tcPr>
            <w:tcW w:type="dxa" w:w="3120"/>
          </w:tcPr>
          <w:p>
            <w:r>
              <w:t>Single-cell RNA-seq</w:t>
            </w:r>
          </w:p>
        </w:tc>
        <w:tc>
          <w:tcPr>
            <w:tcW w:type="dxa" w:w="3120"/>
          </w:tcPr>
          <w:p>
            <w:r>
              <w:t>Cell-type-specific expression</w:t>
            </w:r>
          </w:p>
        </w:tc>
        <w:tc>
          <w:tcPr>
            <w:tcW w:type="dxa" w:w="3120"/>
          </w:tcPr>
          <w:p>
            <w:r>
              <w:t>2-3 years</w:t>
            </w:r>
          </w:p>
        </w:tc>
      </w:tr>
      <w:tr>
        <w:tc>
          <w:tcPr>
            <w:tcW w:type="dxa" w:w="3120"/>
          </w:tcPr>
          <w:p>
            <w:r>
              <w:t>AI-powered facial recognition</w:t>
            </w:r>
          </w:p>
        </w:tc>
        <w:tc>
          <w:tcPr>
            <w:tcW w:type="dxa" w:w="3120"/>
          </w:tcPr>
          <w:p>
            <w:r>
              <w:t>Dysmorphology phenotyping</w:t>
            </w:r>
          </w:p>
        </w:tc>
        <w:tc>
          <w:tcPr>
            <w:tcW w:type="dxa" w:w="3120"/>
          </w:tcPr>
          <w:p>
            <w:r>
              <w:t>Now</w:t>
            </w:r>
          </w:p>
        </w:tc>
      </w:tr>
      <w:tr>
        <w:tc>
          <w:tcPr>
            <w:tcW w:type="dxa" w:w="3120"/>
          </w:tcPr>
          <w:p>
            <w:r>
              <w:t>Protein structure prediction (AlphaFold)</w:t>
            </w:r>
          </w:p>
        </w:tc>
        <w:tc>
          <w:tcPr>
            <w:tcW w:type="dxa" w:w="3120"/>
          </w:tcPr>
          <w:p>
            <w:r>
              <w:t>Missense variant impact</w:t>
            </w:r>
          </w:p>
        </w:tc>
        <w:tc>
          <w:tcPr>
            <w:tcW w:type="dxa" w:w="3120"/>
          </w:tcPr>
          <w:p>
            <w:r>
              <w:t>Now</w:t>
            </w:r>
          </w:p>
        </w:tc>
      </w:tr>
      <w:tr>
        <w:tc>
          <w:tcPr>
            <w:tcW w:type="dxa" w:w="3120"/>
          </w:tcPr>
          <w:p>
            <w:r>
              <w:t>In vivo CRISPR gene editing</w:t>
            </w:r>
          </w:p>
        </w:tc>
        <w:tc>
          <w:tcPr>
            <w:tcW w:type="dxa" w:w="3120"/>
          </w:tcPr>
          <w:p>
            <w:r>
              <w:t>One-time curative therapy</w:t>
            </w:r>
          </w:p>
        </w:tc>
        <w:tc>
          <w:tcPr>
            <w:tcW w:type="dxa" w:w="3120"/>
          </w:tcPr>
          <w:p>
            <w:r>
              <w:t>3-5 years</w:t>
            </w:r>
          </w:p>
        </w:tc>
      </w:tr>
      <w:tr>
        <w:tc>
          <w:tcPr>
            <w:tcW w:type="dxa" w:w="3120"/>
          </w:tcPr>
          <w:p>
            <w:r>
              <w:t>mRNA therapeutics</w:t>
            </w:r>
          </w:p>
        </w:tc>
        <w:tc>
          <w:tcPr>
            <w:tcW w:type="dxa" w:w="3120"/>
          </w:tcPr>
          <w:p>
            <w:r>
              <w:t>Protein replacement</w:t>
            </w:r>
          </w:p>
        </w:tc>
        <w:tc>
          <w:tcPr>
            <w:tcW w:type="dxa" w:w="3120"/>
          </w:tcPr>
          <w:p>
            <w:r>
              <w:t>2-4 years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12.2 The Path to Zero Diagnostic Odyssey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A convergence of technologies may eventually eliminate the diagnostic odyssey: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Universal genomic NBS:</w:t>
      </w:r>
      <w:r>
        <w:rPr>
          <w:rFonts w:ascii="Calibri" w:hAnsi="Calibri"/>
          <w:b w:val="0"/>
          <w:i w:val="0"/>
          <w:color w:val="333333"/>
          <w:sz w:val="22"/>
        </w:rPr>
        <w:t xml:space="preserve"> WGS at birth for all newborns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AI-powered phenotyping: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Automatic HPO extraction from EHR and imaging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Real-time variant interpretation: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Automated ACMG classification with full evidence integration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Global data sharing: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International rare disease databases with millions of genotype-phenotype records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Precision therapy matching: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AI-guided therapy selection including gene therapy eligibility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HCLS AI Factory Rare Disease Diagnostic Agent represents a step toward this vision -- demonstrating that integrated AI systems can deliver comprehensive diagnostic support across the full rare disease workflow.</w:t>
      </w:r>
    </w:p>
    <w:p/>
    <w:p>
      <w:r>
        <w:t>____________________________________________________________</w:t>
      </w:r>
    </w:p>
    <w:p/>
    <w:p>
      <w:r>
        <w:rPr>
          <w:rFonts w:ascii="Calibri" w:hAnsi="Calibri"/>
          <w:b w:val="0"/>
          <w:i/>
          <w:color w:val="333333"/>
          <w:sz w:val="22"/>
        </w:rPr>
        <w:t>Apache 2.0 License -- HCLS AI Factory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Confidential — For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6"/>
      </w:rPr>
      <w:t>HCLS AI Factory — Rare Disease Diagnostic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