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B2333"/>
        </w:rPr>
        <w:t>Rare Disease Diagnostic Agent -- Learning Guide: Foundations</w:t>
      </w:r>
    </w:p>
    <w:p/>
    <w:p>
      <w:r>
        <w:rPr>
          <w:rFonts w:ascii="Calibri" w:hAnsi="Calibri"/>
          <w:b/>
          <w:i w:val="0"/>
          <w:color w:val="333333"/>
          <w:sz w:val="22"/>
        </w:rPr>
        <w:t>A primer on rare disease concepts, the diagnostic odyssey, HPO ontology, ACMG criteria, inheritance patterns, and the gene therapy revolution.</w:t>
      </w:r>
    </w:p>
    <w:p/>
    <w:p>
      <w:r>
        <w:rPr>
          <w:rFonts w:ascii="Calibri" w:hAnsi="Calibri"/>
          <w:b/>
          <w:i w:val="0"/>
          <w:color w:val="333333"/>
          <w:sz w:val="22"/>
        </w:rPr>
        <w:t>Version:</w:t>
      </w:r>
      <w:r>
        <w:rPr>
          <w:rFonts w:ascii="Calibri" w:hAnsi="Calibri"/>
          <w:b w:val="0"/>
          <w:i w:val="0"/>
          <w:color w:val="333333"/>
          <w:sz w:val="22"/>
        </w:rPr>
        <w:t xml:space="preserve"> 1.0.0</w:t>
      </w:r>
    </w:p>
    <w:p>
      <w:r>
        <w:rPr>
          <w:rFonts w:ascii="Calibri" w:hAnsi="Calibri"/>
          <w:b/>
          <w:i w:val="0"/>
          <w:color w:val="333333"/>
          <w:sz w:val="22"/>
        </w:rPr>
        <w:t>Date:</w:t>
      </w:r>
      <w:r>
        <w:rPr>
          <w:rFonts w:ascii="Calibri" w:hAnsi="Calibri"/>
          <w:b w:val="0"/>
          <w:i w:val="0"/>
          <w:color w:val="333333"/>
          <w:sz w:val="22"/>
        </w:rPr>
        <w:t xml:space="preserve"> March 22, 2026</w:t>
      </w:r>
    </w:p>
    <w:p>
      <w:r>
        <w:rPr>
          <w:rFonts w:ascii="Calibri" w:hAnsi="Calibri"/>
          <w:b/>
          <w:i w:val="0"/>
          <w:color w:val="333333"/>
          <w:sz w:val="22"/>
        </w:rPr>
        <w:t>Author:</w:t>
      </w:r>
      <w:r>
        <w:rPr>
          <w:rFonts w:ascii="Calibri" w:hAnsi="Calibri"/>
          <w:b w:val="0"/>
          <w:i w:val="0"/>
          <w:color w:val="333333"/>
          <w:sz w:val="22"/>
        </w:rPr>
        <w:t xml:space="preserve"> Adam Jones</w:t>
      </w:r>
    </w:p>
    <w:p>
      <w:r>
        <w:rPr>
          <w:rFonts w:ascii="Calibri" w:hAnsi="Calibri"/>
          <w:b/>
          <w:i w:val="0"/>
          <w:color w:val="333333"/>
          <w:sz w:val="22"/>
        </w:rPr>
        <w:t>Platform:</w:t>
      </w:r>
      <w:r>
        <w:rPr>
          <w:rFonts w:ascii="Calibri" w:hAnsi="Calibri"/>
          <w:b w:val="0"/>
          <w:i w:val="0"/>
          <w:color w:val="333333"/>
          <w:sz w:val="22"/>
        </w:rPr>
        <w:t xml:space="preserve"> NVIDIA DGX Spark -- HCLS AI Factory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Table of Contents</w:t>
      </w:r>
    </w:p>
    <w:p/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[What Makes a Disease "Rare"?](#1-what-makes-a-disease-rare)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[The Diagnostic Odyssey](#2-the-diagnostic-odyssey)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[Genetics Fundamentals](#3-genetics-fundamentals)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[Inheritance Patterns](#4-inheritance-patterns)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[The Human Phenotype Ontology (HPO)](#5-the-human-phenotype-ontology-hpo)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[ACMG/AMP Variant Classification](#6-acmgamp-variant-classification)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[Disease Databases and Resources](#7-disease-databases-and-resources)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[Genetic Testing Technologies](#8-genetic-testing-technologies)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[The Gene Therapy Revolution](#9-the-gene-therapy-revolution)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[Newborn Screening](#10-newborn-screening)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[Key Terms Glossary](#11-key-terms-glossary)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1. What Makes a Disease "Rare"?</w:t>
      </w:r>
    </w:p>
    <w:p/>
    <w:p>
      <w:pPr>
        <w:pStyle w:val="Heading3"/>
      </w:pPr>
      <w:r>
        <w:rPr>
          <w:rFonts w:ascii="Calibri" w:hAnsi="Calibri"/>
          <w:color w:val="1AAFCC"/>
        </w:rPr>
        <w:t>1.1 Definitions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The definition of "rare" varies by jurisdiction: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Definition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Threshold</w:t>
            </w:r>
          </w:p>
        </w:tc>
      </w:tr>
      <w:tr>
        <w:tc>
          <w:tcPr>
            <w:tcW w:type="dxa" w:w="3120"/>
          </w:tcPr>
          <w:p>
            <w:r>
              <w:t>United States (Orphan Drug Act)</w:t>
            </w:r>
          </w:p>
        </w:tc>
        <w:tc>
          <w:tcPr>
            <w:tcW w:type="dxa" w:w="3120"/>
          </w:tcPr>
          <w:p>
            <w:r>
              <w:t>&lt; 200,000 affected individuals</w:t>
            </w:r>
          </w:p>
        </w:tc>
        <w:tc>
          <w:tcPr>
            <w:tcW w:type="dxa" w:w="3120"/>
          </w:tcPr>
          <w:p>
            <w:r>
              <w:t>~1 in 1,650</w:t>
            </w:r>
          </w:p>
        </w:tc>
      </w:tr>
      <w:tr>
        <w:tc>
          <w:tcPr>
            <w:tcW w:type="dxa" w:w="3120"/>
          </w:tcPr>
          <w:p>
            <w:r>
              <w:t>European Union</w:t>
            </w:r>
          </w:p>
        </w:tc>
        <w:tc>
          <w:tcPr>
            <w:tcW w:type="dxa" w:w="3120"/>
          </w:tcPr>
          <w:p>
            <w:r>
              <w:t>&lt; 1 in 2,000 prevalence</w:t>
            </w:r>
          </w:p>
        </w:tc>
        <w:tc>
          <w:tcPr>
            <w:tcW w:type="dxa" w:w="3120"/>
          </w:tcPr>
          <w:p>
            <w:r>
              <w:t>0.05%</w:t>
            </w:r>
          </w:p>
        </w:tc>
      </w:tr>
      <w:tr>
        <w:tc>
          <w:tcPr>
            <w:tcW w:type="dxa" w:w="3120"/>
          </w:tcPr>
          <w:p>
            <w:r>
              <w:t>Japan</w:t>
            </w:r>
          </w:p>
        </w:tc>
        <w:tc>
          <w:tcPr>
            <w:tcW w:type="dxa" w:w="3120"/>
          </w:tcPr>
          <w:p>
            <w:r>
              <w:t>&lt; 50,000 affected individuals</w:t>
            </w:r>
          </w:p>
        </w:tc>
        <w:tc>
          <w:tcPr>
            <w:tcW w:type="dxa" w:w="3120"/>
          </w:tcPr>
          <w:p>
            <w:r>
              <w:t>~1 in 2,500</w:t>
            </w:r>
          </w:p>
        </w:tc>
      </w:tr>
      <w:tr>
        <w:tc>
          <w:tcPr>
            <w:tcW w:type="dxa" w:w="3120"/>
          </w:tcPr>
          <w:p>
            <w:r>
              <w:t>Australia</w:t>
            </w:r>
          </w:p>
        </w:tc>
        <w:tc>
          <w:tcPr>
            <w:tcW w:type="dxa" w:w="3120"/>
          </w:tcPr>
          <w:p>
            <w:r>
              <w:t>&lt; 1 in 10,000 prevalence</w:t>
            </w:r>
          </w:p>
        </w:tc>
        <w:tc>
          <w:tcPr>
            <w:tcW w:type="dxa" w:w="3120"/>
          </w:tcPr>
          <w:p>
            <w:r>
              <w:t>0.01%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1.2 The Paradox of Rarity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While each rare disease affects few individuals, collectively rare diseases are common:</w:t>
      </w:r>
    </w:p>
    <w:p/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7,000-10,000</w:t>
      </w:r>
      <w:r>
        <w:rPr>
          <w:rFonts w:ascii="Calibri" w:hAnsi="Calibri"/>
          <w:b w:val="0"/>
          <w:i w:val="0"/>
          <w:color w:val="333333"/>
          <w:sz w:val="22"/>
        </w:rPr>
        <w:t xml:space="preserve"> recognized rare diseases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300-400 million</w:t>
      </w:r>
      <w:r>
        <w:rPr>
          <w:rFonts w:ascii="Calibri" w:hAnsi="Calibri"/>
          <w:b w:val="0"/>
          <w:i w:val="0"/>
          <w:color w:val="333333"/>
          <w:sz w:val="22"/>
        </w:rPr>
        <w:t xml:space="preserve"> people affected worldwide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~80%</w:t>
      </w:r>
      <w:r>
        <w:rPr>
          <w:rFonts w:ascii="Calibri" w:hAnsi="Calibri"/>
          <w:b w:val="0"/>
          <w:i w:val="0"/>
          <w:color w:val="333333"/>
          <w:sz w:val="22"/>
        </w:rPr>
        <w:t xml:space="preserve"> are genetic in origin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~50%</w:t>
      </w:r>
      <w:r>
        <w:rPr>
          <w:rFonts w:ascii="Calibri" w:hAnsi="Calibri"/>
          <w:b w:val="0"/>
          <w:i w:val="0"/>
          <w:color w:val="333333"/>
          <w:sz w:val="22"/>
        </w:rPr>
        <w:t xml:space="preserve"> affect children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~30%</w:t>
      </w:r>
      <w:r>
        <w:rPr>
          <w:rFonts w:ascii="Calibri" w:hAnsi="Calibri"/>
          <w:b w:val="0"/>
          <w:i w:val="0"/>
          <w:color w:val="333333"/>
          <w:sz w:val="22"/>
        </w:rPr>
        <w:t xml:space="preserve"> of affected children do not survive to age 5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~5-8%</w:t>
      </w:r>
      <w:r>
        <w:rPr>
          <w:rFonts w:ascii="Calibri" w:hAnsi="Calibri"/>
          <w:b w:val="0"/>
          <w:i w:val="0"/>
          <w:color w:val="333333"/>
          <w:sz w:val="22"/>
        </w:rPr>
        <w:t xml:space="preserve"> have any FDA-approved treatment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This means approximately 1 in 10-15 people live with a rare disease. For comparison, this exceeds the prevalence of diabetes.</w:t>
      </w:r>
    </w:p>
    <w:p/>
    <w:p>
      <w:pPr>
        <w:pStyle w:val="Heading3"/>
      </w:pPr>
      <w:r>
        <w:rPr>
          <w:rFonts w:ascii="Calibri" w:hAnsi="Calibri"/>
          <w:color w:val="1AAFCC"/>
        </w:rPr>
        <w:t>1.3 Ultra-Rare Diseases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Within the rare disease category, "ultra-rare" diseases are even more challenging: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Prevalence &lt; 1 in 1,000,000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Often fewer than 100 known patients worldwide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Minimal published literature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No established natural history data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Examples: Progeria (Hutchinson-Gilford), Fibrodysplasia ossificans progressiva (FOP)</w:t>
      </w:r>
    </w:p>
    <w:p/>
    <w:p>
      <w:pPr>
        <w:pStyle w:val="Heading3"/>
      </w:pPr>
      <w:r>
        <w:rPr>
          <w:rFonts w:ascii="Calibri" w:hAnsi="Calibri"/>
          <w:color w:val="1AAFCC"/>
        </w:rPr>
        <w:t>1.4 Disease Categories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The HCLS AI Factory Rare Disease Diagnostic Agent organizes rare diseases into 13 categories: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Examples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Prevalence Range</w:t>
            </w:r>
          </w:p>
        </w:tc>
      </w:tr>
      <w:tr>
        <w:tc>
          <w:tcPr>
            <w:tcW w:type="dxa" w:w="3120"/>
          </w:tcPr>
          <w:p>
            <w:r>
              <w:t>Metabolic</w:t>
            </w:r>
          </w:p>
        </w:tc>
        <w:tc>
          <w:tcPr>
            <w:tcW w:type="dxa" w:w="3120"/>
          </w:tcPr>
          <w:p>
            <w:r>
              <w:t>PKU, Gaucher, Fabry, Pompe</w:t>
            </w:r>
          </w:p>
        </w:tc>
        <w:tc>
          <w:tcPr>
            <w:tcW w:type="dxa" w:w="3120"/>
          </w:tcPr>
          <w:p>
            <w:r>
              <w:t>1:800 (collectively)</w:t>
            </w:r>
          </w:p>
        </w:tc>
      </w:tr>
      <w:tr>
        <w:tc>
          <w:tcPr>
            <w:tcW w:type="dxa" w:w="3120"/>
          </w:tcPr>
          <w:p>
            <w:r>
              <w:t>Neurological</w:t>
            </w:r>
          </w:p>
        </w:tc>
        <w:tc>
          <w:tcPr>
            <w:tcW w:type="dxa" w:w="3120"/>
          </w:tcPr>
          <w:p>
            <w:r>
              <w:t>SMA, DMD, Rett, Huntington</w:t>
            </w:r>
          </w:p>
        </w:tc>
        <w:tc>
          <w:tcPr>
            <w:tcW w:type="dxa" w:w="3120"/>
          </w:tcPr>
          <w:p>
            <w:r>
              <w:t>1:6,000 - 1:100,000</w:t>
            </w:r>
          </w:p>
        </w:tc>
      </w:tr>
      <w:tr>
        <w:tc>
          <w:tcPr>
            <w:tcW w:type="dxa" w:w="3120"/>
          </w:tcPr>
          <w:p>
            <w:r>
              <w:t>Hematologic</w:t>
            </w:r>
          </w:p>
        </w:tc>
        <w:tc>
          <w:tcPr>
            <w:tcW w:type="dxa" w:w="3120"/>
          </w:tcPr>
          <w:p>
            <w:r>
              <w:t>Sickle cell, Hemophilia, Thalassemia</w:t>
            </w:r>
          </w:p>
        </w:tc>
        <w:tc>
          <w:tcPr>
            <w:tcW w:type="dxa" w:w="3120"/>
          </w:tcPr>
          <w:p>
            <w:r>
              <w:t>1:500 - 1:100,000</w:t>
            </w:r>
          </w:p>
        </w:tc>
      </w:tr>
      <w:tr>
        <w:tc>
          <w:tcPr>
            <w:tcW w:type="dxa" w:w="3120"/>
          </w:tcPr>
          <w:p>
            <w:r>
              <w:t>Connective Tissue</w:t>
            </w:r>
          </w:p>
        </w:tc>
        <w:tc>
          <w:tcPr>
            <w:tcW w:type="dxa" w:w="3120"/>
          </w:tcPr>
          <w:p>
            <w:r>
              <w:t>Marfan, EDS, OI</w:t>
            </w:r>
          </w:p>
        </w:tc>
        <w:tc>
          <w:tcPr>
            <w:tcW w:type="dxa" w:w="3120"/>
          </w:tcPr>
          <w:p>
            <w:r>
              <w:t>1:5,000 - 1:250,000</w:t>
            </w:r>
          </w:p>
        </w:tc>
      </w:tr>
      <w:tr>
        <w:tc>
          <w:tcPr>
            <w:tcW w:type="dxa" w:w="3120"/>
          </w:tcPr>
          <w:p>
            <w:r>
              <w:t>Immunologic</w:t>
            </w:r>
          </w:p>
        </w:tc>
        <w:tc>
          <w:tcPr>
            <w:tcW w:type="dxa" w:w="3120"/>
          </w:tcPr>
          <w:p>
            <w:r>
              <w:t>SCID, CGD, WAS, XLA</w:t>
            </w:r>
          </w:p>
        </w:tc>
        <w:tc>
          <w:tcPr>
            <w:tcW w:type="dxa" w:w="3120"/>
          </w:tcPr>
          <w:p>
            <w:r>
              <w:t>1:1,200 - 1:100,000</w:t>
            </w:r>
          </w:p>
        </w:tc>
      </w:tr>
      <w:tr>
        <w:tc>
          <w:tcPr>
            <w:tcW w:type="dxa" w:w="3120"/>
          </w:tcPr>
          <w:p>
            <w:r>
              <w:t>Cancer Predisposition</w:t>
            </w:r>
          </w:p>
        </w:tc>
        <w:tc>
          <w:tcPr>
            <w:tcW w:type="dxa" w:w="3120"/>
          </w:tcPr>
          <w:p>
            <w:r>
              <w:t>Li-Fraumeni, Lynch, BRCA</w:t>
            </w:r>
          </w:p>
        </w:tc>
        <w:tc>
          <w:tcPr>
            <w:tcW w:type="dxa" w:w="3120"/>
          </w:tcPr>
          <w:p>
            <w:r>
              <w:t>1:200 - 1:20,000</w:t>
            </w:r>
          </w:p>
        </w:tc>
      </w:tr>
      <w:tr>
        <w:tc>
          <w:tcPr>
            <w:tcW w:type="dxa" w:w="3120"/>
          </w:tcPr>
          <w:p>
            <w:r>
              <w:t>Cardiac</w:t>
            </w:r>
          </w:p>
        </w:tc>
        <w:tc>
          <w:tcPr>
            <w:tcW w:type="dxa" w:w="3120"/>
          </w:tcPr>
          <w:p>
            <w:r>
              <w:t>HCM, Long QT, Brugada</w:t>
            </w:r>
          </w:p>
        </w:tc>
        <w:tc>
          <w:tcPr>
            <w:tcW w:type="dxa" w:w="3120"/>
          </w:tcPr>
          <w:p>
            <w:r>
              <w:t>1:200 - 1:5,000</w:t>
            </w:r>
          </w:p>
        </w:tc>
      </w:tr>
      <w:tr>
        <w:tc>
          <w:tcPr>
            <w:tcW w:type="dxa" w:w="3120"/>
          </w:tcPr>
          <w:p>
            <w:r>
              <w:t>Endocrine</w:t>
            </w:r>
          </w:p>
        </w:tc>
        <w:tc>
          <w:tcPr>
            <w:tcW w:type="dxa" w:w="3120"/>
          </w:tcPr>
          <w:p>
            <w:r>
              <w:t>CAH, Turner, Noonan</w:t>
            </w:r>
          </w:p>
        </w:tc>
        <w:tc>
          <w:tcPr>
            <w:tcW w:type="dxa" w:w="3120"/>
          </w:tcPr>
          <w:p>
            <w:r>
              <w:t>1:2,500 - 1:15,000</w:t>
            </w:r>
          </w:p>
        </w:tc>
      </w:tr>
      <w:tr>
        <w:tc>
          <w:tcPr>
            <w:tcW w:type="dxa" w:w="3120"/>
          </w:tcPr>
          <w:p>
            <w:r>
              <w:t>Skeletal</w:t>
            </w:r>
          </w:p>
        </w:tc>
        <w:tc>
          <w:tcPr>
            <w:tcW w:type="dxa" w:w="3120"/>
          </w:tcPr>
          <w:p>
            <w:r>
              <w:t>Achondroplasia, OI</w:t>
            </w:r>
          </w:p>
        </w:tc>
        <w:tc>
          <w:tcPr>
            <w:tcW w:type="dxa" w:w="3120"/>
          </w:tcPr>
          <w:p>
            <w:r>
              <w:t>1:15,000 - 1:100,000+</w:t>
            </w:r>
          </w:p>
        </w:tc>
      </w:tr>
      <w:tr>
        <w:tc>
          <w:tcPr>
            <w:tcW w:type="dxa" w:w="3120"/>
          </w:tcPr>
          <w:p>
            <w:r>
              <w:t>Renal</w:t>
            </w:r>
          </w:p>
        </w:tc>
        <w:tc>
          <w:tcPr>
            <w:tcW w:type="dxa" w:w="3120"/>
          </w:tcPr>
          <w:p>
            <w:r>
              <w:t>ADPKD, Alport, Cystinosis</w:t>
            </w:r>
          </w:p>
        </w:tc>
        <w:tc>
          <w:tcPr>
            <w:tcW w:type="dxa" w:w="3120"/>
          </w:tcPr>
          <w:p>
            <w:r>
              <w:t>1:1,000 - 1:100,000</w:t>
            </w:r>
          </w:p>
        </w:tc>
      </w:tr>
      <w:tr>
        <w:tc>
          <w:tcPr>
            <w:tcW w:type="dxa" w:w="3120"/>
          </w:tcPr>
          <w:p>
            <w:r>
              <w:t>Pulmonary</w:t>
            </w:r>
          </w:p>
        </w:tc>
        <w:tc>
          <w:tcPr>
            <w:tcW w:type="dxa" w:w="3120"/>
          </w:tcPr>
          <w:p>
            <w:r>
              <w:t>CF, Alpha-1 AT deficiency</w:t>
            </w:r>
          </w:p>
        </w:tc>
        <w:tc>
          <w:tcPr>
            <w:tcW w:type="dxa" w:w="3120"/>
          </w:tcPr>
          <w:p>
            <w:r>
              <w:t>1:3,000 - 1:25,000</w:t>
            </w:r>
          </w:p>
        </w:tc>
      </w:tr>
      <w:tr>
        <w:tc>
          <w:tcPr>
            <w:tcW w:type="dxa" w:w="3120"/>
          </w:tcPr>
          <w:p>
            <w:r>
              <w:t>Dermatologic</w:t>
            </w:r>
          </w:p>
        </w:tc>
        <w:tc>
          <w:tcPr>
            <w:tcW w:type="dxa" w:w="3120"/>
          </w:tcPr>
          <w:p>
            <w:r>
              <w:t>EB, Ichthyosis, XP</w:t>
            </w:r>
          </w:p>
        </w:tc>
        <w:tc>
          <w:tcPr>
            <w:tcW w:type="dxa" w:w="3120"/>
          </w:tcPr>
          <w:p>
            <w:r>
              <w:t>1:20,000 - 1:250,000</w:t>
            </w:r>
          </w:p>
        </w:tc>
      </w:tr>
      <w:tr>
        <w:tc>
          <w:tcPr>
            <w:tcW w:type="dxa" w:w="3120"/>
          </w:tcPr>
          <w:p>
            <w:r>
              <w:t>Ophthalmologic</w:t>
            </w:r>
          </w:p>
        </w:tc>
        <w:tc>
          <w:tcPr>
            <w:tcW w:type="dxa" w:w="3120"/>
          </w:tcPr>
          <w:p>
            <w:r>
              <w:t>RP, LCA</w:t>
            </w:r>
          </w:p>
        </w:tc>
        <w:tc>
          <w:tcPr>
            <w:tcW w:type="dxa" w:w="3120"/>
          </w:tcPr>
          <w:p>
            <w:r>
              <w:t>1:4,000 - 1:100,000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2. The Diagnostic Odyssey</w:t>
      </w:r>
    </w:p>
    <w:p/>
    <w:p>
      <w:pPr>
        <w:pStyle w:val="Heading3"/>
      </w:pPr>
      <w:r>
        <w:rPr>
          <w:rFonts w:ascii="Calibri" w:hAnsi="Calibri"/>
          <w:color w:val="1AAFCC"/>
        </w:rPr>
        <w:t>2.1 What Is the Diagnostic Odyssey?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The diagnostic odyssey is the prolonged journey from first symptoms to definitive diagnosis. For rare disease patients, this journey averages 5-7 years but can extend to decades.</w:t>
      </w:r>
    </w:p>
    <w:p/>
    <w:p>
      <w:pPr>
        <w:pStyle w:val="Heading3"/>
      </w:pPr>
      <w:r>
        <w:rPr>
          <w:rFonts w:ascii="Calibri" w:hAnsi="Calibri"/>
          <w:color w:val="1AAFCC"/>
        </w:rPr>
        <w:t>2.2 The Patient Experience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A typical rare disease diagnostic odyssey: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Year 0:   First symptoms appear (often non-specific)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Year 1:   Primary care visits, basic labs, "wait and see"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Year 2:   Referral to first specialist (often wrong specialty)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Year 3:   First misdiagnosis, inappropriate treatment started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Year 4:   Second specialist, more tests, growing frustration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Year 5:   Third specialist suggests genetic testing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Year 6:   Genetic test ordered, results take months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Year 7:   Finally: correct diagnosis, appropriate management</w:t>
      </w:r>
    </w:p>
    <w:p/>
    <w:p>
      <w:pPr>
        <w:pStyle w:val="Heading3"/>
      </w:pPr>
      <w:r>
        <w:rPr>
          <w:rFonts w:ascii="Calibri" w:hAnsi="Calibri"/>
          <w:color w:val="1AAFCC"/>
        </w:rPr>
        <w:t>2.3 Why Diagnosis Takes So Long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2333" w:val="clear"/>
          </w:tcPr>
          <w:p>
            <w:r>
              <w:rPr>
                <w:b/>
                <w:color w:val="FFFFFF"/>
              </w:rPr>
              <w:t>Barrier</w:t>
            </w:r>
          </w:p>
        </w:tc>
        <w:tc>
          <w:tcPr>
            <w:tcW w:type="dxa" w:w="4680"/>
            <w:shd w:fill="1B2333" w:val="clear"/>
          </w:tcPr>
          <w:p>
            <w:r>
              <w:rPr>
                <w:b/>
                <w:color w:val="FFFFFF"/>
              </w:rPr>
              <w:t>Explanation</w:t>
            </w:r>
          </w:p>
        </w:tc>
      </w:tr>
      <w:tr>
        <w:tc>
          <w:tcPr>
            <w:tcW w:type="dxa" w:w="4680"/>
          </w:tcPr>
          <w:p>
            <w:r>
              <w:t>Knowledge fragmentation</w:t>
            </w:r>
          </w:p>
        </w:tc>
        <w:tc>
          <w:tcPr>
            <w:tcW w:type="dxa" w:w="4680"/>
          </w:tcPr>
          <w:p>
            <w:r>
              <w:t>No clinician knows all 7,000+ rare diseases</w:t>
            </w:r>
          </w:p>
        </w:tc>
      </w:tr>
      <w:tr>
        <w:tc>
          <w:tcPr>
            <w:tcW w:type="dxa" w:w="4680"/>
          </w:tcPr>
          <w:p>
            <w:r>
              <w:t>Phenotypic variability</w:t>
            </w:r>
          </w:p>
        </w:tc>
        <w:tc>
          <w:tcPr>
            <w:tcW w:type="dxa" w:w="4680"/>
          </w:tcPr>
          <w:p>
            <w:r>
              <w:t>Same gene can produce different symptoms</w:t>
            </w:r>
          </w:p>
        </w:tc>
      </w:tr>
      <w:tr>
        <w:tc>
          <w:tcPr>
            <w:tcW w:type="dxa" w:w="4680"/>
          </w:tcPr>
          <w:p>
            <w:r>
              <w:t>Genetic heterogeneity</w:t>
            </w:r>
          </w:p>
        </w:tc>
        <w:tc>
          <w:tcPr>
            <w:tcW w:type="dxa" w:w="4680"/>
          </w:tcPr>
          <w:p>
            <w:r>
              <w:t>Same symptoms can come from different genes</w:t>
            </w:r>
          </w:p>
        </w:tc>
      </w:tr>
      <w:tr>
        <w:tc>
          <w:tcPr>
            <w:tcW w:type="dxa" w:w="4680"/>
          </w:tcPr>
          <w:p>
            <w:r>
              <w:t>Age-dependent features</w:t>
            </w:r>
          </w:p>
        </w:tc>
        <w:tc>
          <w:tcPr>
            <w:tcW w:type="dxa" w:w="4680"/>
          </w:tcPr>
          <w:p>
            <w:r>
              <w:t>Presentation changes over the patient's lifetime</w:t>
            </w:r>
          </w:p>
        </w:tc>
      </w:tr>
      <w:tr>
        <w:tc>
          <w:tcPr>
            <w:tcW w:type="dxa" w:w="4680"/>
          </w:tcPr>
          <w:p>
            <w:r>
              <w:t>Geographic disparities</w:t>
            </w:r>
          </w:p>
        </w:tc>
        <w:tc>
          <w:tcPr>
            <w:tcW w:type="dxa" w:w="4680"/>
          </w:tcPr>
          <w:p>
            <w:r>
              <w:t>Access to genetics expertise varies enormously</w:t>
            </w:r>
          </w:p>
        </w:tc>
      </w:tr>
      <w:tr>
        <w:tc>
          <w:tcPr>
            <w:tcW w:type="dxa" w:w="4680"/>
          </w:tcPr>
          <w:p>
            <w:r>
              <w:t>Testing limitations</w:t>
            </w:r>
          </w:p>
        </w:tc>
        <w:tc>
          <w:tcPr>
            <w:tcW w:type="dxa" w:w="4680"/>
          </w:tcPr>
          <w:p>
            <w:r>
              <w:t>Not all diseases have available genetic tests</w:t>
            </w:r>
          </w:p>
        </w:tc>
      </w:tr>
      <w:tr>
        <w:tc>
          <w:tcPr>
            <w:tcW w:type="dxa" w:w="4680"/>
          </w:tcPr>
          <w:p>
            <w:r>
              <w:t>Insurance barriers</w:t>
            </w:r>
          </w:p>
        </w:tc>
        <w:tc>
          <w:tcPr>
            <w:tcW w:type="dxa" w:w="4680"/>
          </w:tcPr>
          <w:p>
            <w:r>
              <w:t>Genetic testing authorization can take months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2.4 How AI Can Help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AI-based diagnostic support addresses these barriers by: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Comprehensive knowledge:</w:t>
      </w:r>
      <w:r>
        <w:rPr>
          <w:rFonts w:ascii="Calibri" w:hAnsi="Calibri"/>
          <w:b w:val="0"/>
          <w:i w:val="0"/>
          <w:color w:val="333333"/>
          <w:sz w:val="22"/>
        </w:rPr>
        <w:t xml:space="preserve"> Encoding all 7,000+ diseases in searchable form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Pattern recognition:</w:t>
      </w:r>
      <w:r>
        <w:rPr>
          <w:rFonts w:ascii="Calibri" w:hAnsi="Calibri"/>
          <w:b w:val="0"/>
          <w:i w:val="0"/>
          <w:color w:val="333333"/>
          <w:sz w:val="22"/>
        </w:rPr>
        <w:t xml:space="preserve"> Matching patient phenotypes to disease profiles systematically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Up-to-date evidence:</w:t>
      </w:r>
      <w:r>
        <w:rPr>
          <w:rFonts w:ascii="Calibri" w:hAnsi="Calibri"/>
          <w:b w:val="0"/>
          <w:i w:val="0"/>
          <w:color w:val="333333"/>
          <w:sz w:val="22"/>
        </w:rPr>
        <w:t xml:space="preserve"> RAG architecture allows continuous knowledge updates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Structured reasoning:</w:t>
      </w:r>
      <w:r>
        <w:rPr>
          <w:rFonts w:ascii="Calibri" w:hAnsi="Calibri"/>
          <w:b w:val="0"/>
          <w:i w:val="0"/>
          <w:color w:val="333333"/>
          <w:sz w:val="22"/>
        </w:rPr>
        <w:t xml:space="preserve"> Systematic evaluation of variant evidence against ACMG criteria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Therapy matching:</w:t>
      </w:r>
      <w:r>
        <w:rPr>
          <w:rFonts w:ascii="Calibri" w:hAnsi="Calibri"/>
          <w:b w:val="0"/>
          <w:i w:val="0"/>
          <w:color w:val="333333"/>
          <w:sz w:val="22"/>
        </w:rPr>
        <w:t xml:space="preserve"> Connecting diagnoses to available treatments immediately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3. Genetics Fundamentals</w:t>
      </w:r>
    </w:p>
    <w:p/>
    <w:p>
      <w:pPr>
        <w:pStyle w:val="Heading3"/>
      </w:pPr>
      <w:r>
        <w:rPr>
          <w:rFonts w:ascii="Calibri" w:hAnsi="Calibri"/>
          <w:color w:val="1AAFCC"/>
        </w:rPr>
        <w:t>3.1 DNA, Genes, and Proteins</w:t>
      </w:r>
    </w:p>
    <w:p/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DNA:</w:t>
      </w:r>
      <w:r>
        <w:rPr>
          <w:rFonts w:ascii="Calibri" w:hAnsi="Calibri"/>
          <w:b w:val="0"/>
          <w:i w:val="0"/>
          <w:color w:val="333333"/>
          <w:sz w:val="22"/>
        </w:rPr>
        <w:t xml:space="preserve"> The double-helix molecule containing genetic instructions (3.2 billion base pairs)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Gene:</w:t>
      </w:r>
      <w:r>
        <w:rPr>
          <w:rFonts w:ascii="Calibri" w:hAnsi="Calibri"/>
          <w:b w:val="0"/>
          <w:i w:val="0"/>
          <w:color w:val="333333"/>
          <w:sz w:val="22"/>
        </w:rPr>
        <w:t xml:space="preserve"> A segment of DNA that encodes a protein (~20,000 protein-coding genes)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Protein:</w:t>
      </w:r>
      <w:r>
        <w:rPr>
          <w:rFonts w:ascii="Calibri" w:hAnsi="Calibri"/>
          <w:b w:val="0"/>
          <w:i w:val="0"/>
          <w:color w:val="333333"/>
          <w:sz w:val="22"/>
        </w:rPr>
        <w:t xml:space="preserve"> The functional product of a gene (enzymes, structural proteins, signaling molecules)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Variant:</w:t>
      </w:r>
      <w:r>
        <w:rPr>
          <w:rFonts w:ascii="Calibri" w:hAnsi="Calibri"/>
          <w:b w:val="0"/>
          <w:i w:val="0"/>
          <w:color w:val="333333"/>
          <w:sz w:val="22"/>
        </w:rPr>
        <w:t xml:space="preserve"> A difference in DNA sequence compared to the reference genome</w:t>
      </w:r>
    </w:p>
    <w:p/>
    <w:p>
      <w:pPr>
        <w:pStyle w:val="Heading3"/>
      </w:pPr>
      <w:r>
        <w:rPr>
          <w:rFonts w:ascii="Calibri" w:hAnsi="Calibri"/>
          <w:color w:val="1AAFCC"/>
        </w:rPr>
        <w:t>3.2 Types of Genetic Variants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t>SNV</w:t>
            </w:r>
          </w:p>
        </w:tc>
        <w:tc>
          <w:tcPr>
            <w:tcW w:type="dxa" w:w="3120"/>
          </w:tcPr>
          <w:p>
            <w:r>
              <w:t>Single nucleotide change</w:t>
            </w:r>
          </w:p>
        </w:tc>
        <w:tc>
          <w:tcPr>
            <w:tcW w:type="dxa" w:w="3120"/>
          </w:tcPr>
          <w:p>
            <w:r>
              <w:t>c.1234A&gt;G</w:t>
            </w:r>
          </w:p>
        </w:tc>
      </w:tr>
      <w:tr>
        <w:tc>
          <w:tcPr>
            <w:tcW w:type="dxa" w:w="3120"/>
          </w:tcPr>
          <w:p>
            <w:r>
              <w:t>Insertion</w:t>
            </w:r>
          </w:p>
        </w:tc>
        <w:tc>
          <w:tcPr>
            <w:tcW w:type="dxa" w:w="3120"/>
          </w:tcPr>
          <w:p>
            <w:r>
              <w:t>Extra nucleotides added</w:t>
            </w:r>
          </w:p>
        </w:tc>
        <w:tc>
          <w:tcPr>
            <w:tcW w:type="dxa" w:w="3120"/>
          </w:tcPr>
          <w:p>
            <w:r>
              <w:t>c.1234_1235insATG</w:t>
            </w:r>
          </w:p>
        </w:tc>
      </w:tr>
      <w:tr>
        <w:tc>
          <w:tcPr>
            <w:tcW w:type="dxa" w:w="3120"/>
          </w:tcPr>
          <w:p>
            <w:r>
              <w:t>Deletion</w:t>
            </w:r>
          </w:p>
        </w:tc>
        <w:tc>
          <w:tcPr>
            <w:tcW w:type="dxa" w:w="3120"/>
          </w:tcPr>
          <w:p>
            <w:r>
              <w:t>Nucleotides removed</w:t>
            </w:r>
          </w:p>
        </w:tc>
        <w:tc>
          <w:tcPr>
            <w:tcW w:type="dxa" w:w="3120"/>
          </w:tcPr>
          <w:p>
            <w:r>
              <w:t>c.1234_1236del</w:t>
            </w:r>
          </w:p>
        </w:tc>
      </w:tr>
      <w:tr>
        <w:tc>
          <w:tcPr>
            <w:tcW w:type="dxa" w:w="3120"/>
          </w:tcPr>
          <w:p>
            <w:r>
              <w:t>Indel</w:t>
            </w:r>
          </w:p>
        </w:tc>
        <w:tc>
          <w:tcPr>
            <w:tcW w:type="dxa" w:w="3120"/>
          </w:tcPr>
          <w:p>
            <w:r>
              <w:t>Combined insertion/deletion</w:t>
            </w:r>
          </w:p>
        </w:tc>
        <w:tc>
          <w:tcPr>
            <w:tcW w:type="dxa" w:w="3120"/>
          </w:tcPr>
          <w:p>
            <w:r>
              <w:t>c.1234_1236delinsGG</w:t>
            </w:r>
          </w:p>
        </w:tc>
      </w:tr>
      <w:tr>
        <w:tc>
          <w:tcPr>
            <w:tcW w:type="dxa" w:w="3120"/>
          </w:tcPr>
          <w:p>
            <w:r>
              <w:t>CNV</w:t>
            </w:r>
          </w:p>
        </w:tc>
        <w:tc>
          <w:tcPr>
            <w:tcW w:type="dxa" w:w="3120"/>
          </w:tcPr>
          <w:p>
            <w:r>
              <w:t>Copy number change (large)</w:t>
            </w:r>
          </w:p>
        </w:tc>
        <w:tc>
          <w:tcPr>
            <w:tcW w:type="dxa" w:w="3120"/>
          </w:tcPr>
          <w:p>
            <w:r>
              <w:t>del(7)(q11.23)</w:t>
            </w:r>
          </w:p>
        </w:tc>
      </w:tr>
      <w:tr>
        <w:tc>
          <w:tcPr>
            <w:tcW w:type="dxa" w:w="3120"/>
          </w:tcPr>
          <w:p>
            <w:r>
              <w:t>Structural</w:t>
            </w:r>
          </w:p>
        </w:tc>
        <w:tc>
          <w:tcPr>
            <w:tcW w:type="dxa" w:w="3120"/>
          </w:tcPr>
          <w:p>
            <w:r>
              <w:t>Translocations, inversions</w:t>
            </w:r>
          </w:p>
        </w:tc>
        <w:tc>
          <w:tcPr>
            <w:tcW w:type="dxa" w:w="3120"/>
          </w:tcPr>
          <w:p>
            <w:r>
              <w:t>t(9;22)</w:t>
            </w:r>
          </w:p>
        </w:tc>
      </w:tr>
      <w:tr>
        <w:tc>
          <w:tcPr>
            <w:tcW w:type="dxa" w:w="3120"/>
          </w:tcPr>
          <w:p>
            <w:r>
              <w:t>Repeat Expansion</w:t>
            </w:r>
          </w:p>
        </w:tc>
        <w:tc>
          <w:tcPr>
            <w:tcW w:type="dxa" w:w="3120"/>
          </w:tcPr>
          <w:p>
            <w:r>
              <w:t>Trinucleotide repeat growth</w:t>
            </w:r>
          </w:p>
        </w:tc>
        <w:tc>
          <w:tcPr>
            <w:tcW w:type="dxa" w:w="3120"/>
          </w:tcPr>
          <w:p>
            <w:r>
              <w:t>(CAG)n in HTT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3.3 Variant Consequences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Consequence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Effect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Severity</w:t>
            </w:r>
          </w:p>
        </w:tc>
      </w:tr>
      <w:tr>
        <w:tc>
          <w:tcPr>
            <w:tcW w:type="dxa" w:w="3120"/>
          </w:tcPr>
          <w:p>
            <w:r>
              <w:t>Synonymous</w:t>
            </w:r>
          </w:p>
        </w:tc>
        <w:tc>
          <w:tcPr>
            <w:tcW w:type="dxa" w:w="3120"/>
          </w:tcPr>
          <w:p>
            <w:r>
              <w:t>No amino acid change</w:t>
            </w:r>
          </w:p>
        </w:tc>
        <w:tc>
          <w:tcPr>
            <w:tcW w:type="dxa" w:w="3120"/>
          </w:tcPr>
          <w:p>
            <w:r>
              <w:t>Usually benign</w:t>
            </w:r>
          </w:p>
        </w:tc>
      </w:tr>
      <w:tr>
        <w:tc>
          <w:tcPr>
            <w:tcW w:type="dxa" w:w="3120"/>
          </w:tcPr>
          <w:p>
            <w:r>
              <w:t>Missense</w:t>
            </w:r>
          </w:p>
        </w:tc>
        <w:tc>
          <w:tcPr>
            <w:tcW w:type="dxa" w:w="3120"/>
          </w:tcPr>
          <w:p>
            <w:r>
              <w:t>Different amino acid</w:t>
            </w:r>
          </w:p>
        </w:tc>
        <w:tc>
          <w:tcPr>
            <w:tcW w:type="dxa" w:w="3120"/>
          </w:tcPr>
          <w:p>
            <w:r>
              <w:t>Variable</w:t>
            </w:r>
          </w:p>
        </w:tc>
      </w:tr>
      <w:tr>
        <w:tc>
          <w:tcPr>
            <w:tcW w:type="dxa" w:w="3120"/>
          </w:tcPr>
          <w:p>
            <w:r>
              <w:t>Nonsense</w:t>
            </w:r>
          </w:p>
        </w:tc>
        <w:tc>
          <w:tcPr>
            <w:tcW w:type="dxa" w:w="3120"/>
          </w:tcPr>
          <w:p>
            <w:r>
              <w:t>Premature stop codon</w:t>
            </w:r>
          </w:p>
        </w:tc>
        <w:tc>
          <w:tcPr>
            <w:tcW w:type="dxa" w:w="3120"/>
          </w:tcPr>
          <w:p>
            <w:r>
              <w:t>Usually severe</w:t>
            </w:r>
          </w:p>
        </w:tc>
      </w:tr>
      <w:tr>
        <w:tc>
          <w:tcPr>
            <w:tcW w:type="dxa" w:w="3120"/>
          </w:tcPr>
          <w:p>
            <w:r>
              <w:t>Frameshift</w:t>
            </w:r>
          </w:p>
        </w:tc>
        <w:tc>
          <w:tcPr>
            <w:tcW w:type="dxa" w:w="3120"/>
          </w:tcPr>
          <w:p>
            <w:r>
              <w:t>Reading frame shift</w:t>
            </w:r>
          </w:p>
        </w:tc>
        <w:tc>
          <w:tcPr>
            <w:tcW w:type="dxa" w:w="3120"/>
          </w:tcPr>
          <w:p>
            <w:r>
              <w:t>Usually severe</w:t>
            </w:r>
          </w:p>
        </w:tc>
      </w:tr>
      <w:tr>
        <w:tc>
          <w:tcPr>
            <w:tcW w:type="dxa" w:w="3120"/>
          </w:tcPr>
          <w:p>
            <w:r>
              <w:t>Splice site</w:t>
            </w:r>
          </w:p>
        </w:tc>
        <w:tc>
          <w:tcPr>
            <w:tcW w:type="dxa" w:w="3120"/>
          </w:tcPr>
          <w:p>
            <w:r>
              <w:t>Altered mRNA processing</w:t>
            </w:r>
          </w:p>
        </w:tc>
        <w:tc>
          <w:tcPr>
            <w:tcW w:type="dxa" w:w="3120"/>
          </w:tcPr>
          <w:p>
            <w:r>
              <w:t>Variable to severe</w:t>
            </w:r>
          </w:p>
        </w:tc>
      </w:tr>
      <w:tr>
        <w:tc>
          <w:tcPr>
            <w:tcW w:type="dxa" w:w="3120"/>
          </w:tcPr>
          <w:p>
            <w:r>
              <w:t>In-frame del/ins</w:t>
            </w:r>
          </w:p>
        </w:tc>
        <w:tc>
          <w:tcPr>
            <w:tcW w:type="dxa" w:w="3120"/>
          </w:tcPr>
          <w:p>
            <w:r>
              <w:t>Amino acid(s) removed/added</w:t>
            </w:r>
          </w:p>
        </w:tc>
        <w:tc>
          <w:tcPr>
            <w:tcW w:type="dxa" w:w="3120"/>
          </w:tcPr>
          <w:p>
            <w:r>
              <w:t>Variable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3.4 Population Frequency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Variant frequency in the general population is a key indicator of pathogenicity: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2333" w:val="clear"/>
          </w:tcPr>
          <w:p>
            <w:r>
              <w:rPr>
                <w:b/>
                <w:color w:val="FFFFFF"/>
              </w:rPr>
              <w:t>Frequency</w:t>
            </w:r>
          </w:p>
        </w:tc>
        <w:tc>
          <w:tcPr>
            <w:tcW w:type="dxa" w:w="4680"/>
            <w:shd w:fill="1B2333" w:val="clea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4680"/>
          </w:tcPr>
          <w:p>
            <w:r>
              <w:t>&gt; 5%</w:t>
            </w:r>
          </w:p>
        </w:tc>
        <w:tc>
          <w:tcPr>
            <w:tcW w:type="dxa" w:w="4680"/>
          </w:tcPr>
          <w:p>
            <w:r>
              <w:t>Common polymorphism -- almost certainly benign (BA1)</w:t>
            </w:r>
          </w:p>
        </w:tc>
      </w:tr>
      <w:tr>
        <w:tc>
          <w:tcPr>
            <w:tcW w:type="dxa" w:w="4680"/>
          </w:tcPr>
          <w:p>
            <w:r>
              <w:t>1-5%</w:t>
            </w:r>
          </w:p>
        </w:tc>
        <w:tc>
          <w:tcPr>
            <w:tcW w:type="dxa" w:w="4680"/>
          </w:tcPr>
          <w:p>
            <w:r>
              <w:t>Low-frequency variant -- likely benign for rare disease</w:t>
            </w:r>
          </w:p>
        </w:tc>
      </w:tr>
      <w:tr>
        <w:tc>
          <w:tcPr>
            <w:tcW w:type="dxa" w:w="4680"/>
          </w:tcPr>
          <w:p>
            <w:r>
              <w:t>0.01-1%</w:t>
            </w:r>
          </w:p>
        </w:tc>
        <w:tc>
          <w:tcPr>
            <w:tcW w:type="dxa" w:w="4680"/>
          </w:tcPr>
          <w:p>
            <w:r>
              <w:t>Uncommon -- consider in context</w:t>
            </w:r>
          </w:p>
        </w:tc>
      </w:tr>
      <w:tr>
        <w:tc>
          <w:tcPr>
            <w:tcW w:type="dxa" w:w="4680"/>
          </w:tcPr>
          <w:p>
            <w:r>
              <w:t>&lt; 0.01%</w:t>
            </w:r>
          </w:p>
        </w:tc>
        <w:tc>
          <w:tcPr>
            <w:tcW w:type="dxa" w:w="4680"/>
          </w:tcPr>
          <w:p>
            <w:r>
              <w:t>Rare -- consistent with rare disease causation</w:t>
            </w:r>
          </w:p>
        </w:tc>
      </w:tr>
      <w:tr>
        <w:tc>
          <w:tcPr>
            <w:tcW w:type="dxa" w:w="4680"/>
          </w:tcPr>
          <w:p>
            <w:r>
              <w:t>0% (absent)</w:t>
            </w:r>
          </w:p>
        </w:tc>
        <w:tc>
          <w:tcPr>
            <w:tcW w:type="dxa" w:w="4680"/>
          </w:tcPr>
          <w:p>
            <w:r>
              <w:t>Very rare or private variant -- strong pathogenic evidence (PM2)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4. Inheritance Patterns</w:t>
      </w:r>
    </w:p>
    <w:p/>
    <w:p>
      <w:pPr>
        <w:pStyle w:val="Heading3"/>
      </w:pPr>
      <w:r>
        <w:rPr>
          <w:rFonts w:ascii="Calibri" w:hAnsi="Calibri"/>
          <w:color w:val="1AAFCC"/>
        </w:rPr>
        <w:t>4.1 Autosomal Dominant (AD)</w:t>
      </w:r>
    </w:p>
    <w:p/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One pathogenic allele sufficient to cause disease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50% recurrence risk per offspring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Affected individuals in every generation (typically)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Examples: Marfan syndrome (FBN1), Huntington disease (HTT), Long QT (KCNQ1)</w:t>
      </w:r>
    </w:p>
    <w:p/>
    <w:p>
      <w:pPr>
        <w:pStyle w:val="Heading3"/>
      </w:pPr>
      <w:r>
        <w:rPr>
          <w:rFonts w:ascii="Calibri" w:hAnsi="Calibri"/>
          <w:color w:val="1AAFCC"/>
        </w:rPr>
        <w:t>4.2 Autosomal Recessive (AR)</w:t>
      </w:r>
    </w:p>
    <w:p/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Two pathogenic alleles required (homozygous or compound heterozygous)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25% recurrence risk for carrier parents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Often seen in consanguineous families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Carrier frequency matters for population screening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Examples: Cystic fibrosis (CFTR), PKU (PAH), Sickle cell disease (HBB)</w:t>
      </w:r>
    </w:p>
    <w:p/>
    <w:p>
      <w:pPr>
        <w:pStyle w:val="Heading3"/>
      </w:pPr>
      <w:r>
        <w:rPr>
          <w:rFonts w:ascii="Calibri" w:hAnsi="Calibri"/>
          <w:color w:val="1AAFCC"/>
        </w:rPr>
        <w:t>4.3 X-Linked Recessive (XLR)</w:t>
      </w:r>
    </w:p>
    <w:p/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Gene on X chromosome; males hemizygous (one copy)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Males predominantly affected; carrier females usually unaffected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No male-to-male transmission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All daughters of affected male are carriers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Examples: Duchenne muscular dystrophy (DMD), Hemophilia A (F8)</w:t>
      </w:r>
    </w:p>
    <w:p/>
    <w:p>
      <w:pPr>
        <w:pStyle w:val="Heading3"/>
      </w:pPr>
      <w:r>
        <w:rPr>
          <w:rFonts w:ascii="Calibri" w:hAnsi="Calibri"/>
          <w:color w:val="1AAFCC"/>
        </w:rPr>
        <w:t>4.4 X-Linked Dominant (XLD)</w:t>
      </w:r>
    </w:p>
    <w:p/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Pathogenic variant on X causes disease in heterozygous females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Affected males may have more severe phenotype or lethality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Examples: Rett syndrome (MECP2), Incontinentia pigmenti (IKBKG)</w:t>
      </w:r>
    </w:p>
    <w:p/>
    <w:p>
      <w:pPr>
        <w:pStyle w:val="Heading3"/>
      </w:pPr>
      <w:r>
        <w:rPr>
          <w:rFonts w:ascii="Calibri" w:hAnsi="Calibri"/>
          <w:color w:val="1AAFCC"/>
        </w:rPr>
        <w:t>4.5 Mitochondrial (Maternal) Inheritance</w:t>
      </w:r>
    </w:p>
    <w:p/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Mitochondrial DNA variants passed from mother to all children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Fathers do not transmit mitochondrial DNA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Variable expressivity due to heteroplasmy (mixture of normal and mutant mtDNA)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Examples: MELAS, MERRF, Leber hereditary optic neuropathy</w:t>
      </w:r>
    </w:p>
    <w:p/>
    <w:p>
      <w:pPr>
        <w:pStyle w:val="Heading3"/>
      </w:pPr>
      <w:r>
        <w:rPr>
          <w:rFonts w:ascii="Calibri" w:hAnsi="Calibri"/>
          <w:color w:val="1AAFCC"/>
        </w:rPr>
        <w:t>4.6 De Novo Variants</w:t>
      </w:r>
    </w:p>
    <w:p/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New variants arising in the affected individual (not inherited from either parent)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Common in severe early-onset dominant conditions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Confirmation requires testing both parents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Examples: ~70% of SCN1A variants in Dravet syndrome are de novo</w:t>
      </w:r>
    </w:p>
    <w:p/>
    <w:p>
      <w:pPr>
        <w:pStyle w:val="Heading3"/>
      </w:pPr>
      <w:r>
        <w:rPr>
          <w:rFonts w:ascii="Calibri" w:hAnsi="Calibri"/>
          <w:color w:val="1AAFCC"/>
        </w:rPr>
        <w:t>4.7 Variable Expressivity and Reduced Penetrance</w:t>
      </w:r>
    </w:p>
    <w:p/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Variable expressivity:</w:t>
      </w:r>
      <w:r>
        <w:rPr>
          <w:rFonts w:ascii="Calibri" w:hAnsi="Calibri"/>
          <w:b w:val="0"/>
          <w:i w:val="0"/>
          <w:color w:val="333333"/>
          <w:sz w:val="22"/>
        </w:rPr>
        <w:t xml:space="preserve"> Same variant produces different severity in different individuals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Reduced penetrance:</w:t>
      </w:r>
      <w:r>
        <w:rPr>
          <w:rFonts w:ascii="Calibri" w:hAnsi="Calibri"/>
          <w:b w:val="0"/>
          <w:i w:val="0"/>
          <w:color w:val="333333"/>
          <w:sz w:val="22"/>
        </w:rPr>
        <w:t xml:space="preserve"> Not all carriers develop the disease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Both complicate diagnosis and genetic counseling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5. The Human Phenotype Ontology (HPO)</w:t>
      </w:r>
    </w:p>
    <w:p/>
    <w:p>
      <w:pPr>
        <w:pStyle w:val="Heading3"/>
      </w:pPr>
      <w:r>
        <w:rPr>
          <w:rFonts w:ascii="Calibri" w:hAnsi="Calibri"/>
          <w:color w:val="1AAFCC"/>
        </w:rPr>
        <w:t>5.1 What Is HPO?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The Human Phenotype Ontology is a standardized vocabulary of ~18,000 terms for describing human phenotypic abnormalities. Each term has:</w:t>
      </w:r>
    </w:p>
    <w:p/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HPO ID:</w:t>
      </w:r>
      <w:r>
        <w:rPr>
          <w:rFonts w:ascii="Calibri" w:hAnsi="Calibri"/>
          <w:b w:val="0"/>
          <w:i w:val="0"/>
          <w:color w:val="333333"/>
          <w:sz w:val="22"/>
        </w:rPr>
        <w:t xml:space="preserve"> Unique identifier (e.g., HP:0001250 = "Seizure")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Name:</w:t>
      </w:r>
      <w:r>
        <w:rPr>
          <w:rFonts w:ascii="Calibri" w:hAnsi="Calibri"/>
          <w:b w:val="0"/>
          <w:i w:val="0"/>
          <w:color w:val="333333"/>
          <w:sz w:val="22"/>
        </w:rPr>
        <w:t xml:space="preserve"> Preferred term name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Definition:</w:t>
      </w:r>
      <w:r>
        <w:rPr>
          <w:rFonts w:ascii="Calibri" w:hAnsi="Calibri"/>
          <w:b w:val="0"/>
          <w:i w:val="0"/>
          <w:color w:val="333333"/>
          <w:sz w:val="22"/>
        </w:rPr>
        <w:t xml:space="preserve"> Clinical definition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Synonyms:</w:t>
      </w:r>
      <w:r>
        <w:rPr>
          <w:rFonts w:ascii="Calibri" w:hAnsi="Calibri"/>
          <w:b w:val="0"/>
          <w:i w:val="0"/>
          <w:color w:val="333333"/>
          <w:sz w:val="22"/>
        </w:rPr>
        <w:t xml:space="preserve"> Alternative names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Hierarchy:</w:t>
      </w:r>
      <w:r>
        <w:rPr>
          <w:rFonts w:ascii="Calibri" w:hAnsi="Calibri"/>
          <w:b w:val="0"/>
          <w:i w:val="0"/>
          <w:color w:val="333333"/>
          <w:sz w:val="22"/>
        </w:rPr>
        <w:t xml:space="preserve"> Parent-child relationships (more general to more specific)</w:t>
      </w:r>
    </w:p>
    <w:p/>
    <w:p>
      <w:pPr>
        <w:pStyle w:val="Heading3"/>
      </w:pPr>
      <w:r>
        <w:rPr>
          <w:rFonts w:ascii="Calibri" w:hAnsi="Calibri"/>
          <w:color w:val="1AAFCC"/>
        </w:rPr>
        <w:t>5.2 HPO Structure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HPO is organized as a directed acyclic graph (DAG):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Phenotypic abnormality (HP:0000118)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|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+-- Abnormality of the nervous system (HP:0000707)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|     |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|     +-- Seizure (HP:0001250)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|     |     |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|     |     +-- Febrile seizure (HP:0002373)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|     |     +-- Absence seizure (HP:0002121)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|     |     +-- Tonic-clonic seizure (HP:0002069)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|     |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|     +-- Intellectual disability (HP:0001249)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|           |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|           +-- Mild intellectual disability (HP:0001256)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|           +-- Severe intellectual disability (HP:0010864)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|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+-- Abnormality of the cardiovascular system (HP:0001626)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  |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  +-- Arrhythmia (HP:0011675)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        |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        +-- Long QT interval (HP:0001657)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        +-- Ventricular tachycardia (HP:0004756)</w:t>
      </w:r>
    </w:p>
    <w:p/>
    <w:p>
      <w:pPr>
        <w:pStyle w:val="Heading3"/>
      </w:pPr>
      <w:r>
        <w:rPr>
          <w:rFonts w:ascii="Calibri" w:hAnsi="Calibri"/>
          <w:color w:val="1AAFCC"/>
        </w:rPr>
        <w:t>5.3 Why HPO Matters for Diagnosis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HPO enables: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Standardized phenotype capture:</w:t>
      </w:r>
      <w:r>
        <w:rPr>
          <w:rFonts w:ascii="Calibri" w:hAnsi="Calibri"/>
          <w:b w:val="0"/>
          <w:i w:val="0"/>
          <w:color w:val="333333"/>
          <w:sz w:val="22"/>
        </w:rPr>
        <w:t xml:space="preserve"> Different clinicians use different words for the same finding -- HPO normalizes this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Computational phenotype matching:</w:t>
      </w:r>
      <w:r>
        <w:rPr>
          <w:rFonts w:ascii="Calibri" w:hAnsi="Calibri"/>
          <w:b w:val="0"/>
          <w:i w:val="0"/>
          <w:color w:val="333333"/>
          <w:sz w:val="22"/>
        </w:rPr>
        <w:t xml:space="preserve"> Algorithms can compare patient HPO profiles to disease profiles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Cross-database interoperability:</w:t>
      </w:r>
      <w:r>
        <w:rPr>
          <w:rFonts w:ascii="Calibri" w:hAnsi="Calibri"/>
          <w:b w:val="0"/>
          <w:i w:val="0"/>
          <w:color w:val="333333"/>
          <w:sz w:val="22"/>
        </w:rPr>
        <w:t xml:space="preserve"> OMIM, Orphanet, ClinVar all use HPO annotations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Information Content scoring:</w:t>
      </w:r>
      <w:r>
        <w:rPr>
          <w:rFonts w:ascii="Calibri" w:hAnsi="Calibri"/>
          <w:b w:val="0"/>
          <w:i w:val="0"/>
          <w:color w:val="333333"/>
          <w:sz w:val="22"/>
        </w:rPr>
        <w:t xml:space="preserve"> Specific terms carry more diagnostic weight than general ones</w:t>
      </w:r>
    </w:p>
    <w:p/>
    <w:p>
      <w:pPr>
        <w:pStyle w:val="Heading3"/>
      </w:pPr>
      <w:r>
        <w:rPr>
          <w:rFonts w:ascii="Calibri" w:hAnsi="Calibri"/>
          <w:color w:val="1AAFCC"/>
        </w:rPr>
        <w:t>5.4 Information Content (IC)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IC quantifies how informative a phenotype term is: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IC(t) = -log2(p(t))</w:t>
      </w:r>
    </w:p>
    <w:p/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HP:0002816 (Genu recurvatum): p = 0.005, IC = 7.64 -- very informative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HP:0001250 (Seizures): p = 0.15, IC = 2.74 -- less informative (common finding)</w:t>
      </w:r>
    </w:p>
    <w:p/>
    <w:p>
      <w:r>
        <w:rPr>
          <w:rFonts w:ascii="Calibri" w:hAnsi="Calibri"/>
          <w:b/>
          <w:i w:val="0"/>
          <w:color w:val="333333"/>
          <w:sz w:val="22"/>
        </w:rPr>
        <w:t>Clinical implication:</w:t>
      </w:r>
      <w:r>
        <w:rPr>
          <w:rFonts w:ascii="Calibri" w:hAnsi="Calibri"/>
          <w:b w:val="0"/>
          <w:i w:val="0"/>
          <w:color w:val="333333"/>
          <w:sz w:val="22"/>
        </w:rPr>
        <w:t xml:space="preserve"> Finding genu recurvatum in a patient is much more diagnostically useful than finding seizures, because genu recurvatum is associated with far fewer diseases.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6. ACMG/AMP Variant Classification</w:t>
      </w:r>
    </w:p>
    <w:p/>
    <w:p>
      <w:pPr>
        <w:pStyle w:val="Heading3"/>
      </w:pPr>
      <w:r>
        <w:rPr>
          <w:rFonts w:ascii="Calibri" w:hAnsi="Calibri"/>
          <w:color w:val="1AAFCC"/>
        </w:rPr>
        <w:t>6.1 Background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In 2015, the American College of Medical Genetics and Genomics (ACMG) and the Association for Molecular Pathology (AMP) published consensus guidelines for classifying genetic variants into five categories: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2333" w:val="clear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680"/>
            <w:shd w:fill="1B2333" w:val="clear"/>
          </w:tcPr>
          <w:p>
            <w:r>
              <w:rPr>
                <w:b/>
                <w:color w:val="FFFFFF"/>
              </w:rPr>
              <w:t>Clinical Action</w:t>
            </w:r>
          </w:p>
        </w:tc>
      </w:tr>
      <w:tr>
        <w:tc>
          <w:tcPr>
            <w:tcW w:type="dxa" w:w="4680"/>
          </w:tcPr>
          <w:p>
            <w:r>
              <w:t>**Pathogenic**</w:t>
            </w:r>
          </w:p>
        </w:tc>
        <w:tc>
          <w:tcPr>
            <w:tcW w:type="dxa" w:w="4680"/>
          </w:tcPr>
          <w:p>
            <w:r>
              <w:t>Report as disease-causing; clinical action warranted</w:t>
            </w:r>
          </w:p>
        </w:tc>
      </w:tr>
      <w:tr>
        <w:tc>
          <w:tcPr>
            <w:tcW w:type="dxa" w:w="4680"/>
          </w:tcPr>
          <w:p>
            <w:r>
              <w:t>**Likely Pathogenic**</w:t>
            </w:r>
          </w:p>
        </w:tc>
        <w:tc>
          <w:tcPr>
            <w:tcW w:type="dxa" w:w="4680"/>
          </w:tcPr>
          <w:p>
            <w:r>
              <w:t>Report as probably disease-causing; treat as pathogenic</w:t>
            </w:r>
          </w:p>
        </w:tc>
      </w:tr>
      <w:tr>
        <w:tc>
          <w:tcPr>
            <w:tcW w:type="dxa" w:w="4680"/>
          </w:tcPr>
          <w:p>
            <w:r>
              <w:t>**VUS** (Variant of Uncertain Significance)</w:t>
            </w:r>
          </w:p>
        </w:tc>
        <w:tc>
          <w:tcPr>
            <w:tcW w:type="dxa" w:w="4680"/>
          </w:tcPr>
          <w:p>
            <w:r>
              <w:t>Do NOT use for clinical decision-making; monitor</w:t>
            </w:r>
          </w:p>
        </w:tc>
      </w:tr>
      <w:tr>
        <w:tc>
          <w:tcPr>
            <w:tcW w:type="dxa" w:w="4680"/>
          </w:tcPr>
          <w:p>
            <w:r>
              <w:t>**Likely Benign**</w:t>
            </w:r>
          </w:p>
        </w:tc>
        <w:tc>
          <w:tcPr>
            <w:tcW w:type="dxa" w:w="4680"/>
          </w:tcPr>
          <w:p>
            <w:r>
              <w:t>Usually not reported; low clinical concern</w:t>
            </w:r>
          </w:p>
        </w:tc>
      </w:tr>
      <w:tr>
        <w:tc>
          <w:tcPr>
            <w:tcW w:type="dxa" w:w="4680"/>
          </w:tcPr>
          <w:p>
            <w:r>
              <w:t>**Benign**</w:t>
            </w:r>
          </w:p>
        </w:tc>
        <w:tc>
          <w:tcPr>
            <w:tcW w:type="dxa" w:w="4680"/>
          </w:tcPr>
          <w:p>
            <w:r>
              <w:t>Not reported; no clinical concern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6.2 Evidence Categories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The ACMG framework uses 28 criteria organized by strength:</w:t>
      </w:r>
    </w:p>
    <w:p/>
    <w:p>
      <w:r>
        <w:rPr>
          <w:rFonts w:ascii="Calibri" w:hAnsi="Calibri"/>
          <w:b/>
          <w:i w:val="0"/>
          <w:color w:val="333333"/>
          <w:sz w:val="22"/>
        </w:rPr>
        <w:t>Pathogenic evidence: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Very Strong (PVS):</w:t>
      </w:r>
      <w:r>
        <w:rPr>
          <w:rFonts w:ascii="Calibri" w:hAnsi="Calibri"/>
          <w:b w:val="0"/>
          <w:i w:val="0"/>
          <w:color w:val="333333"/>
          <w:sz w:val="22"/>
        </w:rPr>
        <w:t xml:space="preserve"> PVS1 -- null variant in LOF-intolerant gene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Strong (PS):</w:t>
      </w:r>
      <w:r>
        <w:rPr>
          <w:rFonts w:ascii="Calibri" w:hAnsi="Calibri"/>
          <w:b w:val="0"/>
          <w:i w:val="0"/>
          <w:color w:val="333333"/>
          <w:sz w:val="22"/>
        </w:rPr>
        <w:t xml:space="preserve"> PS1-PS4 -- established pathogenic evidence, de novo, functional studies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Moderate (PM):</w:t>
      </w:r>
      <w:r>
        <w:rPr>
          <w:rFonts w:ascii="Calibri" w:hAnsi="Calibri"/>
          <w:b w:val="0"/>
          <w:i w:val="0"/>
          <w:color w:val="333333"/>
          <w:sz w:val="22"/>
        </w:rPr>
        <w:t xml:space="preserve"> PM1-PM6 -- hot spot, absent from controls, in trans, protein length change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Supporting (PP):</w:t>
      </w:r>
      <w:r>
        <w:rPr>
          <w:rFonts w:ascii="Calibri" w:hAnsi="Calibri"/>
          <w:b w:val="0"/>
          <w:i w:val="0"/>
          <w:color w:val="333333"/>
          <w:sz w:val="22"/>
        </w:rPr>
        <w:t xml:space="preserve"> PP1-PP5 -- cosegregation, missense constraint, computational, phenotype-specific</w:t>
      </w:r>
    </w:p>
    <w:p/>
    <w:p>
      <w:r>
        <w:rPr>
          <w:rFonts w:ascii="Calibri" w:hAnsi="Calibri"/>
          <w:b/>
          <w:i w:val="0"/>
          <w:color w:val="333333"/>
          <w:sz w:val="22"/>
        </w:rPr>
        <w:t>Benign evidence: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Standalone (BA):</w:t>
      </w:r>
      <w:r>
        <w:rPr>
          <w:rFonts w:ascii="Calibri" w:hAnsi="Calibri"/>
          <w:b w:val="0"/>
          <w:i w:val="0"/>
          <w:color w:val="333333"/>
          <w:sz w:val="22"/>
        </w:rPr>
        <w:t xml:space="preserve"> BA1 -- frequency &gt; 5%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Strong (BS):</w:t>
      </w:r>
      <w:r>
        <w:rPr>
          <w:rFonts w:ascii="Calibri" w:hAnsi="Calibri"/>
          <w:b w:val="0"/>
          <w:i w:val="0"/>
          <w:color w:val="333333"/>
          <w:sz w:val="22"/>
        </w:rPr>
        <w:t xml:space="preserve"> BS1-BS2 -- higher than expected frequency, seen in healthy adults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Supporting (BP):</w:t>
      </w:r>
      <w:r>
        <w:rPr>
          <w:rFonts w:ascii="Calibri" w:hAnsi="Calibri"/>
          <w:b w:val="0"/>
          <w:i w:val="0"/>
          <w:color w:val="333333"/>
          <w:sz w:val="22"/>
        </w:rPr>
        <w:t xml:space="preserve"> BP1-BP7 -- truncating-only gene missense, repeat region, computational benign</w:t>
      </w:r>
    </w:p>
    <w:p/>
    <w:p>
      <w:pPr>
        <w:pStyle w:val="Heading3"/>
      </w:pPr>
      <w:r>
        <w:rPr>
          <w:rFonts w:ascii="Calibri" w:hAnsi="Calibri"/>
          <w:color w:val="1AAFCC"/>
        </w:rPr>
        <w:t>6.3 Classification Rules (Simplified)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2333" w:val="clear"/>
          </w:tcPr>
          <w:p>
            <w:r>
              <w:rPr>
                <w:b/>
                <w:color w:val="FFFFFF"/>
              </w:rPr>
              <w:t>Classification</w:t>
            </w:r>
          </w:p>
        </w:tc>
        <w:tc>
          <w:tcPr>
            <w:tcW w:type="dxa" w:w="4680"/>
            <w:shd w:fill="1B2333" w:val="clear"/>
          </w:tcPr>
          <w:p>
            <w:r>
              <w:rPr>
                <w:b/>
                <w:color w:val="FFFFFF"/>
              </w:rPr>
              <w:t>Required Evidence</w:t>
            </w:r>
          </w:p>
        </w:tc>
      </w:tr>
      <w:tr>
        <w:tc>
          <w:tcPr>
            <w:tcW w:type="dxa" w:w="4680"/>
          </w:tcPr>
          <w:p>
            <w:r>
              <w:t>Pathogenic</w:t>
            </w:r>
          </w:p>
        </w:tc>
        <w:tc>
          <w:tcPr>
            <w:tcW w:type="dxa" w:w="4680"/>
          </w:tcPr>
          <w:p>
            <w:r>
              <w:t>PVS1 + &gt;= 1 PS, OR &gt;= 2 PS, OR PVS1 + &gt;= 2 PM</w:t>
            </w:r>
          </w:p>
        </w:tc>
      </w:tr>
      <w:tr>
        <w:tc>
          <w:tcPr>
            <w:tcW w:type="dxa" w:w="4680"/>
          </w:tcPr>
          <w:p>
            <w:r>
              <w:t>Likely Pathogenic</w:t>
            </w:r>
          </w:p>
        </w:tc>
        <w:tc>
          <w:tcPr>
            <w:tcW w:type="dxa" w:w="4680"/>
          </w:tcPr>
          <w:p>
            <w:r>
              <w:t>PVS1 + 1 PM, OR 1 PS + 1-2 PM, OR 1 PS + &gt;= 2 PP</w:t>
            </w:r>
          </w:p>
        </w:tc>
      </w:tr>
      <w:tr>
        <w:tc>
          <w:tcPr>
            <w:tcW w:type="dxa" w:w="4680"/>
          </w:tcPr>
          <w:p>
            <w:r>
              <w:t>VUS</w:t>
            </w:r>
          </w:p>
        </w:tc>
        <w:tc>
          <w:tcPr>
            <w:tcW w:type="dxa" w:w="4680"/>
          </w:tcPr>
          <w:p>
            <w:r>
              <w:t>Insufficient evidence for classification in either direction</w:t>
            </w:r>
          </w:p>
        </w:tc>
      </w:tr>
      <w:tr>
        <w:tc>
          <w:tcPr>
            <w:tcW w:type="dxa" w:w="4680"/>
          </w:tcPr>
          <w:p>
            <w:r>
              <w:t>Likely Benign</w:t>
            </w:r>
          </w:p>
        </w:tc>
        <w:tc>
          <w:tcPr>
            <w:tcW w:type="dxa" w:w="4680"/>
          </w:tcPr>
          <w:p>
            <w:r>
              <w:t>1 BS + 1 BP, OR &gt;= 2 BP</w:t>
            </w:r>
          </w:p>
        </w:tc>
      </w:tr>
      <w:tr>
        <w:tc>
          <w:tcPr>
            <w:tcW w:type="dxa" w:w="4680"/>
          </w:tcPr>
          <w:p>
            <w:r>
              <w:t>Benign</w:t>
            </w:r>
          </w:p>
        </w:tc>
        <w:tc>
          <w:tcPr>
            <w:tcW w:type="dxa" w:w="4680"/>
          </w:tcPr>
          <w:p>
            <w:r>
              <w:t>BA1 alone, OR &gt;= 2 BS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6.4 The VUS Challenge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VUS represents the largest category of classified variants -- typically 40-60% of findings on clinical genetic testing. These variants have insufficient evidence to classify as pathogenic or benign and should not be used for clinical decision-making. Over time, many VUS are reclassified as new evidence accumulates.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7. Disease Databases and Resources</w:t>
      </w:r>
    </w:p>
    <w:p/>
    <w:p>
      <w:pPr>
        <w:pStyle w:val="Heading3"/>
      </w:pPr>
      <w:r>
        <w:rPr>
          <w:rFonts w:ascii="Calibri" w:hAnsi="Calibri"/>
          <w:color w:val="1AAFCC"/>
        </w:rPr>
        <w:t>7.1 OMIM (Online Mendelian Inheritance in Man)</w:t>
      </w:r>
    </w:p>
    <w:p/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Comprehensive catalog of human genes and genetic disorders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Maintained by Johns Hopkins University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Each disease has a unique MIM number (e.g., 154700 for Marfan syndrome)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Contains gene-disease associations, inheritance patterns, clinical descriptions</w:t>
      </w:r>
    </w:p>
    <w:p/>
    <w:p>
      <w:pPr>
        <w:pStyle w:val="Heading3"/>
      </w:pPr>
      <w:r>
        <w:rPr>
          <w:rFonts w:ascii="Calibri" w:hAnsi="Calibri"/>
          <w:color w:val="1AAFCC"/>
        </w:rPr>
        <w:t>7.2 Orphanet</w:t>
      </w:r>
    </w:p>
    <w:p/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European reference portal for rare diseases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Maintained by INSERM (France)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Each disease has an ORPHA code (e.g., ORPHA:558 for Marfan syndrome)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Includes prevalence data, clinical guidelines, patient organizations</w:t>
      </w:r>
    </w:p>
    <w:p/>
    <w:p>
      <w:pPr>
        <w:pStyle w:val="Heading3"/>
      </w:pPr>
      <w:r>
        <w:rPr>
          <w:rFonts w:ascii="Calibri" w:hAnsi="Calibri"/>
          <w:color w:val="1AAFCC"/>
        </w:rPr>
        <w:t>7.3 ClinVar</w:t>
      </w:r>
    </w:p>
    <w:p/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NCBI database of variant-disease relationships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Contains submissions from clinical laboratories worldwide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Star rating system (0-4 stars) indicates review level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Critical resource for ACMG variant classification</w:t>
      </w:r>
    </w:p>
    <w:p/>
    <w:p>
      <w:pPr>
        <w:pStyle w:val="Heading3"/>
      </w:pPr>
      <w:r>
        <w:rPr>
          <w:rFonts w:ascii="Calibri" w:hAnsi="Calibri"/>
          <w:color w:val="1AAFCC"/>
        </w:rPr>
        <w:t>7.4 GeneReviews</w:t>
      </w:r>
    </w:p>
    <w:p/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Expert-authored disease summaries hosted at NCBI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Covers ~800 diseases with diagnosis, management, and genetic counseling sections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Updated regularly by disease experts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Gold standard for clinical reference</w:t>
      </w:r>
    </w:p>
    <w:p/>
    <w:p>
      <w:pPr>
        <w:pStyle w:val="Heading3"/>
      </w:pPr>
      <w:r>
        <w:rPr>
          <w:rFonts w:ascii="Calibri" w:hAnsi="Calibri"/>
          <w:color w:val="1AAFCC"/>
        </w:rPr>
        <w:t>7.5 gnomAD (Genome Aggregation Database)</w:t>
      </w:r>
    </w:p>
    <w:p/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Population allele frequency database (150,000+ exomes/genomes)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Essential for PM2 (absent from controls) and BA1 (frequency &gt; 5%) criteria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Provides constraint scores (pLI, LOEUF) for gene-level intolerance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8. Genetic Testing Technologies</w:t>
      </w:r>
    </w:p>
    <w:p/>
    <w:p>
      <w:pPr>
        <w:pStyle w:val="Heading3"/>
      </w:pPr>
      <w:r>
        <w:rPr>
          <w:rFonts w:ascii="Calibri" w:hAnsi="Calibri"/>
          <w:color w:val="1AAFCC"/>
        </w:rPr>
        <w:t>8.1 Testing Hierarchy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Yield</w:t>
            </w:r>
          </w:p>
        </w:tc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Cost</w:t>
            </w:r>
          </w:p>
        </w:tc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Turnaround</w:t>
            </w:r>
          </w:p>
        </w:tc>
      </w:tr>
      <w:tr>
        <w:tc>
          <w:tcPr>
            <w:tcW w:type="dxa" w:w="1872"/>
          </w:tcPr>
          <w:p>
            <w:r>
              <w:t>Karyotype</w:t>
            </w:r>
          </w:p>
        </w:tc>
        <w:tc>
          <w:tcPr>
            <w:tcW w:type="dxa" w:w="1872"/>
          </w:tcPr>
          <w:p>
            <w:r>
              <w:t>Chromosomes</w:t>
            </w:r>
          </w:p>
        </w:tc>
        <w:tc>
          <w:tcPr>
            <w:tcW w:type="dxa" w:w="1872"/>
          </w:tcPr>
          <w:p>
            <w:r>
              <w:t>3-5%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1-2 weeks</w:t>
            </w:r>
          </w:p>
        </w:tc>
      </w:tr>
      <w:tr>
        <w:tc>
          <w:tcPr>
            <w:tcW w:type="dxa" w:w="1872"/>
          </w:tcPr>
          <w:p>
            <w:r>
              <w:t>CMA (Microarray)</w:t>
            </w:r>
          </w:p>
        </w:tc>
        <w:tc>
          <w:tcPr>
            <w:tcW w:type="dxa" w:w="1872"/>
          </w:tcPr>
          <w:p>
            <w:r>
              <w:t>CNVs (&gt;50 kb)</w:t>
            </w:r>
          </w:p>
        </w:tc>
        <w:tc>
          <w:tcPr>
            <w:tcW w:type="dxa" w:w="1872"/>
          </w:tcPr>
          <w:p>
            <w:r>
              <w:t>15-20% for DD/ID</w:t>
            </w:r>
          </w:p>
        </w:tc>
        <w:tc>
          <w:tcPr>
            <w:tcW w:type="dxa" w:w="1872"/>
          </w:tcPr>
          <w:p>
            <w:r>
              <w:t>Moderate</w:t>
            </w:r>
          </w:p>
        </w:tc>
        <w:tc>
          <w:tcPr>
            <w:tcW w:type="dxa" w:w="1872"/>
          </w:tcPr>
          <w:p>
            <w:r>
              <w:t>2-4 weeks</w:t>
            </w:r>
          </w:p>
        </w:tc>
      </w:tr>
      <w:tr>
        <w:tc>
          <w:tcPr>
            <w:tcW w:type="dxa" w:w="1872"/>
          </w:tcPr>
          <w:p>
            <w:r>
              <w:t>Gene Panel</w:t>
            </w:r>
          </w:p>
        </w:tc>
        <w:tc>
          <w:tcPr>
            <w:tcW w:type="dxa" w:w="1872"/>
          </w:tcPr>
          <w:p>
            <w:r>
              <w:t>5-500 genes</w:t>
            </w:r>
          </w:p>
        </w:tc>
        <w:tc>
          <w:tcPr>
            <w:tcW w:type="dxa" w:w="1872"/>
          </w:tcPr>
          <w:p>
            <w:r>
              <w:t>20-50%</w:t>
            </w:r>
          </w:p>
        </w:tc>
        <w:tc>
          <w:tcPr>
            <w:tcW w:type="dxa" w:w="1872"/>
          </w:tcPr>
          <w:p>
            <w:r>
              <w:t>Moderate</w:t>
            </w:r>
          </w:p>
        </w:tc>
        <w:tc>
          <w:tcPr>
            <w:tcW w:type="dxa" w:w="1872"/>
          </w:tcPr>
          <w:p>
            <w:r>
              <w:t>4-8 weeks</w:t>
            </w:r>
          </w:p>
        </w:tc>
      </w:tr>
      <w:tr>
        <w:tc>
          <w:tcPr>
            <w:tcW w:type="dxa" w:w="1872"/>
          </w:tcPr>
          <w:p>
            <w:r>
              <w:t>WES (Whole Exome)</w:t>
            </w:r>
          </w:p>
        </w:tc>
        <w:tc>
          <w:tcPr>
            <w:tcW w:type="dxa" w:w="1872"/>
          </w:tcPr>
          <w:p>
            <w:r>
              <w:t>~20,000 genes</w:t>
            </w:r>
          </w:p>
        </w:tc>
        <w:tc>
          <w:tcPr>
            <w:tcW w:type="dxa" w:w="1872"/>
          </w:tcPr>
          <w:p>
            <w:r>
              <w:t>25-50%</w:t>
            </w:r>
          </w:p>
        </w:tc>
        <w:tc>
          <w:tcPr>
            <w:tcW w:type="dxa" w:w="1872"/>
          </w:tcPr>
          <w:p>
            <w:r>
              <w:t>Moderate-High</w:t>
            </w:r>
          </w:p>
        </w:tc>
        <w:tc>
          <w:tcPr>
            <w:tcW w:type="dxa" w:w="1872"/>
          </w:tcPr>
          <w:p>
            <w:r>
              <w:t>8-16 weeks</w:t>
            </w:r>
          </w:p>
        </w:tc>
      </w:tr>
      <w:tr>
        <w:tc>
          <w:tcPr>
            <w:tcW w:type="dxa" w:w="1872"/>
          </w:tcPr>
          <w:p>
            <w:r>
              <w:t>WGS (Whole Genome)</w:t>
            </w:r>
          </w:p>
        </w:tc>
        <w:tc>
          <w:tcPr>
            <w:tcW w:type="dxa" w:w="1872"/>
          </w:tcPr>
          <w:p>
            <w:r>
              <w:t>All DNA</w:t>
            </w:r>
          </w:p>
        </w:tc>
        <w:tc>
          <w:tcPr>
            <w:tcW w:type="dxa" w:w="1872"/>
          </w:tcPr>
          <w:p>
            <w:r>
              <w:t>30-60%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8-16 weeks</w:t>
            </w:r>
          </w:p>
        </w:tc>
      </w:tr>
      <w:tr>
        <w:tc>
          <w:tcPr>
            <w:tcW w:type="dxa" w:w="1872"/>
          </w:tcPr>
          <w:p>
            <w:r>
              <w:t>Rapid WGS</w:t>
            </w:r>
          </w:p>
        </w:tc>
        <w:tc>
          <w:tcPr>
            <w:tcW w:type="dxa" w:w="1872"/>
          </w:tcPr>
          <w:p>
            <w:r>
              <w:t>All DNA</w:t>
            </w:r>
          </w:p>
        </w:tc>
        <w:tc>
          <w:tcPr>
            <w:tcW w:type="dxa" w:w="1872"/>
          </w:tcPr>
          <w:p>
            <w:r>
              <w:t>30-60%</w:t>
            </w:r>
          </w:p>
        </w:tc>
        <w:tc>
          <w:tcPr>
            <w:tcW w:type="dxa" w:w="1872"/>
          </w:tcPr>
          <w:p>
            <w:r>
              <w:t>Very High</w:t>
            </w:r>
          </w:p>
        </w:tc>
        <w:tc>
          <w:tcPr>
            <w:tcW w:type="dxa" w:w="1872"/>
          </w:tcPr>
          <w:p>
            <w:r>
              <w:t>24-48 hours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8.2 When to Use Which Test</w:t>
      </w:r>
    </w:p>
    <w:p/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First-tier for DD/ID:</w:t>
      </w:r>
      <w:r>
        <w:rPr>
          <w:rFonts w:ascii="Calibri" w:hAnsi="Calibri"/>
          <w:b w:val="0"/>
          <w:i w:val="0"/>
          <w:color w:val="333333"/>
          <w:sz w:val="22"/>
        </w:rPr>
        <w:t xml:space="preserve"> Chromosomal microarray (CMA)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First-tier for specific phenotype:</w:t>
      </w:r>
      <w:r>
        <w:rPr>
          <w:rFonts w:ascii="Calibri" w:hAnsi="Calibri"/>
          <w:b w:val="0"/>
          <w:i w:val="0"/>
          <w:color w:val="333333"/>
          <w:sz w:val="22"/>
        </w:rPr>
        <w:t xml:space="preserve"> Targeted gene panel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Second-tier:</w:t>
      </w:r>
      <w:r>
        <w:rPr>
          <w:rFonts w:ascii="Calibri" w:hAnsi="Calibri"/>
          <w:b w:val="0"/>
          <w:i w:val="0"/>
          <w:color w:val="333333"/>
          <w:sz w:val="22"/>
        </w:rPr>
        <w:t xml:space="preserve"> WES after negative CMA/panel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Critically ill neonates:</w:t>
      </w:r>
      <w:r>
        <w:rPr>
          <w:rFonts w:ascii="Calibri" w:hAnsi="Calibri"/>
          <w:b w:val="0"/>
          <w:i w:val="0"/>
          <w:color w:val="333333"/>
          <w:sz w:val="22"/>
        </w:rPr>
        <w:t xml:space="preserve"> Rapid WGS (24-48 hour turnaround)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Unsolved after WES:</w:t>
      </w:r>
      <w:r>
        <w:rPr>
          <w:rFonts w:ascii="Calibri" w:hAnsi="Calibri"/>
          <w:b w:val="0"/>
          <w:i w:val="0"/>
          <w:color w:val="333333"/>
          <w:sz w:val="22"/>
        </w:rPr>
        <w:t xml:space="preserve"> WGS, RNA-seq, or functional studies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9. The Gene Therapy Revolution</w:t>
      </w:r>
    </w:p>
    <w:p/>
    <w:p>
      <w:pPr>
        <w:pStyle w:val="Heading3"/>
      </w:pPr>
      <w:r>
        <w:rPr>
          <w:rFonts w:ascii="Calibri" w:hAnsi="Calibri"/>
          <w:color w:val="1AAFCC"/>
        </w:rPr>
        <w:t>9.1 What Is Gene Therapy?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Gene therapy corrects or compensates for genetic defects by: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Gene replacement:</w:t>
      </w:r>
      <w:r>
        <w:rPr>
          <w:rFonts w:ascii="Calibri" w:hAnsi="Calibri"/>
          <w:b w:val="0"/>
          <w:i w:val="0"/>
          <w:color w:val="333333"/>
          <w:sz w:val="22"/>
        </w:rPr>
        <w:t xml:space="preserve"> Delivering a functional copy of the defective gene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Gene editing:</w:t>
      </w:r>
      <w:r>
        <w:rPr>
          <w:rFonts w:ascii="Calibri" w:hAnsi="Calibri"/>
          <w:b w:val="0"/>
          <w:i w:val="0"/>
          <w:color w:val="333333"/>
          <w:sz w:val="22"/>
        </w:rPr>
        <w:t xml:space="preserve"> Correcting the variant in place (CRISPR-Cas9)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Gene silencing:</w:t>
      </w:r>
      <w:r>
        <w:rPr>
          <w:rFonts w:ascii="Calibri" w:hAnsi="Calibri"/>
          <w:b w:val="0"/>
          <w:i w:val="0"/>
          <w:color w:val="333333"/>
          <w:sz w:val="22"/>
        </w:rPr>
        <w:t xml:space="preserve"> Turning off a toxic gain-of-function gene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Splicing modification:</w:t>
      </w:r>
      <w:r>
        <w:rPr>
          <w:rFonts w:ascii="Calibri" w:hAnsi="Calibri"/>
          <w:b w:val="0"/>
          <w:i w:val="0"/>
          <w:color w:val="333333"/>
          <w:sz w:val="22"/>
        </w:rPr>
        <w:t xml:space="preserve"> Altering mRNA processing to include or skip exons</w:t>
      </w:r>
    </w:p>
    <w:p/>
    <w:p>
      <w:pPr>
        <w:pStyle w:val="Heading3"/>
      </w:pPr>
      <w:r>
        <w:rPr>
          <w:rFonts w:ascii="Calibri" w:hAnsi="Calibri"/>
          <w:color w:val="1AAFCC"/>
        </w:rPr>
        <w:t>9.2 Delivery Vectors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Vector</w:t>
            </w:r>
          </w:p>
        </w:tc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Capacity</w:t>
            </w:r>
          </w:p>
        </w:tc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Examples</w:t>
            </w:r>
          </w:p>
        </w:tc>
      </w:tr>
      <w:tr>
        <w:tc>
          <w:tcPr>
            <w:tcW w:type="dxa" w:w="1872"/>
          </w:tcPr>
          <w:p>
            <w:r>
              <w:t>AAV (Adeno-Associated Virus)</w:t>
            </w:r>
          </w:p>
        </w:tc>
        <w:tc>
          <w:tcPr>
            <w:tcW w:type="dxa" w:w="1872"/>
          </w:tcPr>
          <w:p>
            <w:r>
              <w:t>Non-integrating</w:t>
            </w:r>
          </w:p>
        </w:tc>
        <w:tc>
          <w:tcPr>
            <w:tcW w:type="dxa" w:w="1872"/>
          </w:tcPr>
          <w:p>
            <w:r>
              <w:t>~4.7 kb</w:t>
            </w:r>
          </w:p>
        </w:tc>
        <w:tc>
          <w:tcPr>
            <w:tcW w:type="dxa" w:w="1872"/>
          </w:tcPr>
          <w:p>
            <w:r>
              <w:t>Years-permanent</w:t>
            </w:r>
          </w:p>
        </w:tc>
        <w:tc>
          <w:tcPr>
            <w:tcW w:type="dxa" w:w="1872"/>
          </w:tcPr>
          <w:p>
            <w:r>
              <w:t>Zolgensma, Luxturna, Hemgenix</w:t>
            </w:r>
          </w:p>
        </w:tc>
      </w:tr>
      <w:tr>
        <w:tc>
          <w:tcPr>
            <w:tcW w:type="dxa" w:w="1872"/>
          </w:tcPr>
          <w:p>
            <w:r>
              <w:t>Lentivirus</w:t>
            </w:r>
          </w:p>
        </w:tc>
        <w:tc>
          <w:tcPr>
            <w:tcW w:type="dxa" w:w="1872"/>
          </w:tcPr>
          <w:p>
            <w:r>
              <w:t>Integrating</w:t>
            </w:r>
          </w:p>
        </w:tc>
        <w:tc>
          <w:tcPr>
            <w:tcW w:type="dxa" w:w="1872"/>
          </w:tcPr>
          <w:p>
            <w:r>
              <w:t>~8 kb</w:t>
            </w:r>
          </w:p>
        </w:tc>
        <w:tc>
          <w:tcPr>
            <w:tcW w:type="dxa" w:w="1872"/>
          </w:tcPr>
          <w:p>
            <w:r>
              <w:t>Permanent</w:t>
            </w:r>
          </w:p>
        </w:tc>
        <w:tc>
          <w:tcPr>
            <w:tcW w:type="dxa" w:w="1872"/>
          </w:tcPr>
          <w:p>
            <w:r>
              <w:t>Zynteglo, Skysona, Strimvelis</w:t>
            </w:r>
          </w:p>
        </w:tc>
      </w:tr>
      <w:tr>
        <w:tc>
          <w:tcPr>
            <w:tcW w:type="dxa" w:w="1872"/>
          </w:tcPr>
          <w:p>
            <w:r>
              <w:t>CRISPR/Cas9</w:t>
            </w:r>
          </w:p>
        </w:tc>
        <w:tc>
          <w:tcPr>
            <w:tcW w:type="dxa" w:w="1872"/>
          </w:tcPr>
          <w:p>
            <w:r>
              <w:t>Gene editing</w:t>
            </w:r>
          </w:p>
        </w:tc>
        <w:tc>
          <w:tcPr>
            <w:tcW w:type="dxa" w:w="1872"/>
          </w:tcPr>
          <w:p>
            <w:r>
              <w:t>Variable</w:t>
            </w:r>
          </w:p>
        </w:tc>
        <w:tc>
          <w:tcPr>
            <w:tcW w:type="dxa" w:w="1872"/>
          </w:tcPr>
          <w:p>
            <w:r>
              <w:t>Permanent</w:t>
            </w:r>
          </w:p>
        </w:tc>
        <w:tc>
          <w:tcPr>
            <w:tcW w:type="dxa" w:w="1872"/>
          </w:tcPr>
          <w:p>
            <w:r>
              <w:t>Casgevy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9.3 Approved Gene Therapies (2017-2025)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Therapy</w:t>
            </w:r>
          </w:p>
        </w:tc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Disease</w:t>
            </w:r>
          </w:p>
        </w:tc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Approach</w:t>
            </w:r>
          </w:p>
        </w:tc>
      </w:tr>
      <w:tr>
        <w:tc>
          <w:tcPr>
            <w:tcW w:type="dxa" w:w="2340"/>
          </w:tcPr>
          <w:p>
            <w:r>
              <w:t>2017</w:t>
            </w:r>
          </w:p>
        </w:tc>
        <w:tc>
          <w:tcPr>
            <w:tcW w:type="dxa" w:w="2340"/>
          </w:tcPr>
          <w:p>
            <w:r>
              <w:t>Luxturna</w:t>
            </w:r>
          </w:p>
        </w:tc>
        <w:tc>
          <w:tcPr>
            <w:tcW w:type="dxa" w:w="2340"/>
          </w:tcPr>
          <w:p>
            <w:r>
              <w:t>Leber congenital amaurosis (RPE65)</w:t>
            </w:r>
          </w:p>
        </w:tc>
        <w:tc>
          <w:tcPr>
            <w:tcW w:type="dxa" w:w="2340"/>
          </w:tcPr>
          <w:p>
            <w:r>
              <w:t>AAV2 gene replacement</w:t>
            </w:r>
          </w:p>
        </w:tc>
      </w:tr>
      <w:tr>
        <w:tc>
          <w:tcPr>
            <w:tcW w:type="dxa" w:w="2340"/>
          </w:tcPr>
          <w:p>
            <w:r>
              <w:t>2019</w:t>
            </w:r>
          </w:p>
        </w:tc>
        <w:tc>
          <w:tcPr>
            <w:tcW w:type="dxa" w:w="2340"/>
          </w:tcPr>
          <w:p>
            <w:r>
              <w:t>Zolgensma</w:t>
            </w:r>
          </w:p>
        </w:tc>
        <w:tc>
          <w:tcPr>
            <w:tcW w:type="dxa" w:w="2340"/>
          </w:tcPr>
          <w:p>
            <w:r>
              <w:t>SMA</w:t>
            </w:r>
          </w:p>
        </w:tc>
        <w:tc>
          <w:tcPr>
            <w:tcW w:type="dxa" w:w="2340"/>
          </w:tcPr>
          <w:p>
            <w:r>
              <w:t>AAV9 gene replacement</w:t>
            </w:r>
          </w:p>
        </w:tc>
      </w:tr>
      <w:tr>
        <w:tc>
          <w:tcPr>
            <w:tcW w:type="dxa" w:w="2340"/>
          </w:tcPr>
          <w:p>
            <w:r>
              <w:t>2022</w:t>
            </w:r>
          </w:p>
        </w:tc>
        <w:tc>
          <w:tcPr>
            <w:tcW w:type="dxa" w:w="2340"/>
          </w:tcPr>
          <w:p>
            <w:r>
              <w:t>Zynteglo</w:t>
            </w:r>
          </w:p>
        </w:tc>
        <w:tc>
          <w:tcPr>
            <w:tcW w:type="dxa" w:w="2340"/>
          </w:tcPr>
          <w:p>
            <w:r>
              <w:t>Beta-thalassemia</w:t>
            </w:r>
          </w:p>
        </w:tc>
        <w:tc>
          <w:tcPr>
            <w:tcW w:type="dxa" w:w="2340"/>
          </w:tcPr>
          <w:p>
            <w:r>
              <w:t>Lentiviral gene addition</w:t>
            </w:r>
          </w:p>
        </w:tc>
      </w:tr>
      <w:tr>
        <w:tc>
          <w:tcPr>
            <w:tcW w:type="dxa" w:w="2340"/>
          </w:tcPr>
          <w:p>
            <w:r>
              <w:t>2022</w:t>
            </w:r>
          </w:p>
        </w:tc>
        <w:tc>
          <w:tcPr>
            <w:tcW w:type="dxa" w:w="2340"/>
          </w:tcPr>
          <w:p>
            <w:r>
              <w:t>Skysona</w:t>
            </w:r>
          </w:p>
        </w:tc>
        <w:tc>
          <w:tcPr>
            <w:tcW w:type="dxa" w:w="2340"/>
          </w:tcPr>
          <w:p>
            <w:r>
              <w:t>Cerebral ALD</w:t>
            </w:r>
          </w:p>
        </w:tc>
        <w:tc>
          <w:tcPr>
            <w:tcW w:type="dxa" w:w="2340"/>
          </w:tcPr>
          <w:p>
            <w:r>
              <w:t>Lentiviral gene addition</w:t>
            </w:r>
          </w:p>
        </w:tc>
      </w:tr>
      <w:tr>
        <w:tc>
          <w:tcPr>
            <w:tcW w:type="dxa" w:w="2340"/>
          </w:tcPr>
          <w:p>
            <w:r>
              <w:t>2022</w:t>
            </w:r>
          </w:p>
        </w:tc>
        <w:tc>
          <w:tcPr>
            <w:tcW w:type="dxa" w:w="2340"/>
          </w:tcPr>
          <w:p>
            <w:r>
              <w:t>Hemgenix</w:t>
            </w:r>
          </w:p>
        </w:tc>
        <w:tc>
          <w:tcPr>
            <w:tcW w:type="dxa" w:w="2340"/>
          </w:tcPr>
          <w:p>
            <w:r>
              <w:t>Hemophilia B</w:t>
            </w:r>
          </w:p>
        </w:tc>
        <w:tc>
          <w:tcPr>
            <w:tcW w:type="dxa" w:w="2340"/>
          </w:tcPr>
          <w:p>
            <w:r>
              <w:t>AAV5 gene replacement</w:t>
            </w:r>
          </w:p>
        </w:tc>
      </w:tr>
      <w:tr>
        <w:tc>
          <w:tcPr>
            <w:tcW w:type="dxa" w:w="2340"/>
          </w:tcPr>
          <w:p>
            <w:r>
              <w:t>2023</w:t>
            </w:r>
          </w:p>
        </w:tc>
        <w:tc>
          <w:tcPr>
            <w:tcW w:type="dxa" w:w="2340"/>
          </w:tcPr>
          <w:p>
            <w:r>
              <w:t>Elevidys</w:t>
            </w:r>
          </w:p>
        </w:tc>
        <w:tc>
          <w:tcPr>
            <w:tcW w:type="dxa" w:w="2340"/>
          </w:tcPr>
          <w:p>
            <w:r>
              <w:t>DMD</w:t>
            </w:r>
          </w:p>
        </w:tc>
        <w:tc>
          <w:tcPr>
            <w:tcW w:type="dxa" w:w="2340"/>
          </w:tcPr>
          <w:p>
            <w:r>
              <w:t>AAVrh74 micro-dystrophin</w:t>
            </w:r>
          </w:p>
        </w:tc>
      </w:tr>
      <w:tr>
        <w:tc>
          <w:tcPr>
            <w:tcW w:type="dxa" w:w="2340"/>
          </w:tcPr>
          <w:p>
            <w:r>
              <w:t>2023</w:t>
            </w:r>
          </w:p>
        </w:tc>
        <w:tc>
          <w:tcPr>
            <w:tcW w:type="dxa" w:w="2340"/>
          </w:tcPr>
          <w:p>
            <w:r>
              <w:t>Roctavian</w:t>
            </w:r>
          </w:p>
        </w:tc>
        <w:tc>
          <w:tcPr>
            <w:tcW w:type="dxa" w:w="2340"/>
          </w:tcPr>
          <w:p>
            <w:r>
              <w:t>Hemophilia A</w:t>
            </w:r>
          </w:p>
        </w:tc>
        <w:tc>
          <w:tcPr>
            <w:tcW w:type="dxa" w:w="2340"/>
          </w:tcPr>
          <w:p>
            <w:r>
              <w:t>AAV5 gene replacement</w:t>
            </w:r>
          </w:p>
        </w:tc>
      </w:tr>
      <w:tr>
        <w:tc>
          <w:tcPr>
            <w:tcW w:type="dxa" w:w="2340"/>
          </w:tcPr>
          <w:p>
            <w:r>
              <w:t>2023</w:t>
            </w:r>
          </w:p>
        </w:tc>
        <w:tc>
          <w:tcPr>
            <w:tcW w:type="dxa" w:w="2340"/>
          </w:tcPr>
          <w:p>
            <w:r>
              <w:t>Casgevy</w:t>
            </w:r>
          </w:p>
        </w:tc>
        <w:tc>
          <w:tcPr>
            <w:tcW w:type="dxa" w:w="2340"/>
          </w:tcPr>
          <w:p>
            <w:r>
              <w:t>SCD / Beta-thalassemia</w:t>
            </w:r>
          </w:p>
        </w:tc>
        <w:tc>
          <w:tcPr>
            <w:tcW w:type="dxa" w:w="2340"/>
          </w:tcPr>
          <w:p>
            <w:r>
              <w:t>CRISPR gene editing</w:t>
            </w:r>
          </w:p>
        </w:tc>
      </w:tr>
      <w:tr>
        <w:tc>
          <w:tcPr>
            <w:tcW w:type="dxa" w:w="2340"/>
          </w:tcPr>
          <w:p>
            <w:r>
              <w:t>2023</w:t>
            </w:r>
          </w:p>
        </w:tc>
        <w:tc>
          <w:tcPr>
            <w:tcW w:type="dxa" w:w="2340"/>
          </w:tcPr>
          <w:p>
            <w:r>
              <w:t>Lyfgenia</w:t>
            </w:r>
          </w:p>
        </w:tc>
        <w:tc>
          <w:tcPr>
            <w:tcW w:type="dxa" w:w="2340"/>
          </w:tcPr>
          <w:p>
            <w:r>
              <w:t>SCD</w:t>
            </w:r>
          </w:p>
        </w:tc>
        <w:tc>
          <w:tcPr>
            <w:tcW w:type="dxa" w:w="2340"/>
          </w:tcPr>
          <w:p>
            <w:r>
              <w:t>Lentiviral gene addition</w:t>
            </w:r>
          </w:p>
        </w:tc>
      </w:tr>
      <w:tr>
        <w:tc>
          <w:tcPr>
            <w:tcW w:type="dxa" w:w="2340"/>
          </w:tcPr>
          <w:p>
            <w:r>
              <w:t>2024</w:t>
            </w:r>
          </w:p>
        </w:tc>
        <w:tc>
          <w:tcPr>
            <w:tcW w:type="dxa" w:w="2340"/>
          </w:tcPr>
          <w:p>
            <w:r>
              <w:t>Upstaza</w:t>
            </w:r>
          </w:p>
        </w:tc>
        <w:tc>
          <w:tcPr>
            <w:tcW w:type="dxa" w:w="2340"/>
          </w:tcPr>
          <w:p>
            <w:r>
              <w:t>AADC deficiency</w:t>
            </w:r>
          </w:p>
        </w:tc>
        <w:tc>
          <w:tcPr>
            <w:tcW w:type="dxa" w:w="2340"/>
          </w:tcPr>
          <w:p>
            <w:r>
              <w:t>AAV2 gene replacement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9.4 Challenges</w:t>
      </w:r>
    </w:p>
    <w:p/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Cost:</w:t>
      </w:r>
      <w:r>
        <w:rPr>
          <w:rFonts w:ascii="Calibri" w:hAnsi="Calibri"/>
          <w:b w:val="0"/>
          <w:i w:val="0"/>
          <w:color w:val="333333"/>
          <w:sz w:val="22"/>
        </w:rPr>
        <w:t xml:space="preserve"> Gene therapies cost $1-3.5 million per treatment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Pre-existing immunity:</w:t>
      </w:r>
      <w:r>
        <w:rPr>
          <w:rFonts w:ascii="Calibri" w:hAnsi="Calibri"/>
          <w:b w:val="0"/>
          <w:i w:val="0"/>
          <w:color w:val="333333"/>
          <w:sz w:val="22"/>
        </w:rPr>
        <w:t xml:space="preserve"> Anti-AAV antibodies can prevent gene delivery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Age windows:</w:t>
      </w:r>
      <w:r>
        <w:rPr>
          <w:rFonts w:ascii="Calibri" w:hAnsi="Calibri"/>
          <w:b w:val="0"/>
          <w:i w:val="0"/>
          <w:color w:val="333333"/>
          <w:sz w:val="22"/>
        </w:rPr>
        <w:t xml:space="preserve"> Some therapies must be given before irreversible damage occurs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Long-term durability:</w:t>
      </w:r>
      <w:r>
        <w:rPr>
          <w:rFonts w:ascii="Calibri" w:hAnsi="Calibri"/>
          <w:b w:val="0"/>
          <w:i w:val="0"/>
          <w:color w:val="333333"/>
          <w:sz w:val="22"/>
        </w:rPr>
        <w:t xml:space="preserve"> Unknown for many newer therapies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Manufacturing:</w:t>
      </w:r>
      <w:r>
        <w:rPr>
          <w:rFonts w:ascii="Calibri" w:hAnsi="Calibri"/>
          <w:b w:val="0"/>
          <w:i w:val="0"/>
          <w:color w:val="333333"/>
          <w:sz w:val="22"/>
        </w:rPr>
        <w:t xml:space="preserve"> Complex, patient-specific production for ex vivo approaches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10. Newborn Screening</w:t>
      </w:r>
    </w:p>
    <w:p/>
    <w:p>
      <w:pPr>
        <w:pStyle w:val="Heading3"/>
      </w:pPr>
      <w:r>
        <w:rPr>
          <w:rFonts w:ascii="Calibri" w:hAnsi="Calibri"/>
          <w:color w:val="1AAFCC"/>
        </w:rPr>
        <w:t>10.1 What Is Newborn Screening?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Newborn screening (NBS) is a public health program that tests all newborns for treatable conditions within the first 24-48 hours of life. Early detection enables treatment before symptoms appear, preventing irreversible damage.</w:t>
      </w:r>
    </w:p>
    <w:p/>
    <w:p>
      <w:pPr>
        <w:pStyle w:val="Heading3"/>
      </w:pPr>
      <w:r>
        <w:rPr>
          <w:rFonts w:ascii="Calibri" w:hAnsi="Calibri"/>
          <w:color w:val="1AAFCC"/>
        </w:rPr>
        <w:t>10.2 How NBS Works</w:t>
      </w:r>
    </w:p>
    <w:p/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Heel prick:</w:t>
      </w:r>
      <w:r>
        <w:rPr>
          <w:rFonts w:ascii="Calibri" w:hAnsi="Calibri"/>
          <w:b w:val="0"/>
          <w:i w:val="0"/>
          <w:color w:val="333333"/>
          <w:sz w:val="22"/>
        </w:rPr>
        <w:t xml:space="preserve"> Blood spot collected on filter paper at 24-48 hours of life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Laboratory analysis:</w:t>
      </w:r>
      <w:r>
        <w:rPr>
          <w:rFonts w:ascii="Calibri" w:hAnsi="Calibri"/>
          <w:b w:val="0"/>
          <w:i w:val="0"/>
          <w:color w:val="333333"/>
          <w:sz w:val="22"/>
        </w:rPr>
        <w:t xml:space="preserve"> Tandem mass spectrometry (MS/MS), enzyme assays, DNA analysis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Screening result:</w:t>
      </w:r>
      <w:r>
        <w:rPr>
          <w:rFonts w:ascii="Calibri" w:hAnsi="Calibri"/>
          <w:b w:val="0"/>
          <w:i w:val="0"/>
          <w:color w:val="333333"/>
          <w:sz w:val="22"/>
        </w:rPr>
        <w:t xml:space="preserve"> Positive results require confirmatory testing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Follow-up:</w:t>
      </w:r>
      <w:r>
        <w:rPr>
          <w:rFonts w:ascii="Calibri" w:hAnsi="Calibri"/>
          <w:b w:val="0"/>
          <w:i w:val="0"/>
          <w:color w:val="333333"/>
          <w:sz w:val="22"/>
        </w:rPr>
        <w:t xml:space="preserve"> Specialist evaluation, confirmatory tests, treatment initiation</w:t>
      </w:r>
    </w:p>
    <w:p/>
    <w:p>
      <w:pPr>
        <w:pStyle w:val="Heading3"/>
      </w:pPr>
      <w:r>
        <w:rPr>
          <w:rFonts w:ascii="Calibri" w:hAnsi="Calibri"/>
          <w:color w:val="1AAFCC"/>
        </w:rPr>
        <w:t>10.3 RUSP (Recommended Uniform Screening Panel)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The US RUSP includes 37 core conditions and 26 secondary conditions. Categories include: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Amino acid disorders:</w:t>
      </w:r>
      <w:r>
        <w:rPr>
          <w:rFonts w:ascii="Calibri" w:hAnsi="Calibri"/>
          <w:b w:val="0"/>
          <w:i w:val="0"/>
          <w:color w:val="333333"/>
          <w:sz w:val="22"/>
        </w:rPr>
        <w:t xml:space="preserve"> PKU, MSUD, homocystinuria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Organic acid disorders:</w:t>
      </w:r>
      <w:r>
        <w:rPr>
          <w:rFonts w:ascii="Calibri" w:hAnsi="Calibri"/>
          <w:b w:val="0"/>
          <w:i w:val="0"/>
          <w:color w:val="333333"/>
          <w:sz w:val="22"/>
        </w:rPr>
        <w:t xml:space="preserve"> MMA, PA, isovaleric acidemia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Fatty acid oxidation disorders:</w:t>
      </w:r>
      <w:r>
        <w:rPr>
          <w:rFonts w:ascii="Calibri" w:hAnsi="Calibri"/>
          <w:b w:val="0"/>
          <w:i w:val="0"/>
          <w:color w:val="333333"/>
          <w:sz w:val="22"/>
        </w:rPr>
        <w:t xml:space="preserve"> MCADD, VLCADD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Hemoglobin disorders:</w:t>
      </w:r>
      <w:r>
        <w:rPr>
          <w:rFonts w:ascii="Calibri" w:hAnsi="Calibri"/>
          <w:b w:val="0"/>
          <w:i w:val="0"/>
          <w:color w:val="333333"/>
          <w:sz w:val="22"/>
        </w:rPr>
        <w:t xml:space="preserve"> Sickle cell disease, beta-thalassemia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Endocrine disorders:</w:t>
      </w:r>
      <w:r>
        <w:rPr>
          <w:rFonts w:ascii="Calibri" w:hAnsi="Calibri"/>
          <w:b w:val="0"/>
          <w:i w:val="0"/>
          <w:color w:val="333333"/>
          <w:sz w:val="22"/>
        </w:rPr>
        <w:t xml:space="preserve"> Congenital hypothyroidism, CAH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Other:</w:t>
      </w:r>
      <w:r>
        <w:rPr>
          <w:rFonts w:ascii="Calibri" w:hAnsi="Calibri"/>
          <w:b w:val="0"/>
          <w:i w:val="0"/>
          <w:color w:val="333333"/>
          <w:sz w:val="22"/>
        </w:rPr>
        <w:t xml:space="preserve"> CF, SCID, SMA, Pompe, MPS I, X-ALD</w:t>
      </w:r>
    </w:p>
    <w:p/>
    <w:p>
      <w:pPr>
        <w:pStyle w:val="Heading3"/>
      </w:pPr>
      <w:r>
        <w:rPr>
          <w:rFonts w:ascii="Calibri" w:hAnsi="Calibri"/>
          <w:color w:val="1AAFCC"/>
        </w:rPr>
        <w:t>10.4 The Expansion of NBS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Genomic NBS is expanding screening beyond traditional analyte-based approaches. Pilot programs are exploring whole-genome sequencing of newborns to detect hundreds of additional treatable conditions.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11. Key Terms Glossary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2333" w:val="clear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680"/>
            <w:shd w:fill="1B2333" w:val="clear"/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t>Allele</w:t>
            </w:r>
          </w:p>
        </w:tc>
        <w:tc>
          <w:tcPr>
            <w:tcW w:type="dxa" w:w="4680"/>
          </w:tcPr>
          <w:p>
            <w:r>
              <w:t>One of two copies of a gene (maternal and paternal)</w:t>
            </w:r>
          </w:p>
        </w:tc>
      </w:tr>
      <w:tr>
        <w:tc>
          <w:tcPr>
            <w:tcW w:type="dxa" w:w="4680"/>
          </w:tcPr>
          <w:p>
            <w:r>
              <w:t>Autosomal</w:t>
            </w:r>
          </w:p>
        </w:tc>
        <w:tc>
          <w:tcPr>
            <w:tcW w:type="dxa" w:w="4680"/>
          </w:tcPr>
          <w:p>
            <w:r>
              <w:t>Located on chromosomes 1-22 (not X or Y)</w:t>
            </w:r>
          </w:p>
        </w:tc>
      </w:tr>
      <w:tr>
        <w:tc>
          <w:tcPr>
            <w:tcW w:type="dxa" w:w="4680"/>
          </w:tcPr>
          <w:p>
            <w:r>
              <w:t>BMA</w:t>
            </w:r>
          </w:p>
        </w:tc>
        <w:tc>
          <w:tcPr>
            <w:tcW w:type="dxa" w:w="4680"/>
          </w:tcPr>
          <w:p>
            <w:r>
              <w:t>Best-Match-Average -- algorithm for phenotype similarity</w:t>
            </w:r>
          </w:p>
        </w:tc>
      </w:tr>
      <w:tr>
        <w:tc>
          <w:tcPr>
            <w:tcW w:type="dxa" w:w="4680"/>
          </w:tcPr>
          <w:p>
            <w:r>
              <w:t>CNV</w:t>
            </w:r>
          </w:p>
        </w:tc>
        <w:tc>
          <w:tcPr>
            <w:tcW w:type="dxa" w:w="4680"/>
          </w:tcPr>
          <w:p>
            <w:r>
              <w:t>Copy Number Variant -- gain or loss of a DNA segment</w:t>
            </w:r>
          </w:p>
        </w:tc>
      </w:tr>
      <w:tr>
        <w:tc>
          <w:tcPr>
            <w:tcW w:type="dxa" w:w="4680"/>
          </w:tcPr>
          <w:p>
            <w:r>
              <w:t>Compound heterozygous</w:t>
            </w:r>
          </w:p>
        </w:tc>
        <w:tc>
          <w:tcPr>
            <w:tcW w:type="dxa" w:w="4680"/>
          </w:tcPr>
          <w:p>
            <w:r>
              <w:t>Two different pathogenic variants in the same gene</w:t>
            </w:r>
          </w:p>
        </w:tc>
      </w:tr>
      <w:tr>
        <w:tc>
          <w:tcPr>
            <w:tcW w:type="dxa" w:w="4680"/>
          </w:tcPr>
          <w:p>
            <w:r>
              <w:t>Consanguinity</w:t>
            </w:r>
          </w:p>
        </w:tc>
        <w:tc>
          <w:tcPr>
            <w:tcW w:type="dxa" w:w="4680"/>
          </w:tcPr>
          <w:p>
            <w:r>
              <w:t>Parents share a common ancestor (increases AR disease risk)</w:t>
            </w:r>
          </w:p>
        </w:tc>
      </w:tr>
      <w:tr>
        <w:tc>
          <w:tcPr>
            <w:tcW w:type="dxa" w:w="4680"/>
          </w:tcPr>
          <w:p>
            <w:r>
              <w:t>De novo</w:t>
            </w:r>
          </w:p>
        </w:tc>
        <w:tc>
          <w:tcPr>
            <w:tcW w:type="dxa" w:w="4680"/>
          </w:tcPr>
          <w:p>
            <w:r>
              <w:t>New variant not present in either parent</w:t>
            </w:r>
          </w:p>
        </w:tc>
      </w:tr>
      <w:tr>
        <w:tc>
          <w:tcPr>
            <w:tcW w:type="dxa" w:w="4680"/>
          </w:tcPr>
          <w:p>
            <w:r>
              <w:t>Genotype</w:t>
            </w:r>
          </w:p>
        </w:tc>
        <w:tc>
          <w:tcPr>
            <w:tcW w:type="dxa" w:w="4680"/>
          </w:tcPr>
          <w:p>
            <w:r>
              <w:t>The specific genetic variants an individual carries</w:t>
            </w:r>
          </w:p>
        </w:tc>
      </w:tr>
      <w:tr>
        <w:tc>
          <w:tcPr>
            <w:tcW w:type="dxa" w:w="4680"/>
          </w:tcPr>
          <w:p>
            <w:r>
              <w:t>Hemizygous</w:t>
            </w:r>
          </w:p>
        </w:tc>
        <w:tc>
          <w:tcPr>
            <w:tcW w:type="dxa" w:w="4680"/>
          </w:tcPr>
          <w:p>
            <w:r>
              <w:t>One copy of a gene (males for X-linked genes)</w:t>
            </w:r>
          </w:p>
        </w:tc>
      </w:tr>
      <w:tr>
        <w:tc>
          <w:tcPr>
            <w:tcW w:type="dxa" w:w="4680"/>
          </w:tcPr>
          <w:p>
            <w:r>
              <w:t>Heterozygous</w:t>
            </w:r>
          </w:p>
        </w:tc>
        <w:tc>
          <w:tcPr>
            <w:tcW w:type="dxa" w:w="4680"/>
          </w:tcPr>
          <w:p>
            <w:r>
              <w:t>Different alleles at a locus (one normal, one variant)</w:t>
            </w:r>
          </w:p>
        </w:tc>
      </w:tr>
      <w:tr>
        <w:tc>
          <w:tcPr>
            <w:tcW w:type="dxa" w:w="4680"/>
          </w:tcPr>
          <w:p>
            <w:r>
              <w:t>Homozygous</w:t>
            </w:r>
          </w:p>
        </w:tc>
        <w:tc>
          <w:tcPr>
            <w:tcW w:type="dxa" w:w="4680"/>
          </w:tcPr>
          <w:p>
            <w:r>
              <w:t>Same allele at both copies of a locus</w:t>
            </w:r>
          </w:p>
        </w:tc>
      </w:tr>
      <w:tr>
        <w:tc>
          <w:tcPr>
            <w:tcW w:type="dxa" w:w="4680"/>
          </w:tcPr>
          <w:p>
            <w:r>
              <w:t>HPO</w:t>
            </w:r>
          </w:p>
        </w:tc>
        <w:tc>
          <w:tcPr>
            <w:tcW w:type="dxa" w:w="4680"/>
          </w:tcPr>
          <w:p>
            <w:r>
              <w:t>Human Phenotype Ontology -- standardized phenotype vocabulary</w:t>
            </w:r>
          </w:p>
        </w:tc>
      </w:tr>
      <w:tr>
        <w:tc>
          <w:tcPr>
            <w:tcW w:type="dxa" w:w="4680"/>
          </w:tcPr>
          <w:p>
            <w:r>
              <w:t>IC</w:t>
            </w:r>
          </w:p>
        </w:tc>
        <w:tc>
          <w:tcPr>
            <w:tcW w:type="dxa" w:w="4680"/>
          </w:tcPr>
          <w:p>
            <w:r>
              <w:t>Information Content -- measure of phenotype specificity</w:t>
            </w:r>
          </w:p>
        </w:tc>
      </w:tr>
      <w:tr>
        <w:tc>
          <w:tcPr>
            <w:tcW w:type="dxa" w:w="4680"/>
          </w:tcPr>
          <w:p>
            <w:r>
              <w:t>LOF</w:t>
            </w:r>
          </w:p>
        </w:tc>
        <w:tc>
          <w:tcPr>
            <w:tcW w:type="dxa" w:w="4680"/>
          </w:tcPr>
          <w:p>
            <w:r>
              <w:t>Loss of Function -- variant that eliminates gene function</w:t>
            </w:r>
          </w:p>
        </w:tc>
      </w:tr>
      <w:tr>
        <w:tc>
          <w:tcPr>
            <w:tcW w:type="dxa" w:w="4680"/>
          </w:tcPr>
          <w:p>
            <w:r>
              <w:t>OMIM</w:t>
            </w:r>
          </w:p>
        </w:tc>
        <w:tc>
          <w:tcPr>
            <w:tcW w:type="dxa" w:w="4680"/>
          </w:tcPr>
          <w:p>
            <w:r>
              <w:t>Online Mendelian Inheritance in Man -- disease/gene database</w:t>
            </w:r>
          </w:p>
        </w:tc>
      </w:tr>
      <w:tr>
        <w:tc>
          <w:tcPr>
            <w:tcW w:type="dxa" w:w="4680"/>
          </w:tcPr>
          <w:p>
            <w:r>
              <w:t>Penetrance</w:t>
            </w:r>
          </w:p>
        </w:tc>
        <w:tc>
          <w:tcPr>
            <w:tcW w:type="dxa" w:w="4680"/>
          </w:tcPr>
          <w:p>
            <w:r>
              <w:t>Proportion of genotype carriers who show the phenotype</w:t>
            </w:r>
          </w:p>
        </w:tc>
      </w:tr>
      <w:tr>
        <w:tc>
          <w:tcPr>
            <w:tcW w:type="dxa" w:w="4680"/>
          </w:tcPr>
          <w:p>
            <w:r>
              <w:t>Phenotype</w:t>
            </w:r>
          </w:p>
        </w:tc>
        <w:tc>
          <w:tcPr>
            <w:tcW w:type="dxa" w:w="4680"/>
          </w:tcPr>
          <w:p>
            <w:r>
              <w:t>Observable characteristics (symptoms, signs, lab findings)</w:t>
            </w:r>
          </w:p>
        </w:tc>
      </w:tr>
      <w:tr>
        <w:tc>
          <w:tcPr>
            <w:tcW w:type="dxa" w:w="4680"/>
          </w:tcPr>
          <w:p>
            <w:r>
              <w:t>pLI</w:t>
            </w:r>
          </w:p>
        </w:tc>
        <w:tc>
          <w:tcPr>
            <w:tcW w:type="dxa" w:w="4680"/>
          </w:tcPr>
          <w:p>
            <w:r>
              <w:t>Probability of Loss-of-function Intolerance (gnomAD)</w:t>
            </w:r>
          </w:p>
        </w:tc>
      </w:tr>
      <w:tr>
        <w:tc>
          <w:tcPr>
            <w:tcW w:type="dxa" w:w="4680"/>
          </w:tcPr>
          <w:p>
            <w:r>
              <w:t>Proband</w:t>
            </w:r>
          </w:p>
        </w:tc>
        <w:tc>
          <w:tcPr>
            <w:tcW w:type="dxa" w:w="4680"/>
          </w:tcPr>
          <w:p>
            <w:r>
              <w:t>The first affected individual in a family to be identified</w:t>
            </w:r>
          </w:p>
        </w:tc>
      </w:tr>
      <w:tr>
        <w:tc>
          <w:tcPr>
            <w:tcW w:type="dxa" w:w="4680"/>
          </w:tcPr>
          <w:p>
            <w:r>
              <w:t>VUS</w:t>
            </w:r>
          </w:p>
        </w:tc>
        <w:tc>
          <w:tcPr>
            <w:tcW w:type="dxa" w:w="4680"/>
          </w:tcPr>
          <w:p>
            <w:r>
              <w:t>Variant of Uncertain Significance</w:t>
            </w:r>
          </w:p>
        </w:tc>
      </w:tr>
      <w:tr>
        <w:tc>
          <w:tcPr>
            <w:tcW w:type="dxa" w:w="4680"/>
          </w:tcPr>
          <w:p>
            <w:r>
              <w:t>WES</w:t>
            </w:r>
          </w:p>
        </w:tc>
        <w:tc>
          <w:tcPr>
            <w:tcW w:type="dxa" w:w="4680"/>
          </w:tcPr>
          <w:p>
            <w:r>
              <w:t>Whole Exome Sequencing</w:t>
            </w:r>
          </w:p>
        </w:tc>
      </w:tr>
      <w:tr>
        <w:tc>
          <w:tcPr>
            <w:tcW w:type="dxa" w:w="4680"/>
          </w:tcPr>
          <w:p>
            <w:r>
              <w:t>WGS</w:t>
            </w:r>
          </w:p>
        </w:tc>
        <w:tc>
          <w:tcPr>
            <w:tcW w:type="dxa" w:w="4680"/>
          </w:tcPr>
          <w:p>
            <w:r>
              <w:t>Whole Genome Sequencing</w:t>
            </w:r>
          </w:p>
        </w:tc>
      </w:tr>
    </w:tbl>
    <w:p/>
    <w:p>
      <w:r>
        <w:t>____________________________________________________________</w:t>
      </w:r>
    </w:p>
    <w:p/>
    <w:p>
      <w:r>
        <w:rPr>
          <w:rFonts w:ascii="Calibri" w:hAnsi="Calibri"/>
          <w:b w:val="0"/>
          <w:i/>
          <w:color w:val="333333"/>
          <w:sz w:val="22"/>
        </w:rPr>
        <w:t>Apache 2.0 License -- HCLS AI Factory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666666"/>
        <w:sz w:val="16"/>
      </w:rPr>
      <w:t>Confidential — For Internal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66666"/>
        <w:sz w:val="16"/>
      </w:rPr>
      <w:t>HCLS AI Factory — Rare Disease Diagnostic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