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Clinical Trial Intelligence Agent -- Demo Guide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2.0.0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22,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Platform:</w:t>
      </w:r>
      <w:r>
        <w:rPr>
          <w:rFonts w:ascii="Calibri" w:hAnsi="Calibri"/>
          <w:color w:val="333333"/>
          <w:sz w:val="20"/>
        </w:rPr>
        <w:t xml:space="preserve"> NVIDIA DGX Spark -- HCLS AI Factory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Pre-Demo Checklist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Starting the System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UI Walkthrough: 5 Tabs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Demo Scenario 1: Oncology Protocol Design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Demo Scenario 2: Patient-Trial Matching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Demo Scenario 3: Eligibility Optimization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Demo Scenario 4: Competitive Intelligence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Demo Scenario 5: Adaptive Design Selection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9.  </w:t>
      </w:r>
      <w:r>
        <w:rPr>
          <w:rFonts w:ascii="Calibri" w:hAnsi="Calibri"/>
          <w:color w:val="1AAFCC"/>
          <w:sz w:val="20"/>
        </w:rPr>
        <w:t>API Demo Queries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10.  </w:t>
      </w:r>
      <w:r>
        <w:rPr>
          <w:rFonts w:ascii="Calibri" w:hAnsi="Calibri"/>
          <w:color w:val="1AAFCC"/>
          <w:sz w:val="20"/>
        </w:rPr>
        <w:t>Talking Points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11.  </w:t>
      </w:r>
      <w:r>
        <w:rPr>
          <w:rFonts w:ascii="Calibri" w:hAnsi="Calibri"/>
          <w:color w:val="1AAFCC"/>
          <w:sz w:val="20"/>
        </w:rPr>
        <w:t>FAQ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12.  </w:t>
      </w:r>
      <w:r>
        <w:rPr>
          <w:rFonts w:ascii="Calibri" w:hAnsi="Calibri"/>
          <w:color w:val="1AAFCC"/>
          <w:sz w:val="20"/>
        </w:rPr>
        <w:t>Recovery Procedures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Pre-Demo Checklist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Run through this checklist before every demo: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Tests pass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`python -m pytest tests/ -q`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769 passed in 0.47s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starts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`curl localhost:8538/health`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`{"status": "ok"}`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3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UI loads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Open `http://localhost:8128`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NVIDIA-themed 5-tab UI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4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Collections exist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`curl localhost:8538/collections`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14 collections listed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5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Knowledge loaded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`curl localhost:8538/v1/trial/knowledge-version`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version 2.0.0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6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Workflows available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`curl localhost:8538/workflows`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10+ workflow types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7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running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Check port 19530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Connected status in health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Browser configured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Close unrelated tabs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Clean browser window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Terminal ready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Two terminals open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+ backup commands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10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key set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Check .env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ANTHROPIC_API_KEY present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Starting the System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Quick Start (Integrated)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/home/adam/projects/hcls-ai-factory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./start-factory.sh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Quick Start (Standalone)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/home/adam/projects/hcls-ai-factory/ai_agent_adds/clinical_trial_intelligence_agent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Terminal 1: API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uvicorn api.main:app --host 0.0.0.0 --port 8538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Terminal 2: UI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streamlit run app/trial_ui.py --server.port 8128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Verify Both Services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-s localhost:8538/health | python -m json.tool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Open http://localhost:8128 in browser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UI Walkthrough: 5 Tabs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1: Trial Intelligence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Purpose:</w:t>
      </w:r>
      <w:r>
        <w:rPr>
          <w:rFonts w:ascii="Calibri" w:hAnsi="Calibri"/>
          <w:color w:val="333333"/>
          <w:sz w:val="20"/>
        </w:rPr>
        <w:t xml:space="preserve"> RAG-powered Q&amp;A across all 14 collections with workflow-aware routing.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to show: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Type a clinical trial question in the text input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System detects the appropriate workflow automatically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Results show: answer, citations with collection source and relevance scores, guideline references, confidence score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Point out the NVIDIA dark theme and responsive layout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Sample queries to type: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"What are the standard Phase 3 endpoints for NSCLC immunotherapy trials?"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"Compare adaptive design options for a rare disease Phase 2/3 study"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"What regulatory pathways are available for breakthrough therapy designation?"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2: Patient Matching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Purpose:</w:t>
      </w:r>
      <w:r>
        <w:rPr>
          <w:rFonts w:ascii="Calibri" w:hAnsi="Calibri"/>
          <w:color w:val="333333"/>
          <w:sz w:val="20"/>
        </w:rPr>
        <w:t xml:space="preserve"> Match a patient profile against clinical trial eligibility criteria.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to show: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Enter patient demographics (age, sex, diagnosis)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Add biomarkers (e.g., PD-L1 TPS 80%, EGFR L858R)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Add genomic variants and current medications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Submit to see per-criterion match scores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Highlight the overall match score and confidence level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Show nearby trial sites if geographic location is provided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3: Protocol Optimizer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Purpose:</w:t>
      </w:r>
      <w:r>
        <w:rPr>
          <w:rFonts w:ascii="Calibri" w:hAnsi="Calibri"/>
          <w:color w:val="333333"/>
          <w:sz w:val="20"/>
        </w:rPr>
        <w:t xml:space="preserve"> Protocol complexity scoring and design recommendations.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to show: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Enter trial parameters: indication, phase, procedure count, visit count, endpoint count, eligibility criteria count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Submit to see complexity score and percentile rank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Point out comparisons to Tufts CSDD industry benchmarks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Show endpoint recommendations by indication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Demonstrate historical success rate lookup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4: Competitive Landscape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Purpose:</w:t>
      </w:r>
      <w:r>
        <w:rPr>
          <w:rFonts w:ascii="Calibri" w:hAnsi="Calibri"/>
          <w:color w:val="333333"/>
          <w:sz w:val="20"/>
        </w:rPr>
        <w:t xml:space="preserve"> Competitive threat assessment and landscape visualization.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to show: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Enter an indication and mechanism of action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See competitor trial listing with threat scores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Explain the 4-factor threat model (phase, enrollment, sponsor, differentiation)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Highlight threat classification (critical/high/moderate/low/minimal)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Show enrollment progress comparison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Tab 5: Dashboard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Purpose:</w:t>
      </w:r>
      <w:r>
        <w:rPr>
          <w:rFonts w:ascii="Calibri" w:hAnsi="Calibri"/>
          <w:color w:val="333333"/>
          <w:sz w:val="20"/>
        </w:rPr>
        <w:t xml:space="preserve"> System health and operational metrics.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to show: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Collection health indicators (14 collections with record counts)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Query volume metrics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Workflow execution breakdown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Cross-agent integration status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Knowledge base version and last update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Demo Scenario 1: Oncology Protocol Design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Story:</w:t>
      </w:r>
      <w:r>
        <w:rPr>
          <w:rFonts w:ascii="Calibri" w:hAnsi="Calibri"/>
          <w:color w:val="333333"/>
          <w:sz w:val="20"/>
        </w:rPr>
        <w:t xml:space="preserve"> "A pharma company wants to design a Phase 3 trial for a novel PD-L1/VEGF bispecific antibody in first-line NSCLC. Let's use the agent to generate an evidence-based protocol blueprint."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Step 1: Ask the Question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Go to </w:t>
      </w:r>
      <w:r>
        <w:rPr>
          <w:rFonts w:ascii="Calibri" w:hAnsi="Calibri"/>
          <w:b/>
          <w:color w:val="333333"/>
          <w:sz w:val="20"/>
        </w:rPr>
        <w:t>Tab 1 (Trial Intelligence)</w:t>
      </w:r>
      <w:r>
        <w:rPr>
          <w:rFonts w:ascii="Calibri" w:hAnsi="Calibri"/>
          <w:color w:val="333333"/>
          <w:sz w:val="20"/>
        </w:rPr>
        <w:t xml:space="preserve"> and type: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&gt; "Design a Phase 3 protocol for a PD-L1/VEGF bispecific antibody in first-line metastatic NSCLC with PD-L1 TPS &gt;= 50%"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Expected Output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system should return: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Workflow detected:</w:t>
      </w:r>
      <w:r>
        <w:rPr>
          <w:rFonts w:ascii="Calibri" w:hAnsi="Calibri"/>
          <w:color w:val="333333"/>
          <w:sz w:val="20"/>
        </w:rPr>
        <w:t xml:space="preserve"> Protocol Design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Recommended primary endpoint:</w:t>
      </w:r>
      <w:r>
        <w:rPr>
          <w:rFonts w:ascii="Calibri" w:hAnsi="Calibri"/>
          <w:color w:val="333333"/>
          <w:sz w:val="20"/>
        </w:rPr>
        <w:t xml:space="preserve"> Progression-Free Survival (PFS) or Overall Survival (OS)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Recommended secondary endpoints:</w:t>
      </w:r>
      <w:r>
        <w:rPr>
          <w:rFonts w:ascii="Calibri" w:hAnsi="Calibri"/>
          <w:color w:val="333333"/>
          <w:sz w:val="20"/>
        </w:rPr>
        <w:t xml:space="preserve"> ORR, DoR, OS (if PFS is primary), quality of life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Comparator recommendation:</w:t>
      </w:r>
      <w:r>
        <w:rPr>
          <w:rFonts w:ascii="Calibri" w:hAnsi="Calibri"/>
          <w:color w:val="333333"/>
          <w:sz w:val="20"/>
        </w:rPr>
        <w:t xml:space="preserve"> Pembrolizumab monotherapy (based on KEYNOTE-024)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Sample size estimate:</w:t>
      </w:r>
      <w:r>
        <w:rPr>
          <w:rFonts w:ascii="Calibri" w:hAnsi="Calibri"/>
          <w:color w:val="333333"/>
          <w:sz w:val="20"/>
        </w:rPr>
        <w:t xml:space="preserve"> 300-600 patients based on expected HR and event rate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Eligibility framework:</w:t>
      </w:r>
      <w:r>
        <w:rPr>
          <w:rFonts w:ascii="Calibri" w:hAnsi="Calibri"/>
          <w:color w:val="333333"/>
          <w:sz w:val="20"/>
        </w:rPr>
        <w:t xml:space="preserve"> PD-L1 TPS &gt;= 50%, ECOG 0-1, no prior systemic therapy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Adaptive design suggestion:</w:t>
      </w:r>
      <w:r>
        <w:rPr>
          <w:rFonts w:ascii="Calibri" w:hAnsi="Calibri"/>
          <w:color w:val="333333"/>
          <w:sz w:val="20"/>
        </w:rPr>
        <w:t xml:space="preserve"> Group sequential with interim analysis for OS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Regulatory pathway:</w:t>
      </w:r>
      <w:r>
        <w:rPr>
          <w:rFonts w:ascii="Calibri" w:hAnsi="Calibri"/>
          <w:color w:val="333333"/>
          <w:sz w:val="20"/>
        </w:rPr>
        <w:t xml:space="preserve"> Potential for Breakthrough Therapy Designation; RTOR eligible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Landmark trial references:</w:t>
      </w:r>
      <w:r>
        <w:rPr>
          <w:rFonts w:ascii="Calibri" w:hAnsi="Calibri"/>
          <w:color w:val="333333"/>
          <w:sz w:val="20"/>
        </w:rPr>
        <w:t xml:space="preserve"> KEYNOTE-024 (pembrolizumab), IMpower110 (atezolizumab)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Historical success rate:</w:t>
      </w:r>
      <w:r>
        <w:rPr>
          <w:rFonts w:ascii="Calibri" w:hAnsi="Calibri"/>
          <w:color w:val="333333"/>
          <w:sz w:val="20"/>
        </w:rPr>
        <w:t xml:space="preserve"> ~36% for Phase 3 oncology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Talking Points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"Notice how the system referenced KEYNOTE-024 as the benchmark trial -- that's the current standard of care for this indication"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PFS and OS dual primary endpoint strategy is exactly what FDA expects for first-line NSCLC"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36% historical success rate is calibrated from BIO/QLS Advisors data across thousands of oncology trials"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Demo Scenario 2: Patient-Trial Matching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Story:</w:t>
      </w:r>
      <w:r>
        <w:rPr>
          <w:rFonts w:ascii="Calibri" w:hAnsi="Calibri"/>
          <w:color w:val="333333"/>
          <w:sz w:val="20"/>
        </w:rPr>
        <w:t xml:space="preserve"> "A 58-year-old male with metastatic NSCLC, PD-L1 TPS 80%, EGFR wild-type, no prior systemic therapy, and ECOG 1 wants to find matching clinical trials."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Step 1: Enter Patient Profile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Go to </w:t>
      </w:r>
      <w:r>
        <w:rPr>
          <w:rFonts w:ascii="Calibri" w:hAnsi="Calibri"/>
          <w:b/>
          <w:color w:val="333333"/>
          <w:sz w:val="20"/>
        </w:rPr>
        <w:t>Tab 2 (Patient Matching)</w:t>
      </w:r>
      <w:r>
        <w:rPr>
          <w:rFonts w:ascii="Calibri" w:hAnsi="Calibri"/>
          <w:color w:val="333333"/>
          <w:sz w:val="20"/>
        </w:rPr>
        <w:t xml:space="preserve"> and enter: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Age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58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Sex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Diagnosis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Metastatic non-small cell lung cancer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Biomarkers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PD-L1 TPS 80%, EGFR wild-type, ALK negative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Medications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 (treatment-naive)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Genomic variants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KRAS G12C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Comorbidities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Hypertension (controlled)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Location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Boston, MA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Expected Output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Multiple trial matches with per-criterion scoring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High match score for first-line IO trials (PD-L1 &gt;= 50%)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KRAS G12C targeted therapy trials flagged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Controlled hypertension should pass cardiac exclusion criteria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Nearby Boston-area trial sites listed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Talking Points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"Each eligibility criterion gets its own confidence score -- the system doesn't just say yes or no"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"Notice the KRAS G12C variant triggered an additional match for targeted therapy trials"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cross-agent trigger sent this to the oncology agent for molecular match confirmation"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Demo Scenario 3: Eligibility Optimization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Story:</w:t>
      </w:r>
      <w:r>
        <w:rPr>
          <w:rFonts w:ascii="Calibri" w:hAnsi="Calibri"/>
          <w:color w:val="333333"/>
          <w:sz w:val="20"/>
        </w:rPr>
        <w:t xml:space="preserve"> "A trial protocol has 28 eligibility criteria and is struggling with enrollment. The medical team wants to know which criteria could be broadened without compromising safety."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Step 1: Submit Criteria for Analysis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Go to </w:t>
      </w:r>
      <w:r>
        <w:rPr>
          <w:rFonts w:ascii="Calibri" w:hAnsi="Calibri"/>
          <w:b/>
          <w:color w:val="333333"/>
          <w:sz w:val="20"/>
        </w:rPr>
        <w:t>Tab 1 (Trial Intelligence)</w:t>
      </w:r>
      <w:r>
        <w:rPr>
          <w:rFonts w:ascii="Calibri" w:hAnsi="Calibri"/>
          <w:color w:val="333333"/>
          <w:sz w:val="20"/>
        </w:rPr>
        <w:t xml:space="preserve"> and type: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&gt; "Analyze these eligibility criteria for enrollment impact: ECOG 0-1, no prior immunotherapy, no CNS metastases, hemoglobin &gt;= 10 g/dL, no autoimmune disease, creatinine clearance &gt;= 30 mL/min, no prior organ transplant, ejection fraction &gt;= 50%, pregnancy or lactation excluded"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Expected Output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system should return criteria ranked by population impact: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Population Impact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Pregnancy or lactation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RETAIN with monitoring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ECOG 0-1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25%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REVIEW: consider ECOG 0-2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No prior immunotherapy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BROADEN: weak justification for some lines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No CNS metastases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15%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REVIEW: stable CNS may be includable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Ejection fraction &gt;= 50%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RETAIN: cardiac safety justified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Creatinine clearance &gt;= 30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15%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REVIEW: could lower threshold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No autoimmune disease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REVIEW: mild autoimmune may be safe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Talking Points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system identified that 'no prior immunotherapy' excludes 20% of the population but has weak scientific justification for this particular trial"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"Each criterion's population impact is calibrated against real-world data -- not guesswork"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"RETAIN recommendations have strong scientific backing; BROADEN recommendations have high impact with weak justification"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Demo Scenario 4: Competitive Intelligence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Story:</w:t>
      </w:r>
      <w:r>
        <w:rPr>
          <w:rFonts w:ascii="Calibri" w:hAnsi="Calibri"/>
          <w:color w:val="333333"/>
          <w:sz w:val="20"/>
        </w:rPr>
        <w:t xml:space="preserve"> "The sponsor wants to understand the competitive landscape for GLP-1 receptor agonists in obesity before starting their Phase 3 program."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Step 1: Query the Landscape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Go to </w:t>
      </w:r>
      <w:r>
        <w:rPr>
          <w:rFonts w:ascii="Calibri" w:hAnsi="Calibri"/>
          <w:b/>
          <w:color w:val="333333"/>
          <w:sz w:val="20"/>
        </w:rPr>
        <w:t>Tab 4 (Competitive Landscape)</w:t>
      </w:r>
      <w:r>
        <w:rPr>
          <w:rFonts w:ascii="Calibri" w:hAnsi="Calibri"/>
          <w:color w:val="333333"/>
          <w:sz w:val="20"/>
        </w:rPr>
        <w:t xml:space="preserve"> or type in Tab 1: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&gt; "What is the competitive landscape for GLP-1 agonists in obesity Phase 3 trials? Include semaglutide, tirzepatide, and survodutide."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Expected Output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Competitor profiles for SURMOUNT-1 (tirzepatide), SELECT (semaglutide), and others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Threat scores with classification: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 xml:space="preserve">Tirzepatide/Zepbound: </w:t>
      </w:r>
      <w:r>
        <w:rPr>
          <w:rFonts w:ascii="Calibri" w:hAnsi="Calibri"/>
          <w:b/>
          <w:color w:val="333333"/>
          <w:sz w:val="20"/>
        </w:rPr>
        <w:t>Critical</w:t>
      </w:r>
      <w:r>
        <w:rPr>
          <w:rFonts w:ascii="Calibri" w:hAnsi="Calibri"/>
          <w:color w:val="333333"/>
          <w:sz w:val="20"/>
        </w:rPr>
        <w:t xml:space="preserve"> (0.85+) -- Phase 3 completed, 22.5% weight loss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 xml:space="preserve">Semaglutide/Wegovy: </w:t>
      </w:r>
      <w:r>
        <w:rPr>
          <w:rFonts w:ascii="Calibri" w:hAnsi="Calibri"/>
          <w:b/>
          <w:color w:val="333333"/>
          <w:sz w:val="20"/>
        </w:rPr>
        <w:t>Critical</w:t>
      </w:r>
      <w:r>
        <w:rPr>
          <w:rFonts w:ascii="Calibri" w:hAnsi="Calibri"/>
          <w:color w:val="333333"/>
          <w:sz w:val="20"/>
        </w:rPr>
        <w:t xml:space="preserve"> (0.90+) -- Approved, MACE benefit proven</w:t>
      </w:r>
    </w:p>
    <w:p>
      <w:pPr>
        <w:spacing w:before="20" w:after="20"/>
        <w:ind w:left="864" w:hanging="216"/>
      </w:pPr>
      <w:r>
        <w:rPr>
          <w:rFonts w:ascii="Calibri" w:hAnsi="Calibri"/>
          <w:color w:val="1AAFCC"/>
          <w:sz w:val="18"/>
        </w:rPr>
        <w:t xml:space="preserve">◦  </w:t>
      </w:r>
      <w:r>
        <w:rPr>
          <w:rFonts w:ascii="Calibri" w:hAnsi="Calibri"/>
          <w:color w:val="333333"/>
          <w:sz w:val="20"/>
        </w:rPr>
        <w:t xml:space="preserve">Survodutide: </w:t>
      </w:r>
      <w:r>
        <w:rPr>
          <w:rFonts w:ascii="Calibri" w:hAnsi="Calibri"/>
          <w:b/>
          <w:color w:val="333333"/>
          <w:sz w:val="20"/>
        </w:rPr>
        <w:t>High</w:t>
      </w:r>
      <w:r>
        <w:rPr>
          <w:rFonts w:ascii="Calibri" w:hAnsi="Calibri"/>
          <w:color w:val="333333"/>
          <w:sz w:val="20"/>
        </w:rPr>
        <w:t xml:space="preserve"> (0.65) -- Phase 3 ongoing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Enrollment progress comparison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Differentiation analysis (mechanism similarity)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Talking Points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threat model considers four factors: phase, enrollment, sponsor resources, and mechanism similarity"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"Semaglutide scores as critical because it's already approved AND has cardiovascular outcome data"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"This analysis helps sponsors decide whether to differentiate on efficacy, safety, convenience, or a new endpoint"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Demo Scenario 5: Adaptive Design Selection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Story:</w:t>
      </w:r>
      <w:r>
        <w:rPr>
          <w:rFonts w:ascii="Calibri" w:hAnsi="Calibri"/>
          <w:color w:val="333333"/>
          <w:sz w:val="20"/>
        </w:rPr>
        <w:t xml:space="preserve"> "A biotech company is developing a novel gene therapy for a rare disease (hemophilia A) and wants to know which adaptive design is best for their Phase 2/3 program."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Step 1: Ask About Adaptive Designs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Type in </w:t>
      </w:r>
      <w:r>
        <w:rPr>
          <w:rFonts w:ascii="Calibri" w:hAnsi="Calibri"/>
          <w:b/>
          <w:color w:val="333333"/>
          <w:sz w:val="20"/>
        </w:rPr>
        <w:t>Tab 1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&gt; "What adaptive trial design should I use for a Phase 2/3 seamless gene therapy trial in hemophilia A? Consider the small patient population and uncertain dose-response."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Expected Output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Recommended design:</w:t>
      </w:r>
      <w:r>
        <w:rPr>
          <w:rFonts w:ascii="Calibri" w:hAnsi="Calibri"/>
          <w:color w:val="333333"/>
          <w:sz w:val="20"/>
        </w:rPr>
        <w:t xml:space="preserve"> Seamless Phase 2/3 with sample size re-estimation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Alternative designs:</w:t>
      </w:r>
      <w:r>
        <w:rPr>
          <w:rFonts w:ascii="Calibri" w:hAnsi="Calibri"/>
          <w:color w:val="333333"/>
          <w:sz w:val="20"/>
        </w:rPr>
        <w:t xml:space="preserve"> Response-adaptive randomization, biomarker-adaptive enrichment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Rationale:</w:t>
      </w:r>
      <w:r>
        <w:rPr>
          <w:rFonts w:ascii="Calibri" w:hAnsi="Calibri"/>
          <w:color w:val="333333"/>
          <w:sz w:val="20"/>
        </w:rPr>
        <w:t xml:space="preserve"> Small population (rare disease), uncertain effect size, long follow-up needed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Regulatory guidance:</w:t>
      </w:r>
      <w:r>
        <w:rPr>
          <w:rFonts w:ascii="Calibri" w:hAnsi="Calibri"/>
          <w:color w:val="333333"/>
          <w:sz w:val="20"/>
        </w:rPr>
        <w:t xml:space="preserve"> FDA Guidance on Adaptive Designs (2019), RMAT designation eligible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Precedent trials:</w:t>
      </w:r>
      <w:r>
        <w:rPr>
          <w:rFonts w:ascii="Calibri" w:hAnsi="Calibri"/>
          <w:color w:val="333333"/>
          <w:sz w:val="20"/>
        </w:rPr>
        <w:t xml:space="preserve"> SPRINT_SMA (gene therapy adaptive design), Zolgensma experience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Statistical considerations:</w:t>
      </w:r>
      <w:r>
        <w:rPr>
          <w:rFonts w:ascii="Calibri" w:hAnsi="Calibri"/>
          <w:color w:val="333333"/>
          <w:sz w:val="20"/>
        </w:rPr>
        <w:t xml:space="preserve"> Bayesian framework, external historical controls, LTFU requirements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Success rate estimate:</w:t>
      </w:r>
      <w:r>
        <w:rPr>
          <w:rFonts w:ascii="Calibri" w:hAnsi="Calibri"/>
          <w:color w:val="333333"/>
          <w:sz w:val="20"/>
        </w:rPr>
        <w:t xml:space="preserve"> ~55% for Phase 3 rare disease (higher than average)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Talking Points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system recommended seamless Phase 2/3 because it eliminates the inter-trial gap -- critical for rare diseases where every patient matters"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"FDA RMAT designation makes this eligible for accelerated timelines"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55% Phase 3 success rate for rare diseases is significantly higher than the overall average of ~50%, reflecting smaller trials and often dramatic clinical effects"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9. API Demo Queries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technical audiences, demonstrate the REST API directly: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9.1 RAG Query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http://localhost:8538/v1/trial/query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"question": "What biomarker strategies are used in NSCLC immunotherapy trials?",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"workflow_type": "protocol_design",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"top_k": 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}'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9.2 Patient Matching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http://localhost:8538/v1/trial/match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"patient":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"age": 65,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"sex": "female",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"diagnosis": "HER2-low metastatic breast cancer",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"biomarkers": ["HER2 IHC 1+", "HR-positive", "BRCA wild-type"]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}'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9.3 Safety Signal Detection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http://localhost:8538/v1/trial/safety/signal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-d '{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"events": [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{"event_type": "hepatotoxicity", "severity": "grade_3", "frequency": 0.08},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{"event_type": "neutropenia", "severity": "grade_4", "frequency": 0.12}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],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"trial_id": "NCT00000001"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}'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9.4 Knowledge Version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-s http://localhost:8538/v1/trial/knowledge-version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9.5 Therapeutic Areas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-s http://localhost:8538/v1/trial/therapeutic-areas | python -m json.tool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10. Talking Points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For Executive Audiences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"This agent reduces the time to generate an evidence-based protocol blueprint from weeks to seconds"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"40 landmark trials from KEYNOTE-024 to RECOVERY to CLARITY-AD serve as real-world design precedents"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system covers 13 therapeutic areas, from oncology to gene therapy, with calibrated success rates"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"Running on DGX Spark, this integrates with genomics, drug discovery, and four peer AI agents"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For Clinical Operations Audiences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"Patient-trial matching evaluates every eligibility criterion with confidence scoring"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"Eligibility optimization identifies criteria that exclude patients without scientific justification"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"Site selection considers enrollment history, diversity index, and screen failure rates"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"Enrollment predictions use prevalence, competition, and phase-specific factors"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For Regulatory Affairs Audiences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"The system references ICH E6(R3), E9(R1), and E8(R1) guidelines"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"9 regulatory agencies covered with approval pathways and expedited programs"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"Adaptive design recommendations include specific FDA guidance citations"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"Every recommendation includes evidence level classification (A1 through E)"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For Data Science Audiences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"14 Milvus vector collections with IVF_FLAT indexing and COSINE similarity"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"384-dimensional BGE-small-en-v1.5 embeddings for clinical trial text"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"Workflow-specific collection weight boosting for domain-relevant retrieval"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"Calibrated confidence model: evidence base (0.3) + raw confidence (0.3) + documents (0.2) + agreement (0.2)"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"769 tests in 0.47 seconds -- 100% pass rate"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11. FAQ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Q: Does this replace clinical trial design teams?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A: No. This is a decision support tool that accelerates evidence retrieval and provides calibrated recommendations. All outputs should be reviewed by qualified clinical, regulatory, and statistical professionals.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Q: How current is the trial data?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A: The knowledge base contains 40 curated landmark trials and comprehensive reference data. Real-time ClinicalTrials.gov integration is available through the ingest pipeline on a configurable schedule (default 24 hours).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Q: What happens if Milvus is down?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A: The system degrades gracefully. All 10 workflows, 5 decision support engines, and the knowledge base continue to function. Only vector search results are unavailable.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Q: What happens without an LLM API key?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A: The system operates in search-only mode. Vector searches, workflow execution, and decision support engines all function normally. Natural language synthesis is unavailable.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Q: Can this be used for regulatory submissions?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A: The system generates draft documents and evidence summaries. All regulatory submissions require expert review, validation, and formatting per agency-specific requirements.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Q: What therapeutic areas are supported?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A: All 13 major therapeutic areas: oncology, cardiovascular, neuroscience, immunology, infectious disease, rare diseases, metabolic/endocrinology, respiratory, hematology, gastroenterology, dermatology, ophthalmology, and gene/cell therapy.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12. Recovery Procedures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If the API Crashes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Restart API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uvicorn api.main:app --host 0.0.0.0 --port 8538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If the UI Freezes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Restart Streamlit (it auto-reconnects)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streamlit run app/trial_ui.py --server.port 8128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If Milvus Is Unreachable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Check Milvus status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ps | grep milvus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Restart if needed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restart milvus-standalone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Verify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localhost:8538/health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If Searches Return Empty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Re-seed knowledge base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Re-create collections if needed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scripts/setup_collections.py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p>
      <w:pPr>
        <w:spacing w:before="80" w:after="80"/>
        <w:pBdr>
          <w:bottom w:val="single" w:sz="6" w:color="1AAFCC"/>
        </w:pBdr>
      </w:pPr>
    </w:p>
    <w:p>
      <w:pPr>
        <w:spacing w:before="0" w:after="120"/>
      </w:pPr>
      <w:r>
        <w:rPr>
          <w:rFonts w:ascii="Calibri" w:hAnsi="Calibri"/>
          <w:i/>
          <w:color w:val="333333"/>
          <w:sz w:val="20"/>
        </w:rPr>
        <w:t>Clinical Trial Intelligence Agent v2.0.0 -- Demo Guide -- March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Clinical Trial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