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Clinical Trial Intelligence Agent — Documentation Index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RAG-powered clinical trial optimization system built on Milvus, Claude, and BGE-small-en-v1.5.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Part of the </w:t>
      </w:r>
      <w:r>
        <w:rPr>
          <w:rFonts w:ascii="Calibri" w:hAnsi="Calibri"/>
          <w:color w:val="1AAFCC"/>
          <w:sz w:val="20"/>
        </w:rPr>
        <w:t>HCLS AI Factory</w:t>
      </w:r>
      <w:r>
        <w:rPr>
          <w:rFonts w:ascii="Calibri" w:hAnsi="Calibri"/>
          <w:color w:val="333333"/>
          <w:sz w:val="20"/>
        </w:rPr>
        <w:t xml:space="preserve"> precision medicine platform.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2.0.0 | </w:t>
      </w: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 | </w:t>
      </w: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2026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Documentation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[Project Bible](PROJECT_BIBLE.md)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Complete reference — collections, workflows, API, configuration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[Architecture Guide](ARCHITECTURE_GUIDE.md)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System design, data flow, component interactions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[White Paper](WHITE_PAPER.md)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 trial efficiency crisis, RAG-based solution, validation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[Deployment Guide](DEPLOYMENT_GUIDE.md)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Docker Compose, manual setup, Milvus tuning, security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[Demo Guide](DEMO_GUIDE.md)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5-tab walkthrough, sample queries, demo scenarios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[Learning Guide — Foundations](LEARNING_GUIDE_FOUNDATIONS.md)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 trial primer for engineers and data scientists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[Learning Guide — Advanced](LEARNING_GUIDE_ADVANCED.md)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Adaptive designs, biomarker strategies, regulatory intelligence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[Production Readiness Report](PRODUCTION_READINESS_REPORT.md)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Capability matrix, test suite, deployment checklist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[Research Paper](CLINICAL_TRIAL_INTELLIGENCE_AGENT_RESEARCH_PAPER.md)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Full technical paper with PRD elements</w:t>
            </w:r>
          </w:p>
        </w:tc>
      </w:tr>
    </w:tbl>
    <w:p>
      <w:pPr>
        <w:spacing w:before="40" w:after="80"/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Quick Links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Streamlit UI:</w:t>
      </w:r>
      <w:r>
        <w:rPr>
          <w:rFonts w:ascii="Calibri" w:hAnsi="Calibri"/>
          <w:color w:val="333333"/>
          <w:sz w:val="20"/>
        </w:rPr>
        <w:t xml:space="preserve"> Port 8128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FastAPI API:</w:t>
      </w:r>
      <w:r>
        <w:rPr>
          <w:rFonts w:ascii="Calibri" w:hAnsi="Calibri"/>
          <w:color w:val="333333"/>
          <w:sz w:val="20"/>
        </w:rPr>
        <w:t xml:space="preserve"> Port 8538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10 Clinical Workflows</w:t>
      </w:r>
      <w:r>
        <w:rPr>
          <w:rFonts w:ascii="Calibri" w:hAnsi="Calibri"/>
          <w:color w:val="333333"/>
          <w:sz w:val="20"/>
        </w:rPr>
        <w:t xml:space="preserve"> | </w:t>
      </w:r>
      <w:r>
        <w:rPr>
          <w:rFonts w:ascii="Calibri" w:hAnsi="Calibri"/>
          <w:b/>
          <w:color w:val="333333"/>
          <w:sz w:val="20"/>
        </w:rPr>
        <w:t>14 Vector Collections</w:t>
      </w:r>
      <w:r>
        <w:rPr>
          <w:rFonts w:ascii="Calibri" w:hAnsi="Calibri"/>
          <w:color w:val="333333"/>
          <w:sz w:val="20"/>
        </w:rPr>
        <w:t xml:space="preserve"> | </w:t>
      </w:r>
      <w:r>
        <w:rPr>
          <w:rFonts w:ascii="Calibri" w:hAnsi="Calibri"/>
          <w:b/>
          <w:color w:val="333333"/>
          <w:sz w:val="20"/>
        </w:rPr>
        <w:t>40 Landmark Trials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769 Tests</w:t>
      </w:r>
      <w:r>
        <w:rPr>
          <w:rFonts w:ascii="Calibri" w:hAnsi="Calibri"/>
          <w:color w:val="333333"/>
          <w:sz w:val="20"/>
        </w:rPr>
        <w:t xml:space="preserve"> | 100% Pass Rate | &lt;0.5s Runtime</w:t>
      </w:r>
    </w:p>
    <w:p>
      <w:pPr>
        <w:spacing w:before="80" w:after="80"/>
        <w:pBdr>
          <w:bottom w:val="single" w:sz="6" w:color="1AAFCC"/>
        </w:pBdr>
      </w:pP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Apache 2.0 License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Clinical Trial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