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Clinical Trial Intelligence Agent -- Learning Guide: Advanced</w:t>
      </w:r>
    </w:p>
    <w:p>
      <w:pPr>
        <w:spacing w:before="0" w:after="120"/>
      </w:pPr>
      <w:r>
        <w:rPr>
          <w:rFonts w:ascii="Calibri" w:hAnsi="Calibri"/>
          <w:b/>
          <w:color w:val="333333"/>
          <w:sz w:val="20"/>
        </w:rPr>
        <w:t>Version:</w:t>
      </w:r>
      <w:r>
        <w:rPr>
          <w:rFonts w:ascii="Calibri" w:hAnsi="Calibri"/>
          <w:color w:val="333333"/>
          <w:sz w:val="20"/>
        </w:rPr>
        <w:t xml:space="preserve"> 1.0.0</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Date:</w:t>
      </w:r>
      <w:r>
        <w:rPr>
          <w:rFonts w:ascii="Calibri" w:hAnsi="Calibri"/>
          <w:color w:val="333333"/>
          <w:sz w:val="20"/>
        </w:rPr>
        <w:t xml:space="preserve"> March 2026</w:t>
      </w:r>
    </w:p>
    <w:p>
      <w:pPr>
        <w:spacing w:before="0" w:after="120"/>
      </w:pPr>
      <w:r>
        <w:rPr>
          <w:rFonts w:ascii="Calibri" w:hAnsi="Calibri"/>
          <w:b/>
          <w:color w:val="333333"/>
          <w:sz w:val="20"/>
        </w:rPr>
        <w:t>License:</w:t>
      </w:r>
      <w:r>
        <w:rPr>
          <w:rFonts w:ascii="Calibri" w:hAnsi="Calibri"/>
          <w:color w:val="333333"/>
          <w:sz w:val="20"/>
        </w:rPr>
        <w:t xml:space="preserve"> Apache 2.0</w:t>
      </w:r>
    </w:p>
    <w:p>
      <w:pPr>
        <w:spacing w:before="0" w:after="120"/>
      </w:pPr>
      <w:r>
        <w:rPr>
          <w:rFonts w:ascii="Calibri" w:hAnsi="Calibri"/>
          <w:b/>
          <w:color w:val="333333"/>
          <w:sz w:val="20"/>
        </w:rPr>
        <w:t>Prerequisite:</w:t>
      </w:r>
      <w:r>
        <w:rPr>
          <w:rFonts w:ascii="Calibri" w:hAnsi="Calibri"/>
          <w:color w:val="333333"/>
          <w:sz w:val="20"/>
        </w:rPr>
        <w:t xml:space="preserve"> Learning Guide -- Foundations</w:t>
      </w:r>
    </w:p>
    <w:p>
      <w:pPr>
        <w:spacing w:before="80" w:after="80"/>
        <w:pBdr>
          <w:bottom w:val="single" w:sz="6" w:color="1AAFCC"/>
        </w:pBdr>
      </w:pPr>
    </w:p>
    <w:p>
      <w:pPr>
        <w:pStyle w:val="Heading1"/>
        <w:spacing w:before="400" w:after="160"/>
      </w:pPr>
      <w:r>
        <w:rPr>
          <w:rFonts w:ascii="Calibri" w:hAnsi="Calibri"/>
          <w:b/>
          <w:color w:val="1B2333"/>
          <w:sz w:val="32"/>
        </w:rPr>
        <w:t>Table of Contents</w:t>
      </w:r>
    </w:p>
    <w:p>
      <w:pPr>
        <w:spacing w:before="40" w:after="40"/>
        <w:ind w:left="504" w:hanging="288"/>
      </w:pPr>
      <w:r>
        <w:rPr>
          <w:rFonts w:ascii="Calibri" w:hAnsi="Calibri"/>
          <w:b/>
          <w:color w:val="333333"/>
          <w:sz w:val="20"/>
        </w:rPr>
        <w:t xml:space="preserve">1.  </w:t>
      </w:r>
      <w:r>
        <w:rPr>
          <w:rFonts w:ascii="Calibri" w:hAnsi="Calibri"/>
          <w:color w:val="1AAFCC"/>
          <w:sz w:val="20"/>
        </w:rPr>
        <w:t>Advanced Adaptive Trial Designs</w:t>
      </w:r>
    </w:p>
    <w:p>
      <w:pPr>
        <w:spacing w:before="40" w:after="40"/>
        <w:ind w:left="504" w:hanging="288"/>
      </w:pPr>
      <w:r>
        <w:rPr>
          <w:rFonts w:ascii="Calibri" w:hAnsi="Calibri"/>
          <w:b/>
          <w:color w:val="333333"/>
          <w:sz w:val="20"/>
        </w:rPr>
        <w:t xml:space="preserve">2.  </w:t>
      </w:r>
      <w:r>
        <w:rPr>
          <w:rFonts w:ascii="Calibri" w:hAnsi="Calibri"/>
          <w:color w:val="1AAFCC"/>
          <w:sz w:val="20"/>
        </w:rPr>
        <w:t>Advanced Biomarker-Driven Trial Design</w:t>
      </w:r>
    </w:p>
    <w:p>
      <w:pPr>
        <w:spacing w:before="40" w:after="40"/>
        <w:ind w:left="504" w:hanging="288"/>
      </w:pPr>
      <w:r>
        <w:rPr>
          <w:rFonts w:ascii="Calibri" w:hAnsi="Calibri"/>
          <w:b/>
          <w:color w:val="333333"/>
          <w:sz w:val="20"/>
        </w:rPr>
        <w:t xml:space="preserve">3.  </w:t>
      </w:r>
      <w:r>
        <w:rPr>
          <w:rFonts w:ascii="Calibri" w:hAnsi="Calibri"/>
          <w:color w:val="1AAFCC"/>
          <w:sz w:val="20"/>
        </w:rPr>
        <w:t>Advanced Eligibility Criteria Engineering</w:t>
      </w:r>
    </w:p>
    <w:p>
      <w:pPr>
        <w:spacing w:before="40" w:after="40"/>
        <w:ind w:left="504" w:hanging="288"/>
      </w:pPr>
      <w:r>
        <w:rPr>
          <w:rFonts w:ascii="Calibri" w:hAnsi="Calibri"/>
          <w:b/>
          <w:color w:val="333333"/>
          <w:sz w:val="20"/>
        </w:rPr>
        <w:t xml:space="preserve">4.  </w:t>
      </w:r>
      <w:r>
        <w:rPr>
          <w:rFonts w:ascii="Calibri" w:hAnsi="Calibri"/>
          <w:color w:val="1AAFCC"/>
          <w:sz w:val="20"/>
        </w:rPr>
        <w:t>Advanced Safety Signal Detection</w:t>
      </w:r>
    </w:p>
    <w:p>
      <w:pPr>
        <w:spacing w:before="40" w:after="40"/>
        <w:ind w:left="504" w:hanging="288"/>
      </w:pPr>
      <w:r>
        <w:rPr>
          <w:rFonts w:ascii="Calibri" w:hAnsi="Calibri"/>
          <w:b/>
          <w:color w:val="333333"/>
          <w:sz w:val="20"/>
        </w:rPr>
        <w:t xml:space="preserve">5.  </w:t>
      </w:r>
      <w:r>
        <w:rPr>
          <w:rFonts w:ascii="Calibri" w:hAnsi="Calibri"/>
          <w:color w:val="1AAFCC"/>
          <w:sz w:val="20"/>
        </w:rPr>
        <w:t>Advanced Regulatory Intelligence</w:t>
      </w:r>
    </w:p>
    <w:p>
      <w:pPr>
        <w:spacing w:before="40" w:after="40"/>
        <w:ind w:left="504" w:hanging="288"/>
      </w:pPr>
      <w:r>
        <w:rPr>
          <w:rFonts w:ascii="Calibri" w:hAnsi="Calibri"/>
          <w:b/>
          <w:color w:val="333333"/>
          <w:sz w:val="20"/>
        </w:rPr>
        <w:t xml:space="preserve">6.  </w:t>
      </w:r>
      <w:r>
        <w:rPr>
          <w:rFonts w:ascii="Calibri" w:hAnsi="Calibri"/>
          <w:color w:val="1AAFCC"/>
          <w:sz w:val="20"/>
        </w:rPr>
        <w:t>Advanced Competitive Intelligence</w:t>
      </w:r>
    </w:p>
    <w:p>
      <w:pPr>
        <w:spacing w:before="40" w:after="40"/>
        <w:ind w:left="504" w:hanging="288"/>
      </w:pPr>
      <w:r>
        <w:rPr>
          <w:rFonts w:ascii="Calibri" w:hAnsi="Calibri"/>
          <w:b/>
          <w:color w:val="333333"/>
          <w:sz w:val="20"/>
        </w:rPr>
        <w:t xml:space="preserve">7.  </w:t>
      </w:r>
      <w:r>
        <w:rPr>
          <w:rFonts w:ascii="Calibri" w:hAnsi="Calibri"/>
          <w:color w:val="1AAFCC"/>
          <w:sz w:val="20"/>
        </w:rPr>
        <w:t>Advanced Cross-Agent Intelligence</w:t>
      </w:r>
    </w:p>
    <w:p>
      <w:pPr>
        <w:spacing w:before="40" w:after="40"/>
        <w:ind w:left="504" w:hanging="288"/>
      </w:pPr>
      <w:r>
        <w:rPr>
          <w:rFonts w:ascii="Calibri" w:hAnsi="Calibri"/>
          <w:b/>
          <w:color w:val="333333"/>
          <w:sz w:val="20"/>
        </w:rPr>
        <w:t xml:space="preserve">8.  </w:t>
      </w:r>
      <w:r>
        <w:rPr>
          <w:rFonts w:ascii="Calibri" w:hAnsi="Calibri"/>
          <w:color w:val="1AAFCC"/>
          <w:sz w:val="20"/>
        </w:rPr>
        <w:t>The RAG Architecture in Depth</w:t>
      </w:r>
    </w:p>
    <w:p>
      <w:pPr>
        <w:spacing w:before="40" w:after="40"/>
        <w:ind w:left="504" w:hanging="288"/>
      </w:pPr>
      <w:r>
        <w:rPr>
          <w:rFonts w:ascii="Calibri" w:hAnsi="Calibri"/>
          <w:b/>
          <w:color w:val="333333"/>
          <w:sz w:val="20"/>
        </w:rPr>
        <w:t xml:space="preserve">9.  </w:t>
      </w:r>
      <w:r>
        <w:rPr>
          <w:rFonts w:ascii="Calibri" w:hAnsi="Calibri"/>
          <w:color w:val="1AAFCC"/>
          <w:sz w:val="20"/>
        </w:rPr>
        <w:t>Glossary of Advanced Terms</w:t>
      </w:r>
    </w:p>
    <w:p>
      <w:pPr>
        <w:spacing w:before="80" w:after="80"/>
        <w:pBdr>
          <w:bottom w:val="single" w:sz="6" w:color="1AAFCC"/>
        </w:pBdr>
      </w:pPr>
    </w:p>
    <w:p>
      <w:pPr>
        <w:pStyle w:val="Heading1"/>
        <w:spacing w:before="400" w:after="160"/>
      </w:pPr>
      <w:r>
        <w:rPr>
          <w:rFonts w:ascii="Calibri" w:hAnsi="Calibri"/>
          <w:b/>
          <w:color w:val="1B2333"/>
          <w:sz w:val="32"/>
        </w:rPr>
        <w:t>1. Advanced Adaptive Trial Designs</w:t>
      </w:r>
    </w:p>
    <w:p>
      <w:pPr>
        <w:spacing w:before="0" w:after="120"/>
      </w:pPr>
      <w:r>
        <w:rPr>
          <w:rFonts w:ascii="Calibri" w:hAnsi="Calibri"/>
          <w:color w:val="333333"/>
          <w:sz w:val="20"/>
        </w:rPr>
        <w:t>The Foundations guide introduced the concept of adaptive designs. This chapter explores the advanced design families used in modern clinical development, with emphasis on the statistical machinery underpinning each one.</w:t>
      </w:r>
    </w:p>
    <w:p>
      <w:pPr>
        <w:pStyle w:val="Heading2"/>
        <w:spacing w:before="280" w:after="120"/>
      </w:pPr>
      <w:r>
        <w:rPr>
          <w:rFonts w:ascii="Calibri" w:hAnsi="Calibri"/>
          <w:b/>
          <w:color w:val="1AAFCC"/>
          <w:sz w:val="26"/>
        </w:rPr>
        <w:t>Master Protocols</w:t>
      </w:r>
    </w:p>
    <w:p>
      <w:pPr>
        <w:spacing w:before="0" w:after="120"/>
      </w:pPr>
      <w:r>
        <w:rPr>
          <w:rFonts w:ascii="Calibri" w:hAnsi="Calibri"/>
          <w:color w:val="333333"/>
          <w:sz w:val="20"/>
        </w:rPr>
        <w:t>A master protocol is a single overarching protocol designed to answer multiple research questions simultaneously. Three subtypes dominate modern oncology and rare disease development.</w:t>
      </w:r>
    </w:p>
    <w:p>
      <w:pPr>
        <w:spacing w:before="0" w:after="120"/>
      </w:pPr>
      <w:r>
        <w:rPr>
          <w:rFonts w:ascii="Calibri" w:hAnsi="Calibri"/>
          <w:b/>
          <w:color w:val="333333"/>
          <w:sz w:val="20"/>
        </w:rPr>
        <w:t>Basket Trials.</w:t>
      </w:r>
      <w:r>
        <w:rPr>
          <w:rFonts w:ascii="Calibri" w:hAnsi="Calibri"/>
          <w:color w:val="333333"/>
          <w:sz w:val="20"/>
        </w:rPr>
        <w:t xml:space="preserve"> A single investigational drug is tested across multiple tumor types that share a common molecular alteration. The NCI-MATCH trial (NCT02465060) is the archetype: over 6,000 patients were screened for 143 gene mutations, and those with actionable alterations were assigned to one of 38 treatment arms. Each arm evaluates the same drug or class of drugs in a different histology. The statistical design uses a Simon two-stage approach within each basket, with a one-sided alpha of 0.05 and 90% power to detect a 25% response rate (against a null of 5%).</w:t>
      </w:r>
    </w:p>
    <w:p>
      <w:pPr>
        <w:spacing w:before="0" w:after="120"/>
      </w:pPr>
      <w:r>
        <w:rPr>
          <w:rFonts w:ascii="Calibri" w:hAnsi="Calibri"/>
          <w:b/>
          <w:color w:val="333333"/>
          <w:sz w:val="20"/>
        </w:rPr>
        <w:t>Umbrella Trials.</w:t>
      </w:r>
      <w:r>
        <w:rPr>
          <w:rFonts w:ascii="Calibri" w:hAnsi="Calibri"/>
          <w:color w:val="333333"/>
          <w:sz w:val="20"/>
        </w:rPr>
        <w:t xml:space="preserve"> A single disease is studied, but patients are stratified by biomarker into different treatment arms. The Lung-MAP trial (S1400, NCT02154490) enrolls patients with advanced squamous cell lung cancer and assigns them to biomarker-driven sub-studies. Each sub-study is a Phase 2 or Phase 3 trial with its own primary endpoint. As of 2025, Lung-MAP has opened 16 sub-studies, graduated 3 to Phase 3, and produced 2 FDA-relevant results (ramucirumab + pembrolizumab in PD-L1-high SCLC, for example).</w:t>
      </w:r>
    </w:p>
    <w:p>
      <w:pPr>
        <w:spacing w:before="0" w:after="120"/>
      </w:pPr>
      <w:r>
        <w:rPr>
          <w:rFonts w:ascii="Calibri" w:hAnsi="Calibri"/>
          <w:b/>
          <w:color w:val="333333"/>
          <w:sz w:val="20"/>
        </w:rPr>
        <w:t>Platform Trials.</w:t>
      </w:r>
      <w:r>
        <w:rPr>
          <w:rFonts w:ascii="Calibri" w:hAnsi="Calibri"/>
          <w:color w:val="333333"/>
          <w:sz w:val="20"/>
        </w:rPr>
        <w:t xml:space="preserve"> A permanent infrastructure that allows treatment arms to enter and exit while the control arm persists. The RECOVERY trial (ISRCTN50189673) in COVID-19 is the most impactful platform trial in history: it randomized over 47,000 patients across 12 treatment arms, demonstrating dexamethasone reduced mortality by one-third in ventilated patients (rate ratio 0.64, 95% CI 0.51-0.81). Platform trials use a shared control arm, which improves statistical efficiency by 20-30% compared to independent trials.</w:t>
      </w:r>
    </w:p>
    <w:p>
      <w:pPr>
        <w:pStyle w:val="Heading2"/>
        <w:spacing w:before="280" w:after="120"/>
      </w:pPr>
      <w:r>
        <w:rPr>
          <w:rFonts w:ascii="Calibri" w:hAnsi="Calibri"/>
          <w:b/>
          <w:color w:val="1AAFCC"/>
          <w:sz w:val="26"/>
        </w:rPr>
        <w:t>Bayesian Adaptive Randomization</w:t>
      </w:r>
    </w:p>
    <w:p>
      <w:pPr>
        <w:spacing w:before="0" w:after="120"/>
      </w:pPr>
      <w:r>
        <w:rPr>
          <w:rFonts w:ascii="Calibri" w:hAnsi="Calibri"/>
          <w:color w:val="333333"/>
          <w:sz w:val="20"/>
        </w:rPr>
        <w:t>Traditional randomization allocates patients equally (1:1) or with a fixed ratio. Bayesian adaptive randomization (BAR) updates the allocation probabilities as data accumulates, assigning more patients to the arm that appears to be performing best.</w:t>
      </w:r>
    </w:p>
    <w:p>
      <w:pPr>
        <w:spacing w:before="0" w:after="120"/>
      </w:pPr>
      <w:r>
        <w:rPr>
          <w:rFonts w:ascii="Calibri" w:hAnsi="Calibri"/>
          <w:color w:val="333333"/>
          <w:sz w:val="20"/>
        </w:rPr>
        <w:t>The probability of assigning a new patient to arm k is proportional to:</w:t>
      </w:r>
    </w:p>
    <w:p>
      <w:pPr>
        <w:spacing w:before="0" w:after="0" w:line="240" w:lineRule="auto"/>
        <w:ind w:left="288"/>
        <w:shd w:val="clear" w:fill="F0F0F0"/>
      </w:pPr>
      <w:r>
        <w:rPr>
          <w:rFonts w:ascii="Courier New" w:hAnsi="Courier New"/>
          <w:color w:val="444444"/>
          <w:sz w:val="18"/>
        </w:rPr>
        <w:t>P(allocation to arm k) proportional to P(arm k is best | data so far)^tuning</w:t>
      </w:r>
    </w:p>
    <w:p>
      <w:pPr>
        <w:spacing w:before="0" w:after="120"/>
      </w:pPr>
      <w:r>
        <w:rPr>
          <w:rFonts w:ascii="Calibri" w:hAnsi="Calibri"/>
          <w:color w:val="333333"/>
          <w:sz w:val="20"/>
        </w:rPr>
        <w:t>The tuning parameter controls how aggressively the randomization shifts. A value of 0 yields equal randomization; a value of 1 yields full Thompson sampling. Most trials use a tuning parameter between 0.5 and 1.0.</w:t>
      </w:r>
    </w:p>
    <w:p>
      <w:pPr>
        <w:spacing w:before="0" w:after="120"/>
      </w:pPr>
      <w:r>
        <w:rPr>
          <w:rFonts w:ascii="Calibri" w:hAnsi="Calibri"/>
          <w:b/>
          <w:color w:val="333333"/>
          <w:sz w:val="20"/>
        </w:rPr>
        <w:t>Advantages:</w:t>
      </w:r>
      <w:r>
        <w:rPr>
          <w:rFonts w:ascii="Calibri" w:hAnsi="Calibri"/>
          <w:color w:val="333333"/>
          <w:sz w:val="20"/>
        </w:rPr>
        <w:t xml:space="preserve"> More patients receive the likely-better treatment. Fewer patients are needed overall under favorable scenarios. Arms that perform poorly are dropped early.</w:t>
      </w:r>
    </w:p>
    <w:p>
      <w:pPr>
        <w:spacing w:before="0" w:after="120"/>
      </w:pPr>
      <w:r>
        <w:rPr>
          <w:rFonts w:ascii="Calibri" w:hAnsi="Calibri"/>
          <w:b/>
          <w:color w:val="333333"/>
          <w:sz w:val="20"/>
        </w:rPr>
        <w:t>Risks:</w:t>
      </w:r>
      <w:r>
        <w:rPr>
          <w:rFonts w:ascii="Calibri" w:hAnsi="Calibri"/>
          <w:color w:val="333333"/>
          <w:sz w:val="20"/>
        </w:rPr>
        <w:t xml:space="preserve"> Temporal confounding (if the patient population changes over time, early arms may appear worse due to chance). Reduced power for pairwise comparisons (fewer patients on the control arm). Operational complexity in real-time data cleaning and analysis.</w:t>
      </w:r>
    </w:p>
    <w:p>
      <w:pPr>
        <w:pStyle w:val="Heading2"/>
        <w:spacing w:before="280" w:after="120"/>
      </w:pPr>
      <w:r>
        <w:rPr>
          <w:rFonts w:ascii="Calibri" w:hAnsi="Calibri"/>
          <w:b/>
          <w:color w:val="1AAFCC"/>
          <w:sz w:val="26"/>
        </w:rPr>
        <w:t>Group Sequential Boundaries</w:t>
      </w:r>
    </w:p>
    <w:p>
      <w:pPr>
        <w:spacing w:before="0" w:after="120"/>
      </w:pPr>
      <w:r>
        <w:rPr>
          <w:rFonts w:ascii="Calibri" w:hAnsi="Calibri"/>
          <w:color w:val="333333"/>
          <w:sz w:val="20"/>
        </w:rPr>
        <w:t>Group sequential designs conduct pre-planned interim analyses where the DSMB can stop the trial early for efficacy, futility, or harm. The key challenge is controlling the overall type I error rate across multiple analyses.</w:t>
      </w:r>
    </w:p>
    <w:p>
      <w:pPr>
        <w:spacing w:before="0" w:after="120"/>
      </w:pPr>
      <w:r>
        <w:rPr>
          <w:rFonts w:ascii="Calibri" w:hAnsi="Calibri"/>
          <w:b/>
          <w:color w:val="333333"/>
          <w:sz w:val="20"/>
        </w:rPr>
        <w:t>O'Brien-Fleming Boundaries.</w:t>
      </w:r>
      <w:r>
        <w:rPr>
          <w:rFonts w:ascii="Calibri" w:hAnsi="Calibri"/>
          <w:color w:val="333333"/>
          <w:sz w:val="20"/>
        </w:rPr>
        <w:t xml:space="preserve"> Use very stringent stopping criteria at early looks and relax them at the final analysis. At the first interim (50% information), the two-sided p-value threshold is approximately 0.005; at the final analysis, it is approximately 0.048. This boundary preserves nearly all the nominal alpha for the final analysis, making it the most conservative and most popular approach.</w:t>
      </w:r>
    </w:p>
    <w:p>
      <w:pPr>
        <w:spacing w:before="0" w:after="120"/>
      </w:pPr>
      <w:r>
        <w:rPr>
          <w:rFonts w:ascii="Calibri" w:hAnsi="Calibri"/>
          <w:b/>
          <w:color w:val="333333"/>
          <w:sz w:val="20"/>
        </w:rPr>
        <w:t>Pocock Boundaries.</w:t>
      </w:r>
      <w:r>
        <w:rPr>
          <w:rFonts w:ascii="Calibri" w:hAnsi="Calibri"/>
          <w:color w:val="333333"/>
          <w:sz w:val="20"/>
        </w:rPr>
        <w:t xml:space="preserve"> Use a constant p-value threshold at every look (approximately 0.031 for two-sided alpha 0.05 with 3 looks). This makes early stopping easier but consumes more alpha, resulting in a more stringent final-analysis threshold.</w:t>
      </w:r>
    </w:p>
    <w:p>
      <w:pPr>
        <w:spacing w:before="0" w:after="120"/>
      </w:pPr>
      <w:r>
        <w:rPr>
          <w:rFonts w:ascii="Calibri" w:hAnsi="Calibri"/>
          <w:b/>
          <w:color w:val="333333"/>
          <w:sz w:val="20"/>
        </w:rPr>
        <w:t>Lan-DeMets Alpha Spending Functions.</w:t>
      </w:r>
      <w:r>
        <w:rPr>
          <w:rFonts w:ascii="Calibri" w:hAnsi="Calibri"/>
          <w:color w:val="333333"/>
          <w:sz w:val="20"/>
        </w:rPr>
        <w:t xml:space="preserve"> Generalize the above by specifying a mathematical function alpha</w:t>
      </w:r>
      <w:r>
        <w:rPr>
          <w:rFonts w:ascii="Calibri" w:hAnsi="Calibri"/>
          <w:i/>
          <w:color w:val="333333"/>
          <w:sz w:val="20"/>
        </w:rPr>
        <w:t>(t) that describes how much of the total alpha has been "spent" by information time t. The O'Brien-Fleming spending function is alpha</w:t>
      </w:r>
      <w:r>
        <w:rPr>
          <w:rFonts w:ascii="Calibri" w:hAnsi="Calibri"/>
          <w:color w:val="333333"/>
          <w:sz w:val="20"/>
        </w:rPr>
        <w:t>(t) = 2 - 2</w:t>
      </w:r>
      <w:r>
        <w:rPr>
          <w:rFonts w:ascii="Calibri" w:hAnsi="Calibri"/>
          <w:i/>
          <w:color w:val="333333"/>
          <w:sz w:val="20"/>
        </w:rPr>
        <w:t>Phi(z_alpha/2 / sqrt(t)), while the Pocock-type spending function is alpha</w:t>
      </w:r>
      <w:r>
        <w:rPr>
          <w:rFonts w:ascii="Calibri" w:hAnsi="Calibri"/>
          <w:color w:val="333333"/>
          <w:sz w:val="20"/>
        </w:rPr>
        <w:t xml:space="preserve">(t) = alpha </w:t>
      </w:r>
      <w:r>
        <w:rPr>
          <w:rFonts w:ascii="Calibri" w:hAnsi="Calibri"/>
          <w:i/>
          <w:color w:val="333333"/>
          <w:sz w:val="20"/>
        </w:rPr>
        <w:t xml:space="preserve"> ln(1 + (e-1)</w:t>
      </w:r>
      <w:r>
        <w:rPr>
          <w:rFonts w:ascii="Calibri" w:hAnsi="Calibri"/>
          <w:color w:val="333333"/>
          <w:sz w:val="20"/>
        </w:rPr>
        <w:t>t). The flexibility of the spending function approach allows unequally spaced interim analyses and information-fraction-based monitoring.</w:t>
      </w:r>
    </w:p>
    <w:p>
      <w:pPr>
        <w:spacing w:before="0" w:after="120"/>
      </w:pPr>
      <w:r>
        <w:rPr>
          <w:rFonts w:ascii="Calibri" w:hAnsi="Calibri"/>
          <w:b/>
          <w:color w:val="333333"/>
          <w:sz w:val="20"/>
        </w:rPr>
        <w:t>Example.</w:t>
      </w:r>
      <w:r>
        <w:rPr>
          <w:rFonts w:ascii="Calibri" w:hAnsi="Calibri"/>
          <w:color w:val="333333"/>
          <w:sz w:val="20"/>
        </w:rPr>
        <w:t xml:space="preserve"> The DAPA-HF trial (NCT03036124) used an O'Brien-Fleming-type boundary with two interim analyses. At the first interim (75% events), dapagliflozin showed a 26% reduction in the primary composite endpoint (HR 0.74, 95% CI 0.65-0.85, p &lt; 0.00001), crossing the O'Brien-Fleming boundary. The DSMB recommended early termination due to overwhelming efficacy.</w:t>
      </w:r>
    </w:p>
    <w:p>
      <w:pPr>
        <w:pStyle w:val="Heading2"/>
        <w:spacing w:before="280" w:after="120"/>
      </w:pPr>
      <w:r>
        <w:rPr>
          <w:rFonts w:ascii="Calibri" w:hAnsi="Calibri"/>
          <w:b/>
          <w:color w:val="1AAFCC"/>
          <w:sz w:val="26"/>
        </w:rPr>
        <w:t>Seamless Phase II/III Designs</w:t>
      </w:r>
    </w:p>
    <w:p>
      <w:pPr>
        <w:spacing w:before="0" w:after="120"/>
      </w:pPr>
      <w:r>
        <w:rPr>
          <w:rFonts w:ascii="Calibri" w:hAnsi="Calibri"/>
          <w:color w:val="333333"/>
          <w:sz w:val="20"/>
        </w:rPr>
        <w:t>A seamless Phase II/III trial combines the dose-finding or treatment-selection stage (Phase 2) with the confirmatory stage (Phase 3) in a single protocol. Data from both stages contribute to the final analysis.</w:t>
      </w:r>
    </w:p>
    <w:p>
      <w:pPr>
        <w:spacing w:before="0" w:after="120"/>
      </w:pPr>
      <w:r>
        <w:rPr>
          <w:rFonts w:ascii="Calibri" w:hAnsi="Calibri"/>
          <w:b/>
          <w:color w:val="333333"/>
          <w:sz w:val="20"/>
        </w:rPr>
        <w:t>Operationally Seamless.</w:t>
      </w:r>
      <w:r>
        <w:rPr>
          <w:rFonts w:ascii="Calibri" w:hAnsi="Calibri"/>
          <w:color w:val="333333"/>
          <w:sz w:val="20"/>
        </w:rPr>
        <w:t xml:space="preserve"> Phase 2 and Phase 3 run under one protocol but the Phase 2 data is not used in the final confirmatory analysis. This avoids statistical complications but provides logistical efficiency.</w:t>
      </w:r>
    </w:p>
    <w:p>
      <w:pPr>
        <w:spacing w:before="0" w:after="120"/>
      </w:pPr>
      <w:r>
        <w:rPr>
          <w:rFonts w:ascii="Calibri" w:hAnsi="Calibri"/>
          <w:b/>
          <w:color w:val="333333"/>
          <w:sz w:val="20"/>
        </w:rPr>
        <w:t>Inferentially Seamless.</w:t>
      </w:r>
      <w:r>
        <w:rPr>
          <w:rFonts w:ascii="Calibri" w:hAnsi="Calibri"/>
          <w:color w:val="333333"/>
          <w:sz w:val="20"/>
        </w:rPr>
        <w:t xml:space="preserve"> Phase 2 data contributes to the Phase 3 analysis. This requires careful statistical handling to control the type I error. Common methods include combination tests (Bauer-Kohne), conditional error function approaches, and the adaptive combination test of Bretz, Koenig, Brannath, Glimm, and Posch.</w:t>
      </w:r>
    </w:p>
    <w:p>
      <w:pPr>
        <w:spacing w:before="0" w:after="120"/>
      </w:pPr>
      <w:r>
        <w:rPr>
          <w:rFonts w:ascii="Calibri" w:hAnsi="Calibri"/>
          <w:b/>
          <w:color w:val="333333"/>
          <w:sz w:val="20"/>
        </w:rPr>
        <w:t>Example.</w:t>
      </w:r>
      <w:r>
        <w:rPr>
          <w:rFonts w:ascii="Calibri" w:hAnsi="Calibri"/>
          <w:color w:val="333333"/>
          <w:sz w:val="20"/>
        </w:rPr>
        <w:t xml:space="preserve"> The DETERMINE trial in breast cancer used a two-stage adaptive design: Stage 1 selected the optimal dose from three candidates; Stage 2 confirmed efficacy at the selected dose. The combination p-value method controlled the overall one-sided alpha at 0.025.</w:t>
      </w:r>
    </w:p>
    <w:p>
      <w:pPr>
        <w:pStyle w:val="Heading2"/>
        <w:spacing w:before="280" w:after="120"/>
      </w:pPr>
      <w:r>
        <w:rPr>
          <w:rFonts w:ascii="Calibri" w:hAnsi="Calibri"/>
          <w:b/>
          <w:color w:val="1AAFCC"/>
          <w:sz w:val="26"/>
        </w:rPr>
        <w:t>Sample Size Re-estimation</w:t>
      </w:r>
    </w:p>
    <w:p>
      <w:pPr>
        <w:spacing w:before="0" w:after="120"/>
      </w:pPr>
      <w:r>
        <w:rPr>
          <w:rFonts w:ascii="Calibri" w:hAnsi="Calibri"/>
          <w:color w:val="333333"/>
          <w:sz w:val="20"/>
        </w:rPr>
        <w:t>Sample size re-estimation (SSR) allows adjustment of the planned sample size at an interim analysis, typically based on a blinded or unblinded estimate of the treatment effect or nuisance parameter (e.g., event rate, variance).</w:t>
      </w:r>
    </w:p>
    <w:p>
      <w:pPr>
        <w:spacing w:before="0" w:after="120"/>
      </w:pPr>
      <w:r>
        <w:rPr>
          <w:rFonts w:ascii="Calibri" w:hAnsi="Calibri"/>
          <w:b/>
          <w:color w:val="333333"/>
          <w:sz w:val="20"/>
        </w:rPr>
        <w:t>The Promising Zone Approach (Chen, DeMets, Lan, 1994).</w:t>
      </w:r>
      <w:r>
        <w:rPr>
          <w:rFonts w:ascii="Calibri" w:hAnsi="Calibri"/>
          <w:color w:val="333333"/>
          <w:sz w:val="20"/>
        </w:rPr>
        <w:t xml:space="preserve"> Classifies the interim result into three zones: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Zone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Conditional Power</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Unfavorable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10%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Consider stopping for futility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Promising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10-80%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Increase sample size (up to a pre-specified maximum)</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Favorable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 80%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Continue with original sample size</w:t>
            </w:r>
          </w:p>
        </w:tc>
      </w:tr>
    </w:tbl>
    <w:p>
      <w:pPr>
        <w:spacing w:before="40" w:after="80"/>
      </w:pPr>
    </w:p>
    <w:p>
      <w:pPr>
        <w:spacing w:before="0" w:after="120"/>
      </w:pPr>
      <w:r>
        <w:rPr>
          <w:rFonts w:ascii="Calibri" w:hAnsi="Calibri"/>
          <w:color w:val="333333"/>
          <w:sz w:val="20"/>
        </w:rPr>
        <w:t>The promising zone approach targets trials where the interim effect is smaller than expected but still clinically meaningful. By increasing the sample size, the trial maintains adequate power without inflating the type I error (proved by Mehta and Pocock, 2011).</w:t>
      </w:r>
    </w:p>
    <w:p>
      <w:pPr>
        <w:pStyle w:val="Heading2"/>
        <w:spacing w:before="280" w:after="120"/>
      </w:pPr>
      <w:r>
        <w:rPr>
          <w:rFonts w:ascii="Calibri" w:hAnsi="Calibri"/>
          <w:b/>
          <w:color w:val="1AAFCC"/>
          <w:sz w:val="26"/>
        </w:rPr>
        <w:t>Case Study: I-SPY 2</w:t>
      </w:r>
    </w:p>
    <w:p>
      <w:pPr>
        <w:spacing w:before="0" w:after="120"/>
      </w:pPr>
      <w:r>
        <w:rPr>
          <w:rFonts w:ascii="Calibri" w:hAnsi="Calibri"/>
          <w:color w:val="333333"/>
          <w:sz w:val="20"/>
        </w:rPr>
        <w:t>I-SPY 2 (NCT01042379) is a standing Phase 2 platform trial for neoadjuvant breast cancer that exemplifies the most advanced adaptive design features.</w:t>
      </w:r>
    </w:p>
    <w:p>
      <w:pPr>
        <w:spacing w:before="0" w:after="120"/>
      </w:pPr>
      <w:r>
        <w:rPr>
          <w:rFonts w:ascii="Calibri" w:hAnsi="Calibri"/>
          <w:b/>
          <w:color w:val="333333"/>
          <w:sz w:val="20"/>
        </w:rPr>
        <w:t>Design elements:</w:t>
      </w:r>
    </w:p>
    <w:p>
      <w:pPr>
        <w:spacing w:before="40" w:after="40"/>
        <w:ind w:left="504" w:hanging="216"/>
      </w:pPr>
      <w:r>
        <w:rPr>
          <w:rFonts w:ascii="Calibri" w:hAnsi="Calibri"/>
          <w:color w:val="1AAFCC"/>
          <w:sz w:val="20"/>
        </w:rPr>
        <w:t xml:space="preserve">•  </w:t>
      </w:r>
      <w:r>
        <w:rPr>
          <w:rFonts w:ascii="Calibri" w:hAnsi="Calibri"/>
          <w:color w:val="333333"/>
          <w:sz w:val="20"/>
        </w:rPr>
        <w:t>10 molecularly defined subtypes (HER2+/HR+, HER2+/HR-, HER2-/HR+/MammaPrint High, triple-negative, etc.)</w:t>
      </w:r>
    </w:p>
    <w:p>
      <w:pPr>
        <w:spacing w:before="40" w:after="40"/>
        <w:ind w:left="504" w:hanging="216"/>
      </w:pPr>
      <w:r>
        <w:rPr>
          <w:rFonts w:ascii="Calibri" w:hAnsi="Calibri"/>
          <w:color w:val="1AAFCC"/>
          <w:sz w:val="20"/>
        </w:rPr>
        <w:t xml:space="preserve">•  </w:t>
      </w:r>
      <w:r>
        <w:rPr>
          <w:rFonts w:ascii="Calibri" w:hAnsi="Calibri"/>
          <w:color w:val="333333"/>
          <w:sz w:val="20"/>
        </w:rPr>
        <w:t>Bayesian adaptive randomization within each subtype</w:t>
      </w:r>
    </w:p>
    <w:p>
      <w:pPr>
        <w:spacing w:before="40" w:after="40"/>
        <w:ind w:left="504" w:hanging="216"/>
      </w:pPr>
      <w:r>
        <w:rPr>
          <w:rFonts w:ascii="Calibri" w:hAnsi="Calibri"/>
          <w:color w:val="1AAFCC"/>
          <w:sz w:val="20"/>
        </w:rPr>
        <w:t xml:space="preserve">•  </w:t>
      </w:r>
      <w:r>
        <w:rPr>
          <w:rFonts w:ascii="Calibri" w:hAnsi="Calibri"/>
          <w:color w:val="333333"/>
          <w:sz w:val="20"/>
        </w:rPr>
        <w:t>Response-adaptive graduation: an arm "graduates" when it reaches &gt;= 85% Bayesian predictive probability of success in a future Phase 3 trial of 300 patients</w:t>
      </w:r>
    </w:p>
    <w:p>
      <w:pPr>
        <w:spacing w:before="40" w:after="40"/>
        <w:ind w:left="504" w:hanging="216"/>
      </w:pPr>
      <w:r>
        <w:rPr>
          <w:rFonts w:ascii="Calibri" w:hAnsi="Calibri"/>
          <w:color w:val="1AAFCC"/>
          <w:sz w:val="20"/>
        </w:rPr>
        <w:t xml:space="preserve">•  </w:t>
      </w:r>
      <w:r>
        <w:rPr>
          <w:rFonts w:ascii="Calibri" w:hAnsi="Calibri"/>
          <w:color w:val="333333"/>
          <w:sz w:val="20"/>
        </w:rPr>
        <w:t>Arms are dropped for futility when their predictive probability falls below 10%</w:t>
      </w:r>
    </w:p>
    <w:p>
      <w:pPr>
        <w:spacing w:before="40" w:after="40"/>
        <w:ind w:left="504" w:hanging="216"/>
      </w:pPr>
      <w:r>
        <w:rPr>
          <w:rFonts w:ascii="Calibri" w:hAnsi="Calibri"/>
          <w:color w:val="1AAFCC"/>
          <w:sz w:val="20"/>
        </w:rPr>
        <w:t xml:space="preserve">•  </w:t>
      </w:r>
      <w:r>
        <w:rPr>
          <w:rFonts w:ascii="Calibri" w:hAnsi="Calibri"/>
          <w:color w:val="333333"/>
          <w:sz w:val="20"/>
        </w:rPr>
        <w:t>Shared control arm (standard neoadjuvant chemotherapy)</w:t>
      </w:r>
    </w:p>
    <w:p>
      <w:pPr>
        <w:spacing w:before="40" w:after="40"/>
        <w:ind w:left="504" w:hanging="216"/>
      </w:pPr>
      <w:r>
        <w:rPr>
          <w:rFonts w:ascii="Calibri" w:hAnsi="Calibri"/>
          <w:color w:val="1AAFCC"/>
          <w:sz w:val="20"/>
        </w:rPr>
        <w:t xml:space="preserve">•  </w:t>
      </w:r>
      <w:r>
        <w:rPr>
          <w:rFonts w:ascii="Calibri" w:hAnsi="Calibri"/>
          <w:color w:val="333333"/>
          <w:sz w:val="20"/>
        </w:rPr>
        <w:t>Primary endpoint: pathological complete response (pCR)</w:t>
      </w:r>
    </w:p>
    <w:p>
      <w:pPr>
        <w:spacing w:before="0" w:after="120"/>
      </w:pPr>
      <w:r>
        <w:rPr>
          <w:rFonts w:ascii="Calibri" w:hAnsi="Calibri"/>
          <w:b/>
          <w:color w:val="333333"/>
          <w:sz w:val="20"/>
        </w:rPr>
        <w:t>Results (through 2025):</w:t>
      </w:r>
    </w:p>
    <w:p>
      <w:pPr>
        <w:spacing w:before="40" w:after="40"/>
        <w:ind w:left="504" w:hanging="216"/>
      </w:pPr>
      <w:r>
        <w:rPr>
          <w:rFonts w:ascii="Calibri" w:hAnsi="Calibri"/>
          <w:color w:val="1AAFCC"/>
          <w:sz w:val="20"/>
        </w:rPr>
        <w:t xml:space="preserve">•  </w:t>
      </w:r>
      <w:r>
        <w:rPr>
          <w:rFonts w:ascii="Calibri" w:hAnsi="Calibri"/>
          <w:color w:val="333333"/>
          <w:sz w:val="20"/>
        </w:rPr>
        <w:t>25+ experimental arms tested</w:t>
      </w:r>
    </w:p>
    <w:p>
      <w:pPr>
        <w:spacing w:before="40" w:after="40"/>
        <w:ind w:left="504" w:hanging="216"/>
      </w:pPr>
      <w:r>
        <w:rPr>
          <w:rFonts w:ascii="Calibri" w:hAnsi="Calibri"/>
          <w:color w:val="1AAFCC"/>
          <w:sz w:val="20"/>
        </w:rPr>
        <w:t xml:space="preserve">•  </w:t>
      </w:r>
      <w:r>
        <w:rPr>
          <w:rFonts w:ascii="Calibri" w:hAnsi="Calibri"/>
          <w:color w:val="333333"/>
          <w:sz w:val="20"/>
        </w:rPr>
        <w:t>7 graduated to Phase 3 (including neratinib + pembrolizumab for HER2+/HR-, veliparib + carboplatin for TNBC)</w:t>
      </w:r>
    </w:p>
    <w:p>
      <w:pPr>
        <w:spacing w:before="40" w:after="40"/>
        <w:ind w:left="504" w:hanging="216"/>
      </w:pPr>
      <w:r>
        <w:rPr>
          <w:rFonts w:ascii="Calibri" w:hAnsi="Calibri"/>
          <w:color w:val="1AAFCC"/>
          <w:sz w:val="20"/>
        </w:rPr>
        <w:t xml:space="preserve">•  </w:t>
      </w:r>
      <w:r>
        <w:rPr>
          <w:rFonts w:ascii="Calibri" w:hAnsi="Calibri"/>
          <w:color w:val="333333"/>
          <w:sz w:val="20"/>
        </w:rPr>
        <w:t>Average time from arm opening to graduation: 2-3 years (vs. 5-7 years for traditional development)</w:t>
      </w:r>
    </w:p>
    <w:p>
      <w:pPr>
        <w:spacing w:before="40" w:after="40"/>
        <w:ind w:left="504" w:hanging="216"/>
      </w:pPr>
      <w:r>
        <w:rPr>
          <w:rFonts w:ascii="Calibri" w:hAnsi="Calibri"/>
          <w:color w:val="1AAFCC"/>
          <w:sz w:val="20"/>
        </w:rPr>
        <w:t xml:space="preserve">•  </w:t>
      </w:r>
      <w:r>
        <w:rPr>
          <w:rFonts w:ascii="Calibri" w:hAnsi="Calibri"/>
          <w:color w:val="333333"/>
          <w:sz w:val="20"/>
        </w:rPr>
        <w:t>60% fewer patients needed per arm compared to traditional Phase 2 (estimated 120 vs. 300)</w:t>
      </w:r>
    </w:p>
    <w:p>
      <w:pPr>
        <w:spacing w:before="0" w:after="120"/>
      </w:pPr>
      <w:r>
        <w:rPr>
          <w:rFonts w:ascii="Calibri" w:hAnsi="Calibri"/>
          <w:b/>
          <w:color w:val="333333"/>
          <w:sz w:val="20"/>
        </w:rPr>
        <w:t>Statistical machinery:</w:t>
      </w:r>
      <w:r>
        <w:rPr>
          <w:rFonts w:ascii="Calibri" w:hAnsi="Calibri"/>
          <w:color w:val="333333"/>
          <w:sz w:val="20"/>
        </w:rPr>
        <w:t xml:space="preserve"> I-SPY 2 uses a longitudinal Bayesian model that jointly estimates pCR rates across subtypes and arms, borrowing strength across related subtypes while maintaining separate treatment effect estimates. The adaptive randomization uses Thompson sampling with a tuning parameter of 1.0 within each subtype.</w:t>
      </w:r>
    </w:p>
    <w:p>
      <w:pPr>
        <w:spacing w:before="80" w:after="80"/>
        <w:pBdr>
          <w:bottom w:val="single" w:sz="6" w:color="1AAFCC"/>
        </w:pBdr>
      </w:pPr>
    </w:p>
    <w:p>
      <w:pPr>
        <w:pStyle w:val="Heading1"/>
        <w:spacing w:before="400" w:after="160"/>
      </w:pPr>
      <w:r>
        <w:rPr>
          <w:rFonts w:ascii="Calibri" w:hAnsi="Calibri"/>
          <w:b/>
          <w:color w:val="1B2333"/>
          <w:sz w:val="32"/>
        </w:rPr>
        <w:t>2. Advanced Biomarker-Driven Trial Design</w:t>
      </w:r>
    </w:p>
    <w:p>
      <w:pPr>
        <w:pStyle w:val="Heading2"/>
        <w:spacing w:before="280" w:after="120"/>
      </w:pPr>
      <w:r>
        <w:rPr>
          <w:rFonts w:ascii="Calibri" w:hAnsi="Calibri"/>
          <w:b/>
          <w:color w:val="1AAFCC"/>
          <w:sz w:val="26"/>
        </w:rPr>
        <w:t>Companion Diagnostic Co-Development</w:t>
      </w:r>
    </w:p>
    <w:p>
      <w:pPr>
        <w:spacing w:before="0" w:after="120"/>
      </w:pPr>
      <w:r>
        <w:rPr>
          <w:rFonts w:ascii="Calibri" w:hAnsi="Calibri"/>
          <w:color w:val="333333"/>
          <w:sz w:val="20"/>
        </w:rPr>
        <w:t>When a drug's efficacy depends on a biomarker, the FDA requires simultaneous development and approval of a companion diagnostic (CDx). The regulatory pathway involves two applications filed in parallel:</w:t>
      </w:r>
    </w:p>
    <w:p>
      <w:pPr>
        <w:spacing w:before="40" w:after="40"/>
        <w:ind w:left="504" w:hanging="288"/>
      </w:pPr>
      <w:r>
        <w:rPr>
          <w:rFonts w:ascii="Calibri" w:hAnsi="Calibri"/>
          <w:b/>
          <w:color w:val="333333"/>
          <w:sz w:val="20"/>
        </w:rPr>
        <w:t xml:space="preserve">1.  </w:t>
      </w:r>
      <w:r>
        <w:rPr>
          <w:rFonts w:ascii="Calibri" w:hAnsi="Calibri"/>
          <w:b/>
          <w:color w:val="333333"/>
          <w:sz w:val="20"/>
        </w:rPr>
        <w:t>Drug application:</w:t>
      </w:r>
      <w:r>
        <w:rPr>
          <w:rFonts w:ascii="Calibri" w:hAnsi="Calibri"/>
          <w:color w:val="333333"/>
          <w:sz w:val="20"/>
        </w:rPr>
        <w:t xml:space="preserve"> NDA or BLA submitted to CDER or CBER</w:t>
      </w:r>
    </w:p>
    <w:p>
      <w:pPr>
        <w:spacing w:before="40" w:after="40"/>
        <w:ind w:left="504" w:hanging="288"/>
      </w:pPr>
      <w:r>
        <w:rPr>
          <w:rFonts w:ascii="Calibri" w:hAnsi="Calibri"/>
          <w:b/>
          <w:color w:val="333333"/>
          <w:sz w:val="20"/>
        </w:rPr>
        <w:t xml:space="preserve">2.  </w:t>
      </w:r>
      <w:r>
        <w:rPr>
          <w:rFonts w:ascii="Calibri" w:hAnsi="Calibri"/>
          <w:b/>
          <w:color w:val="333333"/>
          <w:sz w:val="20"/>
        </w:rPr>
        <w:t>CDx application:</w:t>
      </w:r>
      <w:r>
        <w:rPr>
          <w:rFonts w:ascii="Calibri" w:hAnsi="Calibri"/>
          <w:color w:val="333333"/>
          <w:sz w:val="20"/>
        </w:rPr>
        <w:t xml:space="preserve"> Premarket Approval (PMA) submitted to CDRH (Center for Devices and Radiological Health)</w:t>
      </w:r>
    </w:p>
    <w:p>
      <w:pPr>
        <w:spacing w:before="0" w:after="120"/>
      </w:pPr>
      <w:r>
        <w:rPr>
          <w:rFonts w:ascii="Calibri" w:hAnsi="Calibri"/>
          <w:color w:val="333333"/>
          <w:sz w:val="20"/>
        </w:rPr>
        <w:t>The two review teams coordinate through a bridging study that demonstrates analytical validity (does the test measure what it claims?), clinical validity (is the biomarker associated with the clinical outcome?), and clinical utility (does using the test improve patient outcomes?).</w:t>
      </w:r>
    </w:p>
    <w:p>
      <w:pPr>
        <w:spacing w:before="0" w:after="120"/>
      </w:pPr>
      <w:r>
        <w:rPr>
          <w:rFonts w:ascii="Calibri" w:hAnsi="Calibri"/>
          <w:b/>
          <w:color w:val="333333"/>
          <w:sz w:val="20"/>
        </w:rPr>
        <w:t>Timeline reality:</w:t>
      </w:r>
      <w:r>
        <w:rPr>
          <w:rFonts w:ascii="Calibri" w:hAnsi="Calibri"/>
          <w:color w:val="333333"/>
          <w:sz w:val="20"/>
        </w:rPr>
        <w:t xml:space="preserve"> CDx co-development adds 6-18 months to the drug development timeline. The analytical validation alone requires 3-6 months (precision studies, accuracy studies, limit of detection, interfering substances). The FDA has approved over 50 companion diagnostics as of 2025, with FoundationOne CDx (Foundation Medicine) being the most broadly approved pan-tumor CDx, covering 17 FDA-approved targeted therapies.</w:t>
      </w:r>
    </w:p>
    <w:p>
      <w:pPr>
        <w:pStyle w:val="Heading2"/>
        <w:spacing w:before="280" w:after="120"/>
      </w:pPr>
      <w:r>
        <w:rPr>
          <w:rFonts w:ascii="Calibri" w:hAnsi="Calibri"/>
          <w:b/>
          <w:color w:val="1AAFCC"/>
          <w:sz w:val="26"/>
        </w:rPr>
        <w:t>Biomarker-Stratified Designs vs. Enrichment Designs</w:t>
      </w:r>
    </w:p>
    <w:p>
      <w:pPr>
        <w:spacing w:before="0" w:after="120"/>
      </w:pPr>
      <w:r>
        <w:rPr>
          <w:rFonts w:ascii="Calibri" w:hAnsi="Calibri"/>
          <w:b/>
          <w:color w:val="333333"/>
          <w:sz w:val="20"/>
        </w:rPr>
        <w:t>Enrichment design.</w:t>
      </w:r>
      <w:r>
        <w:rPr>
          <w:rFonts w:ascii="Calibri" w:hAnsi="Calibri"/>
          <w:color w:val="333333"/>
          <w:sz w:val="20"/>
        </w:rPr>
        <w:t xml:space="preserve"> Only biomarker-positive patients are enrolled. This maximizes the treatment effect size and reduces the required sample size, but provides no information about the drug's effect in biomarker-negative patients. Example: KEYNOTE-024 enrolled only PD-L1 TPS &gt;= 50% NSCLC patients (approximately 30% of all NSCLC patients), demonstrating a PFS HR of 0.50 (95% CI 0.37-0.68).</w:t>
      </w:r>
    </w:p>
    <w:p>
      <w:pPr>
        <w:spacing w:before="0" w:after="120"/>
      </w:pPr>
      <w:r>
        <w:rPr>
          <w:rFonts w:ascii="Calibri" w:hAnsi="Calibri"/>
          <w:b/>
          <w:color w:val="333333"/>
          <w:sz w:val="20"/>
        </w:rPr>
        <w:t>Stratified (all-comers) design.</w:t>
      </w:r>
      <w:r>
        <w:rPr>
          <w:rFonts w:ascii="Calibri" w:hAnsi="Calibri"/>
          <w:color w:val="333333"/>
          <w:sz w:val="20"/>
        </w:rPr>
        <w:t xml:space="preserve"> All patients are enrolled regardless of biomarker status, but randomization is stratified by biomarker. The analysis plan specifies a hierarchical testing procedure: first test in the biomarker-positive subgroup, then test in the overall population (if significant). This provides information about both populations but requires a larger sample size. Example: KEYNOTE-042 enrolled NSCLC patients with PD-L1 TPS &gt;= 1% and tested hierarchically (TPS &gt;= 50%, then &gt;= 20%, then &gt;= 1%).</w:t>
      </w:r>
    </w:p>
    <w:p>
      <w:pPr>
        <w:spacing w:before="0" w:after="120"/>
      </w:pPr>
      <w:r>
        <w:rPr>
          <w:rFonts w:ascii="Calibri" w:hAnsi="Calibri"/>
          <w:b/>
          <w:color w:val="333333"/>
          <w:sz w:val="20"/>
        </w:rPr>
        <w:t>Adaptive enrichment design.</w:t>
      </w:r>
      <w:r>
        <w:rPr>
          <w:rFonts w:ascii="Calibri" w:hAnsi="Calibri"/>
          <w:color w:val="333333"/>
          <w:sz w:val="20"/>
        </w:rPr>
        <w:t xml:space="preserve"> Begins as an all-comers design and enriches (restricts enrollment to biomarker-positive patients) at an interim analysis if the treatment effect is concentrated in that subgroup. The Biomarker-Adaptive Threshold Design (BATD) and the Adaptive Signature Design (ASD) are two formalized statistical frameworks for this approach.</w:t>
      </w:r>
    </w:p>
    <w:p>
      <w:pPr>
        <w:pStyle w:val="Heading2"/>
        <w:spacing w:before="280" w:after="120"/>
      </w:pPr>
      <w:r>
        <w:rPr>
          <w:rFonts w:ascii="Calibri" w:hAnsi="Calibri"/>
          <w:b/>
          <w:color w:val="1AAFCC"/>
          <w:sz w:val="26"/>
        </w:rPr>
        <w:t>Liquid Biopsy for Patient Selection</w:t>
      </w:r>
    </w:p>
    <w:p>
      <w:pPr>
        <w:spacing w:before="0" w:after="120"/>
      </w:pPr>
      <w:r>
        <w:rPr>
          <w:rFonts w:ascii="Calibri" w:hAnsi="Calibri"/>
          <w:color w:val="333333"/>
          <w:sz w:val="20"/>
        </w:rPr>
        <w:t>Liquid biopsy uses blood-based assays to detect circulating tumor DNA (ctDNA), circulating free DNA (cfDNA), circulating tumor cells (CTCs), or exosomal RNA for non-invasive molecular profiling.</w:t>
      </w:r>
    </w:p>
    <w:p>
      <w:pPr>
        <w:spacing w:before="0" w:after="120"/>
      </w:pPr>
      <w:r>
        <w:rPr>
          <w:rFonts w:ascii="Calibri" w:hAnsi="Calibri"/>
          <w:b/>
          <w:color w:val="333333"/>
          <w:sz w:val="20"/>
        </w:rPr>
        <w:t>FDA-approved liquid biopsy CDx platforms:</w:t>
      </w:r>
    </w:p>
    <w:p>
      <w:pPr>
        <w:spacing w:before="40" w:after="40"/>
        <w:ind w:left="504" w:hanging="216"/>
      </w:pPr>
      <w:r>
        <w:rPr>
          <w:rFonts w:ascii="Calibri" w:hAnsi="Calibri"/>
          <w:color w:val="1AAFCC"/>
          <w:sz w:val="20"/>
        </w:rPr>
        <w:t xml:space="preserve">•  </w:t>
      </w:r>
      <w:r>
        <w:rPr>
          <w:rFonts w:ascii="Calibri" w:hAnsi="Calibri"/>
          <w:b/>
          <w:color w:val="333333"/>
          <w:sz w:val="20"/>
        </w:rPr>
        <w:t>Guardant360 CDx (Guardant Health):</w:t>
      </w:r>
      <w:r>
        <w:rPr>
          <w:rFonts w:ascii="Calibri" w:hAnsi="Calibri"/>
          <w:color w:val="333333"/>
          <w:sz w:val="20"/>
        </w:rPr>
        <w:t xml:space="preserve"> FDA-approved as CDx for osimertinib (EGFR T790M), amivantamab (EGFR exon 20 insertion), and sotorasib (KRAS G12C). Covers 74 genes with a sensitivity of 85-90% for mutations at allele frequency &gt;= 0.5%.</w:t>
      </w:r>
    </w:p>
    <w:p>
      <w:pPr>
        <w:spacing w:before="40" w:after="40"/>
        <w:ind w:left="504" w:hanging="216"/>
      </w:pPr>
      <w:r>
        <w:rPr>
          <w:rFonts w:ascii="Calibri" w:hAnsi="Calibri"/>
          <w:color w:val="1AAFCC"/>
          <w:sz w:val="20"/>
        </w:rPr>
        <w:t xml:space="preserve">•  </w:t>
      </w:r>
      <w:r>
        <w:rPr>
          <w:rFonts w:ascii="Calibri" w:hAnsi="Calibri"/>
          <w:b/>
          <w:color w:val="333333"/>
          <w:sz w:val="20"/>
        </w:rPr>
        <w:t>FoundationOne Liquid CDx (Foundation Medicine):</w:t>
      </w:r>
      <w:r>
        <w:rPr>
          <w:rFonts w:ascii="Calibri" w:hAnsi="Calibri"/>
          <w:color w:val="333333"/>
          <w:sz w:val="20"/>
        </w:rPr>
        <w:t xml:space="preserve"> FDA-approved for 5 CDx indications across 4 tumor types. Covers 324 genes. Sensitivity of 90%+ at allele frequency &gt;= 0.5%.</w:t>
      </w:r>
    </w:p>
    <w:p>
      <w:pPr>
        <w:spacing w:before="0" w:after="120"/>
      </w:pPr>
      <w:r>
        <w:rPr>
          <w:rFonts w:ascii="Calibri" w:hAnsi="Calibri"/>
          <w:b/>
          <w:color w:val="333333"/>
          <w:sz w:val="20"/>
        </w:rPr>
        <w:t>Clinical trial applications:</w:t>
      </w:r>
    </w:p>
    <w:p>
      <w:pPr>
        <w:spacing w:before="40" w:after="40"/>
        <w:ind w:left="504" w:hanging="216"/>
      </w:pPr>
      <w:r>
        <w:rPr>
          <w:rFonts w:ascii="Calibri" w:hAnsi="Calibri"/>
          <w:color w:val="1AAFCC"/>
          <w:sz w:val="20"/>
        </w:rPr>
        <w:t xml:space="preserve">•  </w:t>
      </w:r>
      <w:r>
        <w:rPr>
          <w:rFonts w:ascii="Calibri" w:hAnsi="Calibri"/>
          <w:b/>
          <w:color w:val="333333"/>
          <w:sz w:val="20"/>
        </w:rPr>
        <w:t>Screening:</w:t>
      </w:r>
      <w:r>
        <w:rPr>
          <w:rFonts w:ascii="Calibri" w:hAnsi="Calibri"/>
          <w:color w:val="333333"/>
          <w:sz w:val="20"/>
        </w:rPr>
        <w:t xml:space="preserve"> ctDNA genotyping for molecular stratification at enrollment (reduces tissue biopsy failure rates from 15-20% to &lt; 5%)</w:t>
      </w:r>
    </w:p>
    <w:p>
      <w:pPr>
        <w:spacing w:before="40" w:after="40"/>
        <w:ind w:left="504" w:hanging="216"/>
      </w:pPr>
      <w:r>
        <w:rPr>
          <w:rFonts w:ascii="Calibri" w:hAnsi="Calibri"/>
          <w:color w:val="1AAFCC"/>
          <w:sz w:val="20"/>
        </w:rPr>
        <w:t xml:space="preserve">•  </w:t>
      </w:r>
      <w:r>
        <w:rPr>
          <w:rFonts w:ascii="Calibri" w:hAnsi="Calibri"/>
          <w:b/>
          <w:color w:val="333333"/>
          <w:sz w:val="20"/>
        </w:rPr>
        <w:t>Monitoring:</w:t>
      </w:r>
      <w:r>
        <w:rPr>
          <w:rFonts w:ascii="Calibri" w:hAnsi="Calibri"/>
          <w:color w:val="333333"/>
          <w:sz w:val="20"/>
        </w:rPr>
        <w:t xml:space="preserve"> Serial ctDNA measurement as a pharmacodynamic biomarker (ctDNA clearance at cycle 3 predicts response with AUC 0.85-0.90)</w:t>
      </w:r>
    </w:p>
    <w:p>
      <w:pPr>
        <w:spacing w:before="40" w:after="40"/>
        <w:ind w:left="504" w:hanging="216"/>
      </w:pPr>
      <w:r>
        <w:rPr>
          <w:rFonts w:ascii="Calibri" w:hAnsi="Calibri"/>
          <w:color w:val="1AAFCC"/>
          <w:sz w:val="20"/>
        </w:rPr>
        <w:t xml:space="preserve">•  </w:t>
      </w:r>
      <w:r>
        <w:rPr>
          <w:rFonts w:ascii="Calibri" w:hAnsi="Calibri"/>
          <w:b/>
          <w:color w:val="333333"/>
          <w:sz w:val="20"/>
        </w:rPr>
        <w:t>MRD detection:</w:t>
      </w:r>
      <w:r>
        <w:rPr>
          <w:rFonts w:ascii="Calibri" w:hAnsi="Calibri"/>
          <w:color w:val="333333"/>
          <w:sz w:val="20"/>
        </w:rPr>
        <w:t xml:space="preserve"> Post-treatment ctDNA as a minimal residual disease marker (see next section)</w:t>
      </w:r>
    </w:p>
    <w:p>
      <w:pPr>
        <w:pStyle w:val="Heading2"/>
        <w:spacing w:before="280" w:after="120"/>
      </w:pPr>
      <w:r>
        <w:rPr>
          <w:rFonts w:ascii="Calibri" w:hAnsi="Calibri"/>
          <w:b/>
          <w:color w:val="1AAFCC"/>
          <w:sz w:val="26"/>
        </w:rPr>
        <w:t>Minimal Residual Disease (MRD) as Surrogate Endpoint</w:t>
      </w:r>
    </w:p>
    <w:p>
      <w:pPr>
        <w:spacing w:before="0" w:after="120"/>
      </w:pPr>
      <w:r>
        <w:rPr>
          <w:rFonts w:ascii="Calibri" w:hAnsi="Calibri"/>
          <w:color w:val="333333"/>
          <w:sz w:val="20"/>
        </w:rPr>
        <w:t>MRD refers to the small number of cancer cells remaining after treatment that are below the detection threshold of conventional imaging. MRD assessment is emerging as a surrogate endpoint that could accelerate drug approval timelines by years.</w:t>
      </w:r>
    </w:p>
    <w:p>
      <w:pPr>
        <w:spacing w:before="0" w:after="120"/>
      </w:pPr>
      <w:r>
        <w:rPr>
          <w:rFonts w:ascii="Calibri" w:hAnsi="Calibri"/>
          <w:b/>
          <w:color w:val="333333"/>
          <w:sz w:val="20"/>
        </w:rPr>
        <w:t>MRD in hematologic malignancies:</w:t>
      </w:r>
      <w:r>
        <w:rPr>
          <w:rFonts w:ascii="Calibri" w:hAnsi="Calibri"/>
          <w:color w:val="333333"/>
          <w:sz w:val="20"/>
        </w:rPr>
        <w:t xml:space="preserve"> Already established in multiple myeloma (IMWG MRD criteria, sensitivity 10^-5 or 10^-6 by next-generation flow or next-generation sequencing) and chronic lymphocytic leukemia (iwCLL MRD criteria). The FDA accepted MRD as a primary endpoint in the MASTER trial (NCT03224507) for multiple myeloma.</w:t>
      </w:r>
    </w:p>
    <w:p>
      <w:pPr>
        <w:spacing w:before="0" w:after="120"/>
      </w:pPr>
      <w:r>
        <w:rPr>
          <w:rFonts w:ascii="Calibri" w:hAnsi="Calibri"/>
          <w:b/>
          <w:color w:val="333333"/>
          <w:sz w:val="20"/>
        </w:rPr>
        <w:t>MRD in solid tumors (ctDNA-MRD):</w:t>
      </w:r>
      <w:r>
        <w:rPr>
          <w:rFonts w:ascii="Calibri" w:hAnsi="Calibri"/>
          <w:color w:val="333333"/>
          <w:sz w:val="20"/>
        </w:rPr>
        <w:t xml:space="preserve"> The circTRACK study and DYNAMIC trial (ACTRN12615000381583) demonstrated that ctDNA-guided adjuvant therapy in Stage II colon cancer reduced chemotherapy use by 50% without compromising recurrence-free survival. ctDNA-MRD positivity post-surgery carries a hazard ratio of 7-18 for recurrence across multiple solid tumor types.</w:t>
      </w:r>
    </w:p>
    <w:p>
      <w:pPr>
        <w:spacing w:before="0" w:after="120"/>
      </w:pPr>
      <w:r>
        <w:rPr>
          <w:rFonts w:ascii="Calibri" w:hAnsi="Calibri"/>
          <w:b/>
          <w:color w:val="333333"/>
          <w:sz w:val="20"/>
        </w:rPr>
        <w:t>Regulatory status:</w:t>
      </w:r>
      <w:r>
        <w:rPr>
          <w:rFonts w:ascii="Calibri" w:hAnsi="Calibri"/>
          <w:color w:val="333333"/>
          <w:sz w:val="20"/>
        </w:rPr>
        <w:t xml:space="preserve"> The FDA held a workshop in 2023 on ctDNA as an endpoint in oncology trials. The FNIH Biomarkers Consortium Blood-Based Biomarker Working Group is establishing analytical validation standards. As of 2025, no FDA approval has used ctDNA-MRD as a standalone primary endpoint, but multiple Phase 3 trials are underway (CIRCULATE-Japan, COBRA, DYNAMIC-III).</w:t>
      </w:r>
    </w:p>
    <w:p>
      <w:pPr>
        <w:pStyle w:val="Heading2"/>
        <w:spacing w:before="280" w:after="120"/>
      </w:pPr>
      <w:r>
        <w:rPr>
          <w:rFonts w:ascii="Calibri" w:hAnsi="Calibri"/>
          <w:b/>
          <w:color w:val="1AAFCC"/>
          <w:sz w:val="26"/>
        </w:rPr>
        <w:t>Digital Biomarkers</w:t>
      </w:r>
    </w:p>
    <w:p>
      <w:pPr>
        <w:spacing w:before="0" w:after="120"/>
      </w:pPr>
      <w:r>
        <w:rPr>
          <w:rFonts w:ascii="Calibri" w:hAnsi="Calibri"/>
          <w:color w:val="333333"/>
          <w:sz w:val="20"/>
        </w:rPr>
        <w:t>Digital biomarkers are physiological or behavioral measures collected through digital devices (smartphones, wearables, sensors) that serve as indicators of health outcomes.</w:t>
      </w:r>
    </w:p>
    <w:p>
      <w:pPr>
        <w:spacing w:before="0" w:after="120"/>
      </w:pPr>
      <w:r>
        <w:rPr>
          <w:rFonts w:ascii="Calibri" w:hAnsi="Calibri"/>
          <w:b/>
          <w:color w:val="333333"/>
          <w:sz w:val="20"/>
        </w:rPr>
        <w:t>Validated digital biomarkers in clinical trials: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Biomarker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Device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Measure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Trial Application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Actigraphy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Wrist accelerometer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Steps/day, active minutes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 fatigue, neurology mobility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Continuous glucose monitoring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Subcutaneous sensor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Time in range (70-180 mg/dL)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Diabetes trials (FDA-accepted endpoint)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Digital spirometry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Smartphone microphone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FEV1, FVC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Respiratory trials (COPD, asthma)</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Passive gait analysis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Smartphone IMU</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Stride length, velocity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Parkinson's disease, MS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Sleep architecture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Wrist PPG + accelerometer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Sleep efficiency, wake after sleep onset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Insomnia, depression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 rate variability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Wrist PPG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SDNN, rMSSD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safety monitoring</w:t>
            </w:r>
          </w:p>
        </w:tc>
      </w:tr>
    </w:tbl>
    <w:p>
      <w:pPr>
        <w:spacing w:before="40" w:after="80"/>
      </w:pPr>
    </w:p>
    <w:p>
      <w:pPr>
        <w:spacing w:before="0" w:after="120"/>
      </w:pPr>
      <w:r>
        <w:rPr>
          <w:rFonts w:ascii="Calibri" w:hAnsi="Calibri"/>
          <w:b/>
          <w:color w:val="333333"/>
          <w:sz w:val="20"/>
        </w:rPr>
        <w:t>Regulatory acceptance:</w:t>
      </w:r>
      <w:r>
        <w:rPr>
          <w:rFonts w:ascii="Calibri" w:hAnsi="Calibri"/>
          <w:color w:val="333333"/>
          <w:sz w:val="20"/>
        </w:rPr>
        <w:t xml:space="preserve"> The FDA's Digital Health Center of Excellence published guidance on digital health technologies (DHTs) for clinical investigations in 2023. The V3 framework (verification, analytical validation, clinical validation) mirrors the traditional biomarker qualification pathway. The Clinical Trials Transformation Initiative (CTTI) has published recommendations for sensor selection, data quality, and patient engagement in DHT-enabled trials.</w:t>
      </w:r>
    </w:p>
    <w:p>
      <w:pPr>
        <w:pStyle w:val="Heading2"/>
        <w:spacing w:before="280" w:after="120"/>
      </w:pPr>
      <w:r>
        <w:rPr>
          <w:rFonts w:ascii="Calibri" w:hAnsi="Calibri"/>
          <w:b/>
          <w:color w:val="1AAFCC"/>
          <w:sz w:val="26"/>
        </w:rPr>
        <w:t>Predictive vs. Prognostic Biomarker Validation</w:t>
      </w:r>
    </w:p>
    <w:p>
      <w:pPr>
        <w:spacing w:before="0" w:after="120"/>
      </w:pPr>
      <w:r>
        <w:rPr>
          <w:rFonts w:ascii="Calibri" w:hAnsi="Calibri"/>
          <w:color w:val="333333"/>
          <w:sz w:val="20"/>
        </w:rPr>
        <w:t>A critical distinction in biomarker-driven trial design is whether a biomarker is predictive (identifies patients who benefit from a specific treatment) or merely prognostic (predicts outcome regardless of treatment).</w:t>
      </w:r>
    </w:p>
    <w:p>
      <w:pPr>
        <w:spacing w:before="0" w:after="120"/>
      </w:pPr>
      <w:r>
        <w:rPr>
          <w:rFonts w:ascii="Calibri" w:hAnsi="Calibri"/>
          <w:b/>
          <w:color w:val="333333"/>
          <w:sz w:val="20"/>
        </w:rPr>
        <w:t>Statistical validation of predictive biomarkers</w:t>
      </w:r>
      <w:r>
        <w:rPr>
          <w:rFonts w:ascii="Calibri" w:hAnsi="Calibri"/>
          <w:color w:val="333333"/>
          <w:sz w:val="20"/>
        </w:rPr>
        <w:t xml:space="preserve"> requires a treatment-by-biomarker interaction test. The interaction p-value must demonstrate that the treatment effect differs significantly between biomarker-positive and biomarker-negative subgroups. A significant main effect of the biomarker (prognostic) alone is insufficient.</w:t>
      </w:r>
    </w:p>
    <w:p>
      <w:pPr>
        <w:spacing w:before="0" w:after="120"/>
      </w:pPr>
      <w:r>
        <w:rPr>
          <w:rFonts w:ascii="Calibri" w:hAnsi="Calibri"/>
          <w:b/>
          <w:color w:val="333333"/>
          <w:sz w:val="20"/>
        </w:rPr>
        <w:t>Example:</w:t>
      </w:r>
      <w:r>
        <w:rPr>
          <w:rFonts w:ascii="Calibri" w:hAnsi="Calibri"/>
          <w:color w:val="333333"/>
          <w:sz w:val="20"/>
        </w:rPr>
        <w:t xml:space="preserve"> HER2 overexpression is both prognostic (HER2+ breast cancer has worse natural history) and predictive (HER2+ patients benefit dramatically from trastuzumab, while HER2- patients do not). The pivotal trial demonstrated a treatment-by-biomarker interaction p-value &lt; 0.001.</w:t>
      </w:r>
    </w:p>
    <w:p>
      <w:pPr>
        <w:spacing w:before="0" w:after="120"/>
      </w:pPr>
      <w:r>
        <w:rPr>
          <w:rFonts w:ascii="Calibri" w:hAnsi="Calibri"/>
          <w:b/>
          <w:color w:val="333333"/>
          <w:sz w:val="20"/>
        </w:rPr>
        <w:t>Validation requirements:</w:t>
      </w:r>
    </w:p>
    <w:p>
      <w:pPr>
        <w:spacing w:before="40" w:after="40"/>
        <w:ind w:left="504" w:hanging="288"/>
      </w:pPr>
      <w:r>
        <w:rPr>
          <w:rFonts w:ascii="Calibri" w:hAnsi="Calibri"/>
          <w:b/>
          <w:color w:val="333333"/>
          <w:sz w:val="20"/>
        </w:rPr>
        <w:t xml:space="preserve">1.  </w:t>
      </w:r>
      <w:r>
        <w:rPr>
          <w:rFonts w:ascii="Calibri" w:hAnsi="Calibri"/>
          <w:b/>
          <w:color w:val="333333"/>
          <w:sz w:val="20"/>
        </w:rPr>
        <w:t>Analytical validation:</w:t>
      </w:r>
      <w:r>
        <w:rPr>
          <w:rFonts w:ascii="Calibri" w:hAnsi="Calibri"/>
          <w:color w:val="333333"/>
          <w:sz w:val="20"/>
        </w:rPr>
        <w:t xml:space="preserve"> Assay precision, accuracy, reproducibility (CLSI EP05, EP09, EP12 protocols)</w:t>
      </w:r>
    </w:p>
    <w:p>
      <w:pPr>
        <w:spacing w:before="40" w:after="40"/>
        <w:ind w:left="504" w:hanging="288"/>
      </w:pPr>
      <w:r>
        <w:rPr>
          <w:rFonts w:ascii="Calibri" w:hAnsi="Calibri"/>
          <w:b/>
          <w:color w:val="333333"/>
          <w:sz w:val="20"/>
        </w:rPr>
        <w:t xml:space="preserve">2.  </w:t>
      </w:r>
      <w:r>
        <w:rPr>
          <w:rFonts w:ascii="Calibri" w:hAnsi="Calibri"/>
          <w:b/>
          <w:color w:val="333333"/>
          <w:sz w:val="20"/>
        </w:rPr>
        <w:t>Clinical validation:</w:t>
      </w:r>
      <w:r>
        <w:rPr>
          <w:rFonts w:ascii="Calibri" w:hAnsi="Calibri"/>
          <w:color w:val="333333"/>
          <w:sz w:val="20"/>
        </w:rPr>
        <w:t xml:space="preserve"> Association between biomarker and clinical outcome (prospective or retrospective study)</w:t>
      </w:r>
    </w:p>
    <w:p>
      <w:pPr>
        <w:spacing w:before="40" w:after="40"/>
        <w:ind w:left="504" w:hanging="288"/>
      </w:pPr>
      <w:r>
        <w:rPr>
          <w:rFonts w:ascii="Calibri" w:hAnsi="Calibri"/>
          <w:b/>
          <w:color w:val="333333"/>
          <w:sz w:val="20"/>
        </w:rPr>
        <w:t xml:space="preserve">3.  </w:t>
      </w:r>
      <w:r>
        <w:rPr>
          <w:rFonts w:ascii="Calibri" w:hAnsi="Calibri"/>
          <w:b/>
          <w:color w:val="333333"/>
          <w:sz w:val="20"/>
        </w:rPr>
        <w:t>Clinical utility:</w:t>
      </w:r>
      <w:r>
        <w:rPr>
          <w:rFonts w:ascii="Calibri" w:hAnsi="Calibri"/>
          <w:color w:val="333333"/>
          <w:sz w:val="20"/>
        </w:rPr>
        <w:t xml:space="preserve"> Demonstration that using the biomarker to guide treatment improves outcomes (randomized trial or prospective-retrospective design per Simon, Paik, Hayes 2009)</w:t>
      </w:r>
    </w:p>
    <w:p>
      <w:pPr>
        <w:spacing w:before="80" w:after="80"/>
        <w:pBdr>
          <w:bottom w:val="single" w:sz="6" w:color="1AAFCC"/>
        </w:pBdr>
      </w:pPr>
    </w:p>
    <w:p>
      <w:pPr>
        <w:pStyle w:val="Heading1"/>
        <w:spacing w:before="400" w:after="160"/>
      </w:pPr>
      <w:r>
        <w:rPr>
          <w:rFonts w:ascii="Calibri" w:hAnsi="Calibri"/>
          <w:b/>
          <w:color w:val="1B2333"/>
          <w:sz w:val="32"/>
        </w:rPr>
        <w:t>3. Advanced Eligibility Criteria Engineering</w:t>
      </w:r>
    </w:p>
    <w:p>
      <w:pPr>
        <w:pStyle w:val="Heading2"/>
        <w:spacing w:before="280" w:after="120"/>
      </w:pPr>
      <w:r>
        <w:rPr>
          <w:rFonts w:ascii="Calibri" w:hAnsi="Calibri"/>
          <w:b/>
          <w:color w:val="1AAFCC"/>
          <w:sz w:val="26"/>
        </w:rPr>
        <w:t>Population Impact Modeling</w:t>
      </w:r>
    </w:p>
    <w:p>
      <w:pPr>
        <w:spacing w:before="0" w:after="120"/>
      </w:pPr>
      <w:r>
        <w:rPr>
          <w:rFonts w:ascii="Calibri" w:hAnsi="Calibri"/>
          <w:color w:val="333333"/>
          <w:sz w:val="20"/>
        </w:rPr>
        <w:t>Research from the Tufts Center for the Study of Drug Development (CSDD) found that 86% of oncology protocols contain at least one eligibility criterion that is overly restrictive -- excluding large segments of the real-world patient population without strong safety or scientific justification.</w:t>
      </w:r>
    </w:p>
    <w:p>
      <w:pPr>
        <w:spacing w:before="0" w:after="120"/>
      </w:pPr>
      <w:r>
        <w:rPr>
          <w:rFonts w:ascii="Calibri" w:hAnsi="Calibri"/>
          <w:b/>
          <w:color w:val="333333"/>
          <w:sz w:val="20"/>
        </w:rPr>
        <w:t>Quantifying the impact:</w:t>
      </w:r>
      <w:r>
        <w:rPr>
          <w:rFonts w:ascii="Calibri" w:hAnsi="Calibri"/>
          <w:color w:val="333333"/>
          <w:sz w:val="20"/>
        </w:rPr>
        <w:t xml:space="preserve"> The Clinical Trial Intelligence Agent evaluates each criterion against 29 population impact patterns. For each criterion, the agent estimates:</w:t>
      </w:r>
    </w:p>
    <w:p>
      <w:pPr>
        <w:spacing w:before="40" w:after="40"/>
        <w:ind w:left="504" w:hanging="216"/>
      </w:pPr>
      <w:r>
        <w:rPr>
          <w:rFonts w:ascii="Calibri" w:hAnsi="Calibri"/>
          <w:color w:val="1AAFCC"/>
          <w:sz w:val="20"/>
        </w:rPr>
        <w:t xml:space="preserve">•  </w:t>
      </w:r>
      <w:r>
        <w:rPr>
          <w:rFonts w:ascii="Calibri" w:hAnsi="Calibri"/>
          <w:b/>
          <w:color w:val="333333"/>
          <w:sz w:val="20"/>
        </w:rPr>
        <w:t>Population exclusion percentage:</w:t>
      </w:r>
      <w:r>
        <w:rPr>
          <w:rFonts w:ascii="Calibri" w:hAnsi="Calibri"/>
          <w:color w:val="333333"/>
          <w:sz w:val="20"/>
        </w:rPr>
        <w:t xml:space="preserve"> What fraction of the real-world disease population is excluded by this criterion?</w:t>
      </w:r>
    </w:p>
    <w:p>
      <w:pPr>
        <w:spacing w:before="40" w:after="40"/>
        <w:ind w:left="504" w:hanging="216"/>
      </w:pPr>
      <w:r>
        <w:rPr>
          <w:rFonts w:ascii="Calibri" w:hAnsi="Calibri"/>
          <w:color w:val="1AAFCC"/>
          <w:sz w:val="20"/>
        </w:rPr>
        <w:t xml:space="preserve">•  </w:t>
      </w:r>
      <w:r>
        <w:rPr>
          <w:rFonts w:ascii="Calibri" w:hAnsi="Calibri"/>
          <w:b/>
          <w:color w:val="333333"/>
          <w:sz w:val="20"/>
        </w:rPr>
        <w:t>Scientific justification strength:</w:t>
      </w:r>
      <w:r>
        <w:rPr>
          <w:rFonts w:ascii="Calibri" w:hAnsi="Calibri"/>
          <w:color w:val="333333"/>
          <w:sz w:val="20"/>
        </w:rPr>
        <w:t xml:space="preserve"> Is there evidence that the excluded population faces higher safety risk or confounds efficacy assessment?</w:t>
      </w:r>
    </w:p>
    <w:p>
      <w:pPr>
        <w:spacing w:before="40" w:after="40"/>
        <w:ind w:left="504" w:hanging="216"/>
      </w:pPr>
      <w:r>
        <w:rPr>
          <w:rFonts w:ascii="Calibri" w:hAnsi="Calibri"/>
          <w:color w:val="1AAFCC"/>
          <w:sz w:val="20"/>
        </w:rPr>
        <w:t xml:space="preserve">•  </w:t>
      </w:r>
      <w:r>
        <w:rPr>
          <w:rFonts w:ascii="Calibri" w:hAnsi="Calibri"/>
          <w:b/>
          <w:color w:val="333333"/>
          <w:sz w:val="20"/>
        </w:rPr>
        <w:t>Broadening feasibility:</w:t>
      </w:r>
      <w:r>
        <w:rPr>
          <w:rFonts w:ascii="Calibri" w:hAnsi="Calibri"/>
          <w:color w:val="333333"/>
          <w:sz w:val="20"/>
        </w:rPr>
        <w:t xml:space="preserve"> Can the criterion be relaxed with acceptable risk mitigation (additional monitoring, dose modification, etc.)?</w:t>
      </w:r>
    </w:p>
    <w:p>
      <w:pPr>
        <w:spacing w:before="0" w:after="120"/>
      </w:pPr>
      <w:r>
        <w:rPr>
          <w:rFonts w:ascii="Calibri" w:hAnsi="Calibri"/>
          <w:b/>
          <w:color w:val="333333"/>
          <w:sz w:val="20"/>
        </w:rPr>
        <w:t>Industry benchmarks (Tufts CSDD 2020 analysis of 14,000 protocols):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Criterion 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Prevalence in Protocols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Median Population Impact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Laboratory thresholds (organ function)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15-25% exclusion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ECOG performance status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10-20% exclusion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Prior therapy restrictions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20-40% exclusion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Comorbidity exclusions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15-30% exclusion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Age limits (upper bound)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10-15% exclusion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Brain metastases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30-40% exclusion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Autoimmune disease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5-10% exclusion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HIV/Hepatitis B/C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 exclusion</w:t>
            </w:r>
          </w:p>
        </w:tc>
      </w:tr>
    </w:tbl>
    <w:p>
      <w:pPr>
        <w:spacing w:before="40" w:after="80"/>
      </w:pPr>
    </w:p>
    <w:p>
      <w:pPr>
        <w:pStyle w:val="Heading2"/>
        <w:spacing w:before="280" w:after="120"/>
      </w:pPr>
      <w:r>
        <w:rPr>
          <w:rFonts w:ascii="Calibri" w:hAnsi="Calibri"/>
          <w:b/>
          <w:color w:val="1AAFCC"/>
          <w:sz w:val="26"/>
        </w:rPr>
        <w:t>Broadening Strategies with Safety Guardrails</w:t>
      </w:r>
    </w:p>
    <w:p>
      <w:pPr>
        <w:spacing w:before="0" w:after="120"/>
      </w:pPr>
      <w:r>
        <w:rPr>
          <w:rFonts w:ascii="Calibri" w:hAnsi="Calibri"/>
          <w:color w:val="333333"/>
          <w:sz w:val="20"/>
        </w:rPr>
        <w:t>The ASCO-Friends of Cancer Research Broadening Eligibility Criteria initiative produced evidence-based recommendations for relaxing common exclusions. Key recommendations (published in Journal of Clinical Oncology, 2021):</w:t>
      </w:r>
    </w:p>
    <w:p>
      <w:pPr>
        <w:spacing w:before="0" w:after="120"/>
      </w:pPr>
      <w:r>
        <w:rPr>
          <w:rFonts w:ascii="Calibri" w:hAnsi="Calibri"/>
          <w:b/>
          <w:color w:val="333333"/>
          <w:sz w:val="20"/>
        </w:rPr>
        <w:t>Brain metastases.</w:t>
      </w:r>
      <w:r>
        <w:rPr>
          <w:rFonts w:ascii="Calibri" w:hAnsi="Calibri"/>
          <w:color w:val="333333"/>
          <w:sz w:val="20"/>
        </w:rPr>
        <w:t xml:space="preserve"> Historically excluded from 60%+ of oncology trials. Data from 10,000+ patients across multiple trials showed that patients with treated, stable brain metastases have similar safety profiles to those without CNS disease. Recommendation: Allow patients with treated brain metastases that are stable for &gt;= 2 weeks, off or on stable-dose corticosteroids. The Clinical Trial Intelligence Agent flags brain metastases exclusion as "high impact, moderate justification" and generates the broadening recommendation with the ASCO-Friends evidence base.</w:t>
      </w:r>
    </w:p>
    <w:p>
      <w:pPr>
        <w:spacing w:before="0" w:after="120"/>
      </w:pPr>
      <w:r>
        <w:rPr>
          <w:rFonts w:ascii="Calibri" w:hAnsi="Calibri"/>
          <w:b/>
          <w:color w:val="333333"/>
          <w:sz w:val="20"/>
        </w:rPr>
        <w:t>Minimum age.</w:t>
      </w:r>
      <w:r>
        <w:rPr>
          <w:rFonts w:ascii="Calibri" w:hAnsi="Calibri"/>
          <w:color w:val="333333"/>
          <w:sz w:val="20"/>
        </w:rPr>
        <w:t xml:space="preserve"> The FDA guidance on inclusion of older adults (2020) recommends removing upper age limits unless there is a specific safety concern. Trials that exclude patients &gt; 65 or &gt; 75 miss 60% and 30% of the real-world cancer population, respectively.</w:t>
      </w:r>
    </w:p>
    <w:p>
      <w:pPr>
        <w:spacing w:before="0" w:after="120"/>
      </w:pPr>
      <w:r>
        <w:rPr>
          <w:rFonts w:ascii="Calibri" w:hAnsi="Calibri"/>
          <w:b/>
          <w:color w:val="333333"/>
          <w:sz w:val="20"/>
        </w:rPr>
        <w:t>HIV/Hepatitis B/C.</w:t>
      </w:r>
      <w:r>
        <w:rPr>
          <w:rFonts w:ascii="Calibri" w:hAnsi="Calibri"/>
          <w:color w:val="333333"/>
          <w:sz w:val="20"/>
        </w:rPr>
        <w:t xml:space="preserve"> The Cancer Therapy Evaluation Program (CTEP) guidance (updated 2022) recommends including patients with controlled HIV (CD4 &gt;= 350, undetectable viral load) and treated hepatitis B/C in most oncology trials. Historical exclusion was based on immunosuppression concerns that are largely mitigated by modern antiviral therapy.</w:t>
      </w:r>
    </w:p>
    <w:p>
      <w:pPr>
        <w:spacing w:before="0" w:after="120"/>
      </w:pPr>
      <w:r>
        <w:rPr>
          <w:rFonts w:ascii="Calibri" w:hAnsi="Calibri"/>
          <w:b/>
          <w:color w:val="333333"/>
          <w:sz w:val="20"/>
        </w:rPr>
        <w:t>Organ function thresholds.</w:t>
      </w:r>
      <w:r>
        <w:rPr>
          <w:rFonts w:ascii="Calibri" w:hAnsi="Calibri"/>
          <w:color w:val="333333"/>
          <w:sz w:val="20"/>
        </w:rPr>
        <w:t xml:space="preserve"> Many protocols require creatinine clearance &gt;= 60 mL/min, but real-world data shows that patients with CrCl 30-59 mL/min tolerate most systemic therapies with dose adjustments. Broadening this threshold can increase the eligible population by 15-20%.</w:t>
      </w:r>
    </w:p>
    <w:p>
      <w:pPr>
        <w:pStyle w:val="Heading2"/>
        <w:spacing w:before="280" w:after="120"/>
      </w:pPr>
      <w:r>
        <w:rPr>
          <w:rFonts w:ascii="Calibri" w:hAnsi="Calibri"/>
          <w:b/>
          <w:color w:val="1AAFCC"/>
          <w:sz w:val="26"/>
        </w:rPr>
        <w:t>Real-World Evidence for Eligibility Validation</w:t>
      </w:r>
    </w:p>
    <w:p>
      <w:pPr>
        <w:spacing w:before="0" w:after="120"/>
      </w:pPr>
      <w:r>
        <w:rPr>
          <w:rFonts w:ascii="Calibri" w:hAnsi="Calibri"/>
          <w:color w:val="333333"/>
          <w:sz w:val="20"/>
        </w:rPr>
        <w:t>The FDA's Framework for Real-World Evidence (2018, updated 2023) establishes standards for using electronic health records, claims data, and registry data to validate eligibility criteria decisions.</w:t>
      </w:r>
    </w:p>
    <w:p>
      <w:pPr>
        <w:spacing w:before="0" w:after="120"/>
      </w:pPr>
      <w:r>
        <w:rPr>
          <w:rFonts w:ascii="Calibri" w:hAnsi="Calibri"/>
          <w:b/>
          <w:color w:val="333333"/>
          <w:sz w:val="20"/>
        </w:rPr>
        <w:t>Methodology:</w:t>
      </w:r>
      <w:r>
        <w:rPr>
          <w:rFonts w:ascii="Calibri" w:hAnsi="Calibri"/>
          <w:color w:val="333333"/>
          <w:sz w:val="20"/>
        </w:rPr>
        <w:t xml:space="preserve"> Population-based cohort studies using EHR data can quantify the "representativeness gap" -- the difference between the trial-eligible population and the real-world disease population. The FDA's Project Pragmatica is developing tools to measure this gap systematically.</w:t>
      </w:r>
    </w:p>
    <w:p>
      <w:pPr>
        <w:spacing w:before="0" w:after="120"/>
      </w:pPr>
      <w:r>
        <w:rPr>
          <w:rFonts w:ascii="Calibri" w:hAnsi="Calibri"/>
          <w:b/>
          <w:color w:val="333333"/>
          <w:sz w:val="20"/>
        </w:rPr>
        <w:t>Flatiron Health analysis (2019):</w:t>
      </w:r>
      <w:r>
        <w:rPr>
          <w:rFonts w:ascii="Calibri" w:hAnsi="Calibri"/>
          <w:color w:val="333333"/>
          <w:sz w:val="20"/>
        </w:rPr>
        <w:t xml:space="preserve"> Evaluated 10,000 NSCLC patients in the Flatiron database against the eligibility criteria of 10 pivotal immunotherapy trials. Finding: Only 27% of real-world NSCLC patients would have been eligible for any of the 10 trials. The most impactful exclusion criteria were ECOG status (35% exclusion), brain metastases (25% exclusion), and prior therapy requirements (20% exclusion).</w:t>
      </w:r>
    </w:p>
    <w:p>
      <w:pPr>
        <w:pStyle w:val="Heading2"/>
        <w:spacing w:before="280" w:after="120"/>
      </w:pPr>
      <w:r>
        <w:rPr>
          <w:rFonts w:ascii="Calibri" w:hAnsi="Calibri"/>
          <w:b/>
          <w:color w:val="1AAFCC"/>
          <w:sz w:val="26"/>
        </w:rPr>
        <w:t>Synthetic Control Arms</w:t>
      </w:r>
    </w:p>
    <w:p>
      <w:pPr>
        <w:spacing w:before="0" w:after="120"/>
      </w:pPr>
      <w:r>
        <w:rPr>
          <w:rFonts w:ascii="Calibri" w:hAnsi="Calibri"/>
          <w:color w:val="333333"/>
          <w:sz w:val="20"/>
        </w:rPr>
        <w:t>Synthetic control arms (also called external control arms) use historical or real-world data instead of a concurrent randomized control group. They are most relevant in rare diseases, pediatric populations, and settings where randomization to placebo is unethical.</w:t>
      </w:r>
    </w:p>
    <w:p>
      <w:pPr>
        <w:spacing w:before="0" w:after="120"/>
      </w:pPr>
      <w:r>
        <w:rPr>
          <w:rFonts w:ascii="Calibri" w:hAnsi="Calibri"/>
          <w:b/>
          <w:color w:val="333333"/>
          <w:sz w:val="20"/>
        </w:rPr>
        <w:t>FDA acceptance:</w:t>
      </w:r>
      <w:r>
        <w:rPr>
          <w:rFonts w:ascii="Calibri" w:hAnsi="Calibri"/>
          <w:color w:val="333333"/>
          <w:sz w:val="20"/>
        </w:rPr>
        <w:t xml:space="preserve"> The FDA approved rucaparib for BRCA-mutant ovarian cancer partly based on a single-arm trial with historical benchmarks. The agency published draft guidance on externally controlled trials in 2023. Key requirements include pre-specification of the external data source, propensity score or other adjustment methods, and sensitivity analyses for unmeasured confounding.</w:t>
      </w:r>
    </w:p>
    <w:p>
      <w:pPr>
        <w:spacing w:before="0" w:after="120"/>
      </w:pPr>
      <w:r>
        <w:rPr>
          <w:rFonts w:ascii="Calibri" w:hAnsi="Calibri"/>
          <w:b/>
          <w:color w:val="333333"/>
          <w:sz w:val="20"/>
        </w:rPr>
        <w:t>Statistical methods:</w:t>
      </w:r>
    </w:p>
    <w:p>
      <w:pPr>
        <w:spacing w:before="40" w:after="40"/>
        <w:ind w:left="504" w:hanging="216"/>
      </w:pPr>
      <w:r>
        <w:rPr>
          <w:rFonts w:ascii="Calibri" w:hAnsi="Calibri"/>
          <w:color w:val="1AAFCC"/>
          <w:sz w:val="20"/>
        </w:rPr>
        <w:t xml:space="preserve">•  </w:t>
      </w:r>
      <w:r>
        <w:rPr>
          <w:rFonts w:ascii="Calibri" w:hAnsi="Calibri"/>
          <w:b/>
          <w:color w:val="333333"/>
          <w:sz w:val="20"/>
        </w:rPr>
        <w:t>Propensity score matching:</w:t>
      </w:r>
      <w:r>
        <w:rPr>
          <w:rFonts w:ascii="Calibri" w:hAnsi="Calibri"/>
          <w:color w:val="333333"/>
          <w:sz w:val="20"/>
        </w:rPr>
        <w:t xml:space="preserve"> Match external control patients to trial patients on baseline characteristics</w:t>
      </w:r>
    </w:p>
    <w:p>
      <w:pPr>
        <w:spacing w:before="40" w:after="40"/>
        <w:ind w:left="504" w:hanging="216"/>
      </w:pPr>
      <w:r>
        <w:rPr>
          <w:rFonts w:ascii="Calibri" w:hAnsi="Calibri"/>
          <w:color w:val="1AAFCC"/>
          <w:sz w:val="20"/>
        </w:rPr>
        <w:t xml:space="preserve">•  </w:t>
      </w:r>
      <w:r>
        <w:rPr>
          <w:rFonts w:ascii="Calibri" w:hAnsi="Calibri"/>
          <w:b/>
          <w:color w:val="333333"/>
          <w:sz w:val="20"/>
        </w:rPr>
        <w:t>Inverse probability of treatment weighting (IPTW):</w:t>
      </w:r>
      <w:r>
        <w:rPr>
          <w:rFonts w:ascii="Calibri" w:hAnsi="Calibri"/>
          <w:color w:val="333333"/>
          <w:sz w:val="20"/>
        </w:rPr>
        <w:t xml:space="preserve"> Weight external patients to match the trial population distribution</w:t>
      </w:r>
    </w:p>
    <w:p>
      <w:pPr>
        <w:spacing w:before="40" w:after="40"/>
        <w:ind w:left="504" w:hanging="216"/>
      </w:pPr>
      <w:r>
        <w:rPr>
          <w:rFonts w:ascii="Calibri" w:hAnsi="Calibri"/>
          <w:color w:val="1AAFCC"/>
          <w:sz w:val="20"/>
        </w:rPr>
        <w:t xml:space="preserve">•  </w:t>
      </w:r>
      <w:r>
        <w:rPr>
          <w:rFonts w:ascii="Calibri" w:hAnsi="Calibri"/>
          <w:b/>
          <w:color w:val="333333"/>
          <w:sz w:val="20"/>
        </w:rPr>
        <w:t>Bayesian dynamic borrowing:</w:t>
      </w:r>
      <w:r>
        <w:rPr>
          <w:rFonts w:ascii="Calibri" w:hAnsi="Calibri"/>
          <w:color w:val="333333"/>
          <w:sz w:val="20"/>
        </w:rPr>
        <w:t xml:space="preserve"> Discount external data based on the degree of between-study heterogeneity (measured by the effective sample size)</w:t>
      </w:r>
    </w:p>
    <w:p>
      <w:pPr>
        <w:pStyle w:val="Heading2"/>
        <w:spacing w:before="280" w:after="120"/>
      </w:pPr>
      <w:r>
        <w:rPr>
          <w:rFonts w:ascii="Calibri" w:hAnsi="Calibri"/>
          <w:b/>
          <w:color w:val="1AAFCC"/>
          <w:sz w:val="26"/>
        </w:rPr>
        <w:t>FDA Diversity Guidance and Eligibility Implications</w:t>
      </w:r>
    </w:p>
    <w:p>
      <w:pPr>
        <w:spacing w:before="0" w:after="120"/>
      </w:pPr>
      <w:r>
        <w:rPr>
          <w:rFonts w:ascii="Calibri" w:hAnsi="Calibri"/>
          <w:color w:val="333333"/>
          <w:sz w:val="20"/>
        </w:rPr>
        <w:t>The FDA's final guidance "Diversity Plans to Improve Enrollment of Participants from Underrepresented Racial and Ethnic Populations in Clinical Trials" (April 2024) requires sponsors of Phase 3 trials and pivotal studies to submit a Race and Ethnicity Diversity Plan.</w:t>
      </w:r>
    </w:p>
    <w:p>
      <w:pPr>
        <w:spacing w:before="0" w:after="120"/>
      </w:pPr>
      <w:r>
        <w:rPr>
          <w:rFonts w:ascii="Calibri" w:hAnsi="Calibri"/>
          <w:b/>
          <w:color w:val="333333"/>
          <w:sz w:val="20"/>
        </w:rPr>
        <w:t>Key requirements:</w:t>
      </w:r>
    </w:p>
    <w:p>
      <w:pPr>
        <w:spacing w:before="40" w:after="40"/>
        <w:ind w:left="504" w:hanging="216"/>
      </w:pPr>
      <w:r>
        <w:rPr>
          <w:rFonts w:ascii="Calibri" w:hAnsi="Calibri"/>
          <w:color w:val="1AAFCC"/>
          <w:sz w:val="20"/>
        </w:rPr>
        <w:t xml:space="preserve">•  </w:t>
      </w:r>
      <w:r>
        <w:rPr>
          <w:rFonts w:ascii="Calibri" w:hAnsi="Calibri"/>
          <w:color w:val="333333"/>
          <w:sz w:val="20"/>
        </w:rPr>
        <w:t>Enrollment goals that reflect the disease epidemiology</w:t>
      </w:r>
    </w:p>
    <w:p>
      <w:pPr>
        <w:spacing w:before="40" w:after="40"/>
        <w:ind w:left="504" w:hanging="216"/>
      </w:pPr>
      <w:r>
        <w:rPr>
          <w:rFonts w:ascii="Calibri" w:hAnsi="Calibri"/>
          <w:color w:val="1AAFCC"/>
          <w:sz w:val="20"/>
        </w:rPr>
        <w:t xml:space="preserve">•  </w:t>
      </w:r>
      <w:r>
        <w:rPr>
          <w:rFonts w:ascii="Calibri" w:hAnsi="Calibri"/>
          <w:color w:val="333333"/>
          <w:sz w:val="20"/>
        </w:rPr>
        <w:t>Specific strategies for recruitment of underrepresented populations (community engagement, decentralized trial elements, culturally appropriate materials)</w:t>
      </w:r>
    </w:p>
    <w:p>
      <w:pPr>
        <w:spacing w:before="40" w:after="40"/>
        <w:ind w:left="504" w:hanging="216"/>
      </w:pPr>
      <w:r>
        <w:rPr>
          <w:rFonts w:ascii="Calibri" w:hAnsi="Calibri"/>
          <w:color w:val="1AAFCC"/>
          <w:sz w:val="20"/>
        </w:rPr>
        <w:t xml:space="preserve">•  </w:t>
      </w:r>
      <w:r>
        <w:rPr>
          <w:rFonts w:ascii="Calibri" w:hAnsi="Calibri"/>
          <w:color w:val="333333"/>
          <w:sz w:val="20"/>
        </w:rPr>
        <w:t>Analysis of eligibility criteria for unintentional disparate impact</w:t>
      </w:r>
    </w:p>
    <w:p>
      <w:pPr>
        <w:spacing w:before="0" w:after="120"/>
      </w:pPr>
      <w:r>
        <w:rPr>
          <w:rFonts w:ascii="Calibri" w:hAnsi="Calibri"/>
          <w:b/>
          <w:color w:val="333333"/>
          <w:sz w:val="20"/>
        </w:rPr>
        <w:t>Eligibility implications:</w:t>
      </w:r>
      <w:r>
        <w:rPr>
          <w:rFonts w:ascii="Calibri" w:hAnsi="Calibri"/>
          <w:color w:val="333333"/>
          <w:sz w:val="20"/>
        </w:rPr>
        <w:t xml:space="preserve"> Several common eligibility criteria disproportionately exclude underrepresented populations. Creatinine-based renal function criteria exclude a higher proportion of Black patients due to known differences in serum creatinine levels (the CKD-EPI 2021 equation removed the race coefficient to address this). HbA1c thresholds for diabetes comorbidity exclusion disproportionately affect Hispanic and Black populations with higher baseline HbA1c. Geographic site selection that favors academic medical centers reduces enrollment from rural and community-based populations.</w:t>
      </w:r>
    </w:p>
    <w:p>
      <w:pPr>
        <w:pStyle w:val="Heading2"/>
        <w:spacing w:before="280" w:after="120"/>
      </w:pPr>
      <w:r>
        <w:rPr>
          <w:rFonts w:ascii="Calibri" w:hAnsi="Calibri"/>
          <w:b/>
          <w:color w:val="1AAFCC"/>
          <w:sz w:val="26"/>
        </w:rPr>
        <w:t>Case Study: Brain Metastases Exclusion</w:t>
      </w:r>
    </w:p>
    <w:p>
      <w:pPr>
        <w:spacing w:before="0" w:after="120"/>
      </w:pPr>
      <w:r>
        <w:rPr>
          <w:rFonts w:ascii="Calibri" w:hAnsi="Calibri"/>
          <w:color w:val="333333"/>
          <w:sz w:val="20"/>
        </w:rPr>
        <w:t>Historically, approximately 40% of the advanced cancer population with brain metastases was excluded from clinical trials, despite this population representing a major unmet need.</w:t>
      </w:r>
    </w:p>
    <w:p>
      <w:pPr>
        <w:spacing w:before="0" w:after="120"/>
      </w:pPr>
      <w:r>
        <w:rPr>
          <w:rFonts w:ascii="Calibri" w:hAnsi="Calibri"/>
          <w:b/>
          <w:color w:val="333333"/>
          <w:sz w:val="20"/>
        </w:rPr>
        <w:t>The evidence for broadening:</w:t>
      </w:r>
    </w:p>
    <w:p>
      <w:pPr>
        <w:spacing w:before="40" w:after="40"/>
        <w:ind w:left="504" w:hanging="216"/>
      </w:pPr>
      <w:r>
        <w:rPr>
          <w:rFonts w:ascii="Calibri" w:hAnsi="Calibri"/>
          <w:color w:val="1AAFCC"/>
          <w:sz w:val="20"/>
        </w:rPr>
        <w:t xml:space="preserve">•  </w:t>
      </w:r>
      <w:r>
        <w:rPr>
          <w:rFonts w:ascii="Calibri" w:hAnsi="Calibri"/>
          <w:color w:val="333333"/>
          <w:sz w:val="20"/>
        </w:rPr>
        <w:t>Lin et al. (JCO, 2015): Pooled analysis of 1,474 patients with treated brain metastases enrolled in clinical trials showed no increase in serious adverse events compared to patients without brain metastases</w:t>
      </w:r>
    </w:p>
    <w:p>
      <w:pPr>
        <w:spacing w:before="40" w:after="40"/>
        <w:ind w:left="504" w:hanging="216"/>
      </w:pPr>
      <w:r>
        <w:rPr>
          <w:rFonts w:ascii="Calibri" w:hAnsi="Calibri"/>
          <w:color w:val="1AAFCC"/>
          <w:sz w:val="20"/>
        </w:rPr>
        <w:t xml:space="preserve">•  </w:t>
      </w:r>
      <w:r>
        <w:rPr>
          <w:rFonts w:ascii="Calibri" w:hAnsi="Calibri"/>
          <w:color w:val="333333"/>
          <w:sz w:val="20"/>
        </w:rPr>
        <w:t>Berger et al. (JNCI, 2018): Real-world analysis of 17,236 NSCLC patients showed that those with stable brain metastases had similar benefit from checkpoint inhibitors as those without CNS disease</w:t>
      </w:r>
    </w:p>
    <w:p>
      <w:pPr>
        <w:spacing w:before="40" w:after="40"/>
        <w:ind w:left="504" w:hanging="216"/>
      </w:pPr>
      <w:r>
        <w:rPr>
          <w:rFonts w:ascii="Calibri" w:hAnsi="Calibri"/>
          <w:color w:val="1AAFCC"/>
          <w:sz w:val="20"/>
        </w:rPr>
        <w:t xml:space="preserve">•  </w:t>
      </w:r>
      <w:r>
        <w:rPr>
          <w:rFonts w:ascii="Calibri" w:hAnsi="Calibri"/>
          <w:color w:val="333333"/>
          <w:sz w:val="20"/>
        </w:rPr>
        <w:t>FDA Project Brain: Internal FDA analysis concluded that blanket brain metastases exclusion was not justified for most systemic therapies</w:t>
      </w:r>
    </w:p>
    <w:p>
      <w:pPr>
        <w:spacing w:before="0" w:after="120"/>
      </w:pPr>
      <w:r>
        <w:rPr>
          <w:rFonts w:ascii="Calibri" w:hAnsi="Calibri"/>
          <w:b/>
          <w:color w:val="333333"/>
          <w:sz w:val="20"/>
        </w:rPr>
        <w:t>Current landscape (2025):</w:t>
      </w:r>
      <w:r>
        <w:rPr>
          <w:rFonts w:ascii="Calibri" w:hAnsi="Calibri"/>
          <w:color w:val="333333"/>
          <w:sz w:val="20"/>
        </w:rPr>
        <w:t xml:space="preserve"> The proportion of oncology trials permitting treated, stable brain metastases has increased from 15% (2010) to 55% (2025). The Clinical Trial Intelligence Agent flags brain metastases exclusion criteria and generates an evidence summary citing these sources, with an estimated population impact of 30-40%.</w:t>
      </w:r>
    </w:p>
    <w:p>
      <w:pPr>
        <w:spacing w:before="80" w:after="80"/>
        <w:pBdr>
          <w:bottom w:val="single" w:sz="6" w:color="1AAFCC"/>
        </w:pBdr>
      </w:pPr>
    </w:p>
    <w:p>
      <w:pPr>
        <w:pStyle w:val="Heading1"/>
        <w:spacing w:before="400" w:after="160"/>
      </w:pPr>
      <w:r>
        <w:rPr>
          <w:rFonts w:ascii="Calibri" w:hAnsi="Calibri"/>
          <w:b/>
          <w:color w:val="1B2333"/>
          <w:sz w:val="32"/>
        </w:rPr>
        <w:t>4. Advanced Safety Signal Detection</w:t>
      </w:r>
    </w:p>
    <w:p>
      <w:pPr>
        <w:pStyle w:val="Heading2"/>
        <w:spacing w:before="280" w:after="120"/>
      </w:pPr>
      <w:r>
        <w:rPr>
          <w:rFonts w:ascii="Calibri" w:hAnsi="Calibri"/>
          <w:b/>
          <w:color w:val="1AAFCC"/>
          <w:sz w:val="26"/>
        </w:rPr>
        <w:t>Disproportionality Analysis Deep Dive</w:t>
      </w:r>
    </w:p>
    <w:p>
      <w:pPr>
        <w:spacing w:before="0" w:after="120"/>
      </w:pPr>
      <w:r>
        <w:rPr>
          <w:rFonts w:ascii="Calibri" w:hAnsi="Calibri"/>
          <w:color w:val="333333"/>
          <w:sz w:val="20"/>
        </w:rPr>
        <w:t>Disproportionality analysis (DPA) methods compare the observed reporting frequency of a drug-event combination to the expected frequency under the assumption of no association. Four primary metrics are used in pharmacovigilance databases:</w:t>
      </w:r>
    </w:p>
    <w:p>
      <w:pPr>
        <w:spacing w:before="0" w:after="120"/>
      </w:pPr>
      <w:r>
        <w:rPr>
          <w:rFonts w:ascii="Calibri" w:hAnsi="Calibri"/>
          <w:b/>
          <w:color w:val="333333"/>
          <w:sz w:val="20"/>
        </w:rPr>
        <w:t>PRR (Proportional Reporting Ratio).</w:t>
      </w:r>
      <w:r>
        <w:rPr>
          <w:rFonts w:ascii="Calibri" w:hAnsi="Calibri"/>
          <w:color w:val="333333"/>
          <w:sz w:val="20"/>
        </w:rPr>
        <w:t xml:space="preserve"> The ratio of the proportion of a specific adverse event for the drug of interest to the proportion of the same event for all other drugs. A signal is flagged when PRR &gt;= 2, chi-squared &gt;= 4, and N &gt;= 3.</w:t>
      </w:r>
    </w:p>
    <w:p>
      <w:pPr>
        <w:spacing w:before="0" w:after="0" w:line="240" w:lineRule="auto"/>
        <w:ind w:left="288"/>
        <w:shd w:val="clear" w:fill="F0F0F0"/>
      </w:pPr>
      <w:r>
        <w:rPr>
          <w:rFonts w:ascii="Courier New" w:hAnsi="Courier New"/>
          <w:color w:val="444444"/>
          <w:sz w:val="18"/>
        </w:rPr>
        <w:t>PRR = (a / (a+b)) / (c / (c+d))</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Where:</w:t>
      </w:r>
    </w:p>
    <w:p>
      <w:pPr>
        <w:spacing w:before="0" w:after="0" w:line="240" w:lineRule="auto"/>
        <w:ind w:left="288"/>
        <w:shd w:val="clear" w:fill="F0F0F0"/>
      </w:pPr>
      <w:r>
        <w:rPr>
          <w:rFonts w:ascii="Courier New" w:hAnsi="Courier New"/>
          <w:color w:val="444444"/>
          <w:sz w:val="18"/>
        </w:rPr>
        <w:t xml:space="preserve">  a = reports of the event for the drug</w:t>
      </w:r>
    </w:p>
    <w:p>
      <w:pPr>
        <w:spacing w:before="0" w:after="0" w:line="240" w:lineRule="auto"/>
        <w:ind w:left="288"/>
        <w:shd w:val="clear" w:fill="F0F0F0"/>
      </w:pPr>
      <w:r>
        <w:rPr>
          <w:rFonts w:ascii="Courier New" w:hAnsi="Courier New"/>
          <w:color w:val="444444"/>
          <w:sz w:val="18"/>
        </w:rPr>
        <w:t xml:space="preserve">  b = reports of all other events for the drug</w:t>
      </w:r>
    </w:p>
    <w:p>
      <w:pPr>
        <w:spacing w:before="0" w:after="0" w:line="240" w:lineRule="auto"/>
        <w:ind w:left="288"/>
        <w:shd w:val="clear" w:fill="F0F0F0"/>
      </w:pPr>
      <w:r>
        <w:rPr>
          <w:rFonts w:ascii="Courier New" w:hAnsi="Courier New"/>
          <w:color w:val="444444"/>
          <w:sz w:val="18"/>
        </w:rPr>
        <w:t xml:space="preserve">  c = reports of the event for all other drugs</w:t>
      </w:r>
    </w:p>
    <w:p>
      <w:pPr>
        <w:spacing w:before="0" w:after="0" w:line="240" w:lineRule="auto"/>
        <w:ind w:left="288"/>
        <w:shd w:val="clear" w:fill="F0F0F0"/>
      </w:pPr>
      <w:r>
        <w:rPr>
          <w:rFonts w:ascii="Courier New" w:hAnsi="Courier New"/>
          <w:color w:val="444444"/>
          <w:sz w:val="18"/>
        </w:rPr>
        <w:t xml:space="preserve">  d = reports of all other events for all other drugs</w:t>
      </w:r>
    </w:p>
    <w:p>
      <w:pPr>
        <w:spacing w:before="0" w:after="120"/>
      </w:pPr>
      <w:r>
        <w:rPr>
          <w:rFonts w:ascii="Calibri" w:hAnsi="Calibri"/>
          <w:b/>
          <w:color w:val="333333"/>
          <w:sz w:val="20"/>
        </w:rPr>
        <w:t>ROR (Reporting Odds Ratio).</w:t>
      </w:r>
      <w:r>
        <w:rPr>
          <w:rFonts w:ascii="Calibri" w:hAnsi="Calibri"/>
          <w:color w:val="333333"/>
          <w:sz w:val="20"/>
        </w:rPr>
        <w:t xml:space="preserve"> The odds ratio from the 2x2 table. More statistically robust than PRR because it uses the full contingency table.</w:t>
      </w:r>
    </w:p>
    <w:p>
      <w:pPr>
        <w:spacing w:before="0" w:after="0" w:line="240" w:lineRule="auto"/>
        <w:ind w:left="288"/>
        <w:shd w:val="clear" w:fill="F0F0F0"/>
      </w:pPr>
      <w:r>
        <w:rPr>
          <w:rFonts w:ascii="Courier New" w:hAnsi="Courier New"/>
          <w:color w:val="444444"/>
          <w:sz w:val="18"/>
        </w:rPr>
        <w:t>ROR = (a * d) / (b * c)</w:t>
      </w:r>
    </w:p>
    <w:p>
      <w:pPr>
        <w:spacing w:before="0" w:after="0" w:line="240" w:lineRule="auto"/>
        <w:ind w:left="288"/>
        <w:shd w:val="clear" w:fill="F0F0F0"/>
      </w:pPr>
      <w:r>
        <w:rPr>
          <w:rFonts w:ascii="Courier New" w:hAnsi="Courier New"/>
          <w:color w:val="444444"/>
          <w:sz w:val="18"/>
        </w:rPr>
        <w:t>Signal: lower 95% CI of ROR &gt; 1</w:t>
      </w:r>
    </w:p>
    <w:p>
      <w:pPr>
        <w:spacing w:before="0" w:after="120"/>
      </w:pPr>
      <w:r>
        <w:rPr>
          <w:rFonts w:ascii="Calibri" w:hAnsi="Calibri"/>
          <w:b/>
          <w:color w:val="333333"/>
          <w:sz w:val="20"/>
        </w:rPr>
        <w:t>IC025 (Information Component, lower 2.5% credible interval).</w:t>
      </w:r>
      <w:r>
        <w:rPr>
          <w:rFonts w:ascii="Calibri" w:hAnsi="Calibri"/>
          <w:color w:val="333333"/>
          <w:sz w:val="20"/>
        </w:rPr>
        <w:t xml:space="preserve"> Developed by the WHO Uppsala Monitoring Centre for use in VigiBase (the WHO global pharmacovigilance database). Based on a Bayesian shrinkage transformation of the observed-to-expected ratio on a log2 scale. A signal is flagged when IC025 &gt; 0 (the lower 2.5% of the posterior distribution of the IC exceeds zero).</w:t>
      </w:r>
    </w:p>
    <w:p>
      <w:pPr>
        <w:spacing w:before="0" w:after="120"/>
      </w:pPr>
      <w:r>
        <w:rPr>
          <w:rFonts w:ascii="Calibri" w:hAnsi="Calibri"/>
          <w:b/>
          <w:color w:val="333333"/>
          <w:sz w:val="20"/>
        </w:rPr>
        <w:t>EBGM05 (Empirical Bayes Geometric Mean, lower 5th percentile).</w:t>
      </w:r>
      <w:r>
        <w:rPr>
          <w:rFonts w:ascii="Calibri" w:hAnsi="Calibri"/>
          <w:color w:val="333333"/>
          <w:sz w:val="20"/>
        </w:rPr>
        <w:t xml:space="preserve"> Developed by the FDA for use in FAERS. Uses a multi-item Gamma-Poisson Shrinker model (see below) that shrinks observed-to-expected ratios toward the null, reducing false positives from rare events. A signal is flagged when EBGM05 &gt;= 2.</w:t>
      </w:r>
    </w:p>
    <w:p>
      <w:pPr>
        <w:pStyle w:val="Heading2"/>
        <w:spacing w:before="280" w:after="120"/>
      </w:pPr>
      <w:r>
        <w:rPr>
          <w:rFonts w:ascii="Calibri" w:hAnsi="Calibri"/>
          <w:b/>
          <w:color w:val="1AAFCC"/>
          <w:sz w:val="26"/>
        </w:rPr>
        <w:t>MedDRA Hierarchy and Signal Detection at Each Level</w:t>
      </w:r>
    </w:p>
    <w:p>
      <w:pPr>
        <w:spacing w:before="0" w:after="120"/>
      </w:pPr>
      <w:r>
        <w:rPr>
          <w:rFonts w:ascii="Calibri" w:hAnsi="Calibri"/>
          <w:color w:val="333333"/>
          <w:sz w:val="20"/>
        </w:rPr>
        <w:t>The Medical Dictionary for Regulatory Activities (MedDRA) organizes adverse event terminology in a five-level hierarchy:</w:t>
      </w:r>
    </w:p>
    <w:p>
      <w:pPr>
        <w:spacing w:before="0" w:after="0" w:line="240" w:lineRule="auto"/>
        <w:ind w:left="288"/>
        <w:shd w:val="clear" w:fill="F0F0F0"/>
      </w:pPr>
      <w:r>
        <w:rPr>
          <w:rFonts w:ascii="Courier New" w:hAnsi="Courier New"/>
          <w:color w:val="444444"/>
          <w:sz w:val="18"/>
        </w:rPr>
        <w:t>System Organ Class (SOC)</w:t>
      </w:r>
    </w:p>
    <w:p>
      <w:pPr>
        <w:spacing w:before="0" w:after="0" w:line="240" w:lineRule="auto"/>
        <w:ind w:left="288"/>
        <w:shd w:val="clear" w:fill="F0F0F0"/>
      </w:pPr>
      <w:r>
        <w:rPr>
          <w:rFonts w:ascii="Courier New" w:hAnsi="Courier New"/>
          <w:color w:val="444444"/>
          <w:sz w:val="18"/>
        </w:rPr>
        <w:t xml:space="preserve">  └── High Level Group Term (HLGT)</w:t>
      </w:r>
    </w:p>
    <w:p>
      <w:pPr>
        <w:spacing w:before="0" w:after="0" w:line="240" w:lineRule="auto"/>
        <w:ind w:left="288"/>
        <w:shd w:val="clear" w:fill="F0F0F0"/>
      </w:pPr>
      <w:r>
        <w:rPr>
          <w:rFonts w:ascii="Courier New" w:hAnsi="Courier New"/>
          <w:color w:val="444444"/>
          <w:sz w:val="18"/>
        </w:rPr>
        <w:t xml:space="preserve">        └── High Level Term (HLT)</w:t>
      </w:r>
    </w:p>
    <w:p>
      <w:pPr>
        <w:spacing w:before="0" w:after="0" w:line="240" w:lineRule="auto"/>
        <w:ind w:left="288"/>
        <w:shd w:val="clear" w:fill="F0F0F0"/>
      </w:pPr>
      <w:r>
        <w:rPr>
          <w:rFonts w:ascii="Courier New" w:hAnsi="Courier New"/>
          <w:color w:val="444444"/>
          <w:sz w:val="18"/>
        </w:rPr>
        <w:t xml:space="preserve">              └── Preferred Term (PT)</w:t>
      </w:r>
    </w:p>
    <w:p>
      <w:pPr>
        <w:spacing w:before="0" w:after="0" w:line="240" w:lineRule="auto"/>
        <w:ind w:left="288"/>
        <w:shd w:val="clear" w:fill="F0F0F0"/>
      </w:pPr>
      <w:r>
        <w:rPr>
          <w:rFonts w:ascii="Courier New" w:hAnsi="Courier New"/>
          <w:color w:val="444444"/>
          <w:sz w:val="18"/>
        </w:rPr>
        <w:t xml:space="preserve">                    └── Lowest Level Term (LLT)</w:t>
      </w:r>
    </w:p>
    <w:p>
      <w:pPr>
        <w:spacing w:before="0" w:after="120"/>
      </w:pPr>
      <w:r>
        <w:rPr>
          <w:rFonts w:ascii="Calibri" w:hAnsi="Calibri"/>
          <w:b/>
          <w:color w:val="333333"/>
          <w:sz w:val="20"/>
        </w:rPr>
        <w:t>Example hierarchy:</w:t>
      </w:r>
    </w:p>
    <w:p>
      <w:pPr>
        <w:spacing w:before="40" w:after="40"/>
        <w:ind w:left="504" w:hanging="216"/>
      </w:pPr>
      <w:r>
        <w:rPr>
          <w:rFonts w:ascii="Calibri" w:hAnsi="Calibri"/>
          <w:color w:val="1AAFCC"/>
          <w:sz w:val="20"/>
        </w:rPr>
        <w:t xml:space="preserve">•  </w:t>
      </w:r>
      <w:r>
        <w:rPr>
          <w:rFonts w:ascii="Calibri" w:hAnsi="Calibri"/>
          <w:color w:val="333333"/>
          <w:sz w:val="20"/>
        </w:rPr>
        <w:t>SOC: Cardiac disorders</w:t>
      </w:r>
    </w:p>
    <w:p>
      <w:pPr>
        <w:spacing w:before="20" w:after="20"/>
        <w:ind w:left="864" w:hanging="216"/>
      </w:pPr>
      <w:r>
        <w:rPr>
          <w:rFonts w:ascii="Calibri" w:hAnsi="Calibri"/>
          <w:color w:val="1AAFCC"/>
          <w:sz w:val="18"/>
        </w:rPr>
        <w:t xml:space="preserve">◦  </w:t>
      </w:r>
      <w:r>
        <w:rPr>
          <w:rFonts w:ascii="Calibri" w:hAnsi="Calibri"/>
          <w:color w:val="333333"/>
          <w:sz w:val="20"/>
        </w:rPr>
        <w:t>HLGT: Coronary artery disorders</w:t>
      </w:r>
    </w:p>
    <w:p>
      <w:pPr>
        <w:spacing w:before="0" w:after="120"/>
      </w:pPr>
      <w:r>
        <w:rPr>
          <w:rFonts w:ascii="Calibri" w:hAnsi="Calibri"/>
          <w:color w:val="333333"/>
          <w:sz w:val="20"/>
        </w:rPr>
        <w:t xml:space="preserve">    - HLT: Ischaemic coronary artery disorders</w:t>
      </w:r>
    </w:p>
    <w:p>
      <w:pPr>
        <w:spacing w:before="0" w:after="120"/>
      </w:pPr>
      <w:r>
        <w:rPr>
          <w:rFonts w:ascii="Calibri" w:hAnsi="Calibri"/>
          <w:color w:val="333333"/>
          <w:sz w:val="20"/>
        </w:rPr>
        <w:t xml:space="preserve">      - PT: Myocardial infarction</w:t>
      </w:r>
    </w:p>
    <w:p>
      <w:pPr>
        <w:spacing w:before="0" w:after="120"/>
      </w:pPr>
      <w:r>
        <w:rPr>
          <w:rFonts w:ascii="Calibri" w:hAnsi="Calibri"/>
          <w:color w:val="333333"/>
          <w:sz w:val="20"/>
        </w:rPr>
        <w:t xml:space="preserve">        - LLT: Acute myocardial infarction, Heart attack, Silent myocardial infarction</w:t>
      </w:r>
    </w:p>
    <w:p>
      <w:pPr>
        <w:spacing w:before="0" w:after="120"/>
      </w:pPr>
      <w:r>
        <w:rPr>
          <w:rFonts w:ascii="Calibri" w:hAnsi="Calibri"/>
          <w:b/>
          <w:color w:val="333333"/>
          <w:sz w:val="20"/>
        </w:rPr>
        <w:t>Signal detection at different levels:</w:t>
      </w:r>
    </w:p>
    <w:p>
      <w:pPr>
        <w:spacing w:before="40" w:after="40"/>
        <w:ind w:left="504" w:hanging="216"/>
      </w:pPr>
      <w:r>
        <w:rPr>
          <w:rFonts w:ascii="Calibri" w:hAnsi="Calibri"/>
          <w:color w:val="1AAFCC"/>
          <w:sz w:val="20"/>
        </w:rPr>
        <w:t xml:space="preserve">•  </w:t>
      </w:r>
      <w:r>
        <w:rPr>
          <w:rFonts w:ascii="Calibri" w:hAnsi="Calibri"/>
          <w:b/>
          <w:color w:val="333333"/>
          <w:sz w:val="20"/>
        </w:rPr>
        <w:t>PT level:</w:t>
      </w:r>
      <w:r>
        <w:rPr>
          <w:rFonts w:ascii="Calibri" w:hAnsi="Calibri"/>
          <w:color w:val="333333"/>
          <w:sz w:val="20"/>
        </w:rPr>
        <w:t xml:space="preserve"> The standard level for signal detection. Most disproportionality analyses operate at this level.</w:t>
      </w:r>
    </w:p>
    <w:p>
      <w:pPr>
        <w:spacing w:before="40" w:after="40"/>
        <w:ind w:left="504" w:hanging="216"/>
      </w:pPr>
      <w:r>
        <w:rPr>
          <w:rFonts w:ascii="Calibri" w:hAnsi="Calibri"/>
          <w:color w:val="1AAFCC"/>
          <w:sz w:val="20"/>
        </w:rPr>
        <w:t xml:space="preserve">•  </w:t>
      </w:r>
      <w:r>
        <w:rPr>
          <w:rFonts w:ascii="Calibri" w:hAnsi="Calibri"/>
          <w:b/>
          <w:color w:val="333333"/>
          <w:sz w:val="20"/>
        </w:rPr>
        <w:t>HLT level:</w:t>
      </w:r>
      <w:r>
        <w:rPr>
          <w:rFonts w:ascii="Calibri" w:hAnsi="Calibri"/>
          <w:color w:val="333333"/>
          <w:sz w:val="20"/>
        </w:rPr>
        <w:t xml:space="preserve"> Aggregates related PTs to detect signals that are diluted when individual PTs are analyzed separately. Example: "Hepatotoxicity" HLT aggregates hepatitis, hepatic failure, hepatic necrosis, and related PTs.</w:t>
      </w:r>
    </w:p>
    <w:p>
      <w:pPr>
        <w:spacing w:before="40" w:after="40"/>
        <w:ind w:left="504" w:hanging="216"/>
      </w:pPr>
      <w:r>
        <w:rPr>
          <w:rFonts w:ascii="Calibri" w:hAnsi="Calibri"/>
          <w:color w:val="1AAFCC"/>
          <w:sz w:val="20"/>
        </w:rPr>
        <w:t xml:space="preserve">•  </w:t>
      </w:r>
      <w:r>
        <w:rPr>
          <w:rFonts w:ascii="Calibri" w:hAnsi="Calibri"/>
          <w:b/>
          <w:color w:val="333333"/>
          <w:sz w:val="20"/>
        </w:rPr>
        <w:t>SOC level:</w:t>
      </w:r>
      <w:r>
        <w:rPr>
          <w:rFonts w:ascii="Calibri" w:hAnsi="Calibri"/>
          <w:color w:val="333333"/>
          <w:sz w:val="20"/>
        </w:rPr>
        <w:t xml:space="preserve"> Provides a broad overview of safety profile differences. Useful for comparing the overall safety profile of a drug to its class.</w:t>
      </w:r>
    </w:p>
    <w:p>
      <w:pPr>
        <w:spacing w:before="40" w:after="40"/>
        <w:ind w:left="504" w:hanging="216"/>
      </w:pPr>
      <w:r>
        <w:rPr>
          <w:rFonts w:ascii="Calibri" w:hAnsi="Calibri"/>
          <w:color w:val="1AAFCC"/>
          <w:sz w:val="20"/>
        </w:rPr>
        <w:t xml:space="preserve">•  </w:t>
      </w:r>
      <w:r>
        <w:rPr>
          <w:rFonts w:ascii="Calibri" w:hAnsi="Calibri"/>
          <w:b/>
          <w:color w:val="333333"/>
          <w:sz w:val="20"/>
        </w:rPr>
        <w:t>Standardised MedDRA Queries (SMQs):</w:t>
      </w:r>
      <w:r>
        <w:rPr>
          <w:rFonts w:ascii="Calibri" w:hAnsi="Calibri"/>
          <w:color w:val="333333"/>
          <w:sz w:val="20"/>
        </w:rPr>
        <w:t xml:space="preserve"> Pre-defined groupings of PTs that represent a medical concept of interest (e.g., "Torsade de pointes / QT prolongation" SMQ contains 47 PTs). SMQs are the preferred level for regulatory safety analyses.</w:t>
      </w:r>
    </w:p>
    <w:p>
      <w:pPr>
        <w:pStyle w:val="Heading2"/>
        <w:spacing w:before="280" w:after="120"/>
      </w:pPr>
      <w:r>
        <w:rPr>
          <w:rFonts w:ascii="Calibri" w:hAnsi="Calibri"/>
          <w:b/>
          <w:color w:val="1AAFCC"/>
          <w:sz w:val="26"/>
        </w:rPr>
        <w:t>TreeScan for Hierarchical Signal Detection</w:t>
      </w:r>
    </w:p>
    <w:p>
      <w:pPr>
        <w:spacing w:before="0" w:after="120"/>
      </w:pPr>
      <w:r>
        <w:rPr>
          <w:rFonts w:ascii="Calibri" w:hAnsi="Calibri"/>
          <w:color w:val="333333"/>
          <w:sz w:val="20"/>
        </w:rPr>
        <w:t>TreeScan (developed by Martin Kulldorff and colleagues) applies tree-based scan statistics to the MedDRA hierarchy to detect signals at any level without pre-specifying which level to analyze.</w:t>
      </w:r>
    </w:p>
    <w:p>
      <w:pPr>
        <w:spacing w:before="0" w:after="120"/>
      </w:pPr>
      <w:r>
        <w:rPr>
          <w:rFonts w:ascii="Calibri" w:hAnsi="Calibri"/>
          <w:b/>
          <w:color w:val="333333"/>
          <w:sz w:val="20"/>
        </w:rPr>
        <w:t>How TreeScan works:</w:t>
      </w:r>
    </w:p>
    <w:p>
      <w:pPr>
        <w:spacing w:before="40" w:after="40"/>
        <w:ind w:left="504" w:hanging="288"/>
      </w:pPr>
      <w:r>
        <w:rPr>
          <w:rFonts w:ascii="Calibri" w:hAnsi="Calibri"/>
          <w:b/>
          <w:color w:val="333333"/>
          <w:sz w:val="20"/>
        </w:rPr>
        <w:t xml:space="preserve">1.  </w:t>
      </w:r>
      <w:r>
        <w:rPr>
          <w:rFonts w:ascii="Calibri" w:hAnsi="Calibri"/>
          <w:color w:val="333333"/>
          <w:sz w:val="20"/>
        </w:rPr>
        <w:t>For each node in the MedDRA tree (from LLT up to SOC), calculate the observed and expected event counts</w:t>
      </w:r>
    </w:p>
    <w:p>
      <w:pPr>
        <w:spacing w:before="40" w:after="40"/>
        <w:ind w:left="504" w:hanging="288"/>
      </w:pPr>
      <w:r>
        <w:rPr>
          <w:rFonts w:ascii="Calibri" w:hAnsi="Calibri"/>
          <w:b/>
          <w:color w:val="333333"/>
          <w:sz w:val="20"/>
        </w:rPr>
        <w:t xml:space="preserve">2.  </w:t>
      </w:r>
      <w:r>
        <w:rPr>
          <w:rFonts w:ascii="Calibri" w:hAnsi="Calibri"/>
          <w:color w:val="333333"/>
          <w:sz w:val="20"/>
        </w:rPr>
        <w:t>Compute a likelihood ratio test statistic for each node</w:t>
      </w:r>
    </w:p>
    <w:p>
      <w:pPr>
        <w:spacing w:before="40" w:after="40"/>
        <w:ind w:left="504" w:hanging="288"/>
      </w:pPr>
      <w:r>
        <w:rPr>
          <w:rFonts w:ascii="Calibri" w:hAnsi="Calibri"/>
          <w:b/>
          <w:color w:val="333333"/>
          <w:sz w:val="20"/>
        </w:rPr>
        <w:t xml:space="preserve">3.  </w:t>
      </w:r>
      <w:r>
        <w:rPr>
          <w:rFonts w:ascii="Calibri" w:hAnsi="Calibri"/>
          <w:color w:val="333333"/>
          <w:sz w:val="20"/>
        </w:rPr>
        <w:t>Adjust for the multiple testing inherent in scanning all nodes using either Monte Carlo simulation or a Bonferroni-type correction</w:t>
      </w:r>
    </w:p>
    <w:p>
      <w:pPr>
        <w:spacing w:before="40" w:after="40"/>
        <w:ind w:left="504" w:hanging="288"/>
      </w:pPr>
      <w:r>
        <w:rPr>
          <w:rFonts w:ascii="Calibri" w:hAnsi="Calibri"/>
          <w:b/>
          <w:color w:val="333333"/>
          <w:sz w:val="20"/>
        </w:rPr>
        <w:t xml:space="preserve">4.  </w:t>
      </w:r>
      <w:r>
        <w:rPr>
          <w:rFonts w:ascii="Calibri" w:hAnsi="Calibri"/>
          <w:color w:val="333333"/>
          <w:sz w:val="20"/>
        </w:rPr>
        <w:t>Report nodes where the adjusted p-value is below a threshold (typically 0.05)</w:t>
      </w:r>
    </w:p>
    <w:p>
      <w:pPr>
        <w:spacing w:before="0" w:after="120"/>
      </w:pPr>
      <w:r>
        <w:rPr>
          <w:rFonts w:ascii="Calibri" w:hAnsi="Calibri"/>
          <w:b/>
          <w:color w:val="333333"/>
          <w:sz w:val="20"/>
        </w:rPr>
        <w:t>Advantage over PT-level analysis:</w:t>
      </w:r>
      <w:r>
        <w:rPr>
          <w:rFonts w:ascii="Calibri" w:hAnsi="Calibri"/>
          <w:color w:val="333333"/>
          <w:sz w:val="20"/>
        </w:rPr>
        <w:t xml:space="preserve"> TreeScan detects "distributed signals" where no single PT reaches significance, but the aggregate at a higher level does. Example: a drug that causes 5 cases of hepatitis, 3 cases of hepatic failure, and 4 cases of elevated transaminases. None of these PTs may cross the PRR &gt;= 2 threshold individually, but the HLT "Hepatocellular damage" (12 cases) may be highly significant.</w:t>
      </w:r>
    </w:p>
    <w:p>
      <w:pPr>
        <w:pStyle w:val="Heading2"/>
        <w:spacing w:before="280" w:after="120"/>
      </w:pPr>
      <w:r>
        <w:rPr>
          <w:rFonts w:ascii="Calibri" w:hAnsi="Calibri"/>
          <w:b/>
          <w:color w:val="1AAFCC"/>
          <w:sz w:val="26"/>
        </w:rPr>
        <w:t>Multi-item Gamma-Poisson Shrinker (MGPS)</w:t>
      </w:r>
    </w:p>
    <w:p>
      <w:pPr>
        <w:spacing w:before="0" w:after="120"/>
      </w:pPr>
      <w:r>
        <w:rPr>
          <w:rFonts w:ascii="Calibri" w:hAnsi="Calibri"/>
          <w:color w:val="333333"/>
          <w:sz w:val="20"/>
        </w:rPr>
        <w:t>The MGPS is the Bayesian model underlying the FDA's FAERS signal detection system. It addresses a fundamental problem in pharmacovigilance: rare events produce unstable observed-to-expected ratios (a single case for a rarely reported drug can produce an astronomical ratio).</w:t>
      </w:r>
    </w:p>
    <w:p>
      <w:pPr>
        <w:spacing w:before="0" w:after="120"/>
      </w:pPr>
      <w:r>
        <w:rPr>
          <w:rFonts w:ascii="Calibri" w:hAnsi="Calibri"/>
          <w:b/>
          <w:color w:val="333333"/>
          <w:sz w:val="20"/>
        </w:rPr>
        <w:t>The model:</w:t>
      </w:r>
    </w:p>
    <w:p>
      <w:pPr>
        <w:spacing w:before="40" w:after="40"/>
        <w:ind w:left="504" w:hanging="288"/>
      </w:pPr>
      <w:r>
        <w:rPr>
          <w:rFonts w:ascii="Calibri" w:hAnsi="Calibri"/>
          <w:b/>
          <w:color w:val="333333"/>
          <w:sz w:val="20"/>
        </w:rPr>
        <w:t xml:space="preserve">1.  </w:t>
      </w:r>
      <w:r>
        <w:rPr>
          <w:rFonts w:ascii="Calibri" w:hAnsi="Calibri"/>
          <w:color w:val="333333"/>
          <w:sz w:val="20"/>
        </w:rPr>
        <w:t>Calculate the expected count E for each drug-event pair under the assumption of independence</w:t>
      </w:r>
    </w:p>
    <w:p>
      <w:pPr>
        <w:spacing w:before="40" w:after="40"/>
        <w:ind w:left="504" w:hanging="288"/>
      </w:pPr>
      <w:r>
        <w:rPr>
          <w:rFonts w:ascii="Calibri" w:hAnsi="Calibri"/>
          <w:b/>
          <w:color w:val="333333"/>
          <w:sz w:val="20"/>
        </w:rPr>
        <w:t xml:space="preserve">2.  </w:t>
      </w:r>
      <w:r>
        <w:rPr>
          <w:rFonts w:ascii="Calibri" w:hAnsi="Calibri"/>
          <w:color w:val="333333"/>
          <w:sz w:val="20"/>
        </w:rPr>
        <w:t>Assume the true relative reporting rate lambda follows a mixture of two gamma prior distributions (representing "signal" and "noise" components)</w:t>
      </w:r>
    </w:p>
    <w:p>
      <w:pPr>
        <w:spacing w:before="40" w:after="40"/>
        <w:ind w:left="504" w:hanging="288"/>
      </w:pPr>
      <w:r>
        <w:rPr>
          <w:rFonts w:ascii="Calibri" w:hAnsi="Calibri"/>
          <w:b/>
          <w:color w:val="333333"/>
          <w:sz w:val="20"/>
        </w:rPr>
        <w:t xml:space="preserve">3.  </w:t>
      </w:r>
      <w:r>
        <w:rPr>
          <w:rFonts w:ascii="Calibri" w:hAnsi="Calibri"/>
          <w:color w:val="333333"/>
          <w:sz w:val="20"/>
        </w:rPr>
        <w:t>Compute the posterior distribution of lambda given the observed count N and expected count E</w:t>
      </w:r>
    </w:p>
    <w:p>
      <w:pPr>
        <w:spacing w:before="40" w:after="40"/>
        <w:ind w:left="504" w:hanging="288"/>
      </w:pPr>
      <w:r>
        <w:rPr>
          <w:rFonts w:ascii="Calibri" w:hAnsi="Calibri"/>
          <w:b/>
          <w:color w:val="333333"/>
          <w:sz w:val="20"/>
        </w:rPr>
        <w:t xml:space="preserve">4.  </w:t>
      </w:r>
      <w:r>
        <w:rPr>
          <w:rFonts w:ascii="Calibri" w:hAnsi="Calibri"/>
          <w:color w:val="333333"/>
          <w:sz w:val="20"/>
        </w:rPr>
        <w:t>Report the geometric mean of the posterior (EBGM) and its 5th percentile (EBGM05)</w:t>
      </w:r>
    </w:p>
    <w:p>
      <w:pPr>
        <w:spacing w:before="0" w:after="120"/>
      </w:pPr>
      <w:r>
        <w:rPr>
          <w:rFonts w:ascii="Calibri" w:hAnsi="Calibri"/>
          <w:b/>
          <w:color w:val="333333"/>
          <w:sz w:val="20"/>
        </w:rPr>
        <w:t>The shrinkage effect:</w:t>
      </w:r>
      <w:r>
        <w:rPr>
          <w:rFonts w:ascii="Calibri" w:hAnsi="Calibri"/>
          <w:color w:val="333333"/>
          <w:sz w:val="20"/>
        </w:rPr>
        <w:t xml:space="preserve"> For rare drug-event combinations (small N, small E), the posterior is pulled toward the prior (toward 1.0, no signal). For common combinations (large N), the data overwhelms the prior and the EBGM approximates N/E. This reduces false positives without sacrificing sensitivity for well-reported signals.</w:t>
      </w:r>
    </w:p>
    <w:p>
      <w:pPr>
        <w:pStyle w:val="Heading2"/>
        <w:spacing w:before="280" w:after="120"/>
      </w:pPr>
      <w:r>
        <w:rPr>
          <w:rFonts w:ascii="Calibri" w:hAnsi="Calibri"/>
          <w:b/>
          <w:color w:val="1AAFCC"/>
          <w:sz w:val="26"/>
        </w:rPr>
        <w:t>Temporal Pattern Analysis</w:t>
      </w:r>
    </w:p>
    <w:p>
      <w:pPr>
        <w:spacing w:before="0" w:after="120"/>
      </w:pPr>
      <w:r>
        <w:rPr>
          <w:rFonts w:ascii="Calibri" w:hAnsi="Calibri"/>
          <w:color w:val="333333"/>
          <w:sz w:val="20"/>
        </w:rPr>
        <w:t>Not all adverse events occur at the same time after drug exposure. Temporal pattern analysis examines the time-to-onset distribution to characterize adverse drug reactions.</w:t>
      </w:r>
    </w:p>
    <w:p>
      <w:pPr>
        <w:spacing w:before="0" w:after="120"/>
      </w:pPr>
      <w:r>
        <w:rPr>
          <w:rFonts w:ascii="Calibri" w:hAnsi="Calibri"/>
          <w:b/>
          <w:color w:val="333333"/>
          <w:sz w:val="20"/>
        </w:rPr>
        <w:t>Weibull modeling.</w:t>
      </w:r>
      <w:r>
        <w:rPr>
          <w:rFonts w:ascii="Calibri" w:hAnsi="Calibri"/>
          <w:color w:val="333333"/>
          <w:sz w:val="20"/>
        </w:rPr>
        <w:t xml:space="preserve"> The time-to-onset of an adverse event can be modeled using a Weibull distribution with shape parameter beta and scale parameter eta. The shape parameter reveals the mechanism:</w:t>
      </w:r>
    </w:p>
    <w:p>
      <w:pPr>
        <w:spacing w:before="40" w:after="40"/>
        <w:ind w:left="504" w:hanging="216"/>
      </w:pPr>
      <w:r>
        <w:rPr>
          <w:rFonts w:ascii="Calibri" w:hAnsi="Calibri"/>
          <w:color w:val="1AAFCC"/>
          <w:sz w:val="20"/>
        </w:rPr>
        <w:t xml:space="preserve">•  </w:t>
      </w:r>
      <w:r>
        <w:rPr>
          <w:rFonts w:ascii="Calibri" w:hAnsi="Calibri"/>
          <w:color w:val="333333"/>
          <w:sz w:val="20"/>
        </w:rPr>
        <w:t>beta &lt; 1: Decreasing hazard (early-onset reactions, e.g., infusion reactions)</w:t>
      </w:r>
    </w:p>
    <w:p>
      <w:pPr>
        <w:spacing w:before="40" w:after="40"/>
        <w:ind w:left="504" w:hanging="216"/>
      </w:pPr>
      <w:r>
        <w:rPr>
          <w:rFonts w:ascii="Calibri" w:hAnsi="Calibri"/>
          <w:color w:val="1AAFCC"/>
          <w:sz w:val="20"/>
        </w:rPr>
        <w:t xml:space="preserve">•  </w:t>
      </w:r>
      <w:r>
        <w:rPr>
          <w:rFonts w:ascii="Calibri" w:hAnsi="Calibri"/>
          <w:color w:val="333333"/>
          <w:sz w:val="20"/>
        </w:rPr>
        <w:t>beta = 1: Constant hazard (random-onset reactions, e.g., infections)</w:t>
      </w:r>
    </w:p>
    <w:p>
      <w:pPr>
        <w:spacing w:before="40" w:after="40"/>
        <w:ind w:left="504" w:hanging="216"/>
      </w:pPr>
      <w:r>
        <w:rPr>
          <w:rFonts w:ascii="Calibri" w:hAnsi="Calibri"/>
          <w:color w:val="1AAFCC"/>
          <w:sz w:val="20"/>
        </w:rPr>
        <w:t xml:space="preserve">•  </w:t>
      </w:r>
      <w:r>
        <w:rPr>
          <w:rFonts w:ascii="Calibri" w:hAnsi="Calibri"/>
          <w:color w:val="333333"/>
          <w:sz w:val="20"/>
        </w:rPr>
        <w:t>beta &gt; 1: Increasing hazard (late-onset reactions, e.g., cumulative toxicity)</w:t>
      </w:r>
    </w:p>
    <w:p>
      <w:pPr>
        <w:spacing w:before="0" w:after="120"/>
      </w:pPr>
      <w:r>
        <w:rPr>
          <w:rFonts w:ascii="Calibri" w:hAnsi="Calibri"/>
          <w:b/>
          <w:color w:val="333333"/>
          <w:sz w:val="20"/>
        </w:rPr>
        <w:t>Example:</w:t>
      </w:r>
      <w:r>
        <w:rPr>
          <w:rFonts w:ascii="Calibri" w:hAnsi="Calibri"/>
          <w:color w:val="333333"/>
          <w:sz w:val="20"/>
        </w:rPr>
        <w:t xml:space="preserve"> Immune checkpoint inhibitor-related hepatitis has a Weibull shape parameter of approximately 2.1, indicating an increasing hazard that peaks at 8-12 weeks after treatment initiation. This temporal signature helps distinguish drug-induced hepatitis from viral hepatitis (which would show a constant hazard).</w:t>
      </w:r>
    </w:p>
    <w:p>
      <w:pPr>
        <w:pStyle w:val="Heading2"/>
        <w:spacing w:before="280" w:after="120"/>
      </w:pPr>
      <w:r>
        <w:rPr>
          <w:rFonts w:ascii="Calibri" w:hAnsi="Calibri"/>
          <w:b/>
          <w:color w:val="1AAFCC"/>
          <w:sz w:val="26"/>
        </w:rPr>
        <w:t>Real-World Pharmacovigilance Integration</w:t>
      </w:r>
    </w:p>
    <w:p>
      <w:pPr>
        <w:spacing w:before="0" w:after="120"/>
      </w:pPr>
      <w:r>
        <w:rPr>
          <w:rFonts w:ascii="Calibri" w:hAnsi="Calibri"/>
          <w:color w:val="333333"/>
          <w:sz w:val="20"/>
        </w:rPr>
        <w:t>Three major pharmacovigilance databases feed safety signal detection globally: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Database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Agency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Coverage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Size (2025)</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FAERS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(US)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US + international voluntary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30M+ reports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EudraVigilance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EMA (EU)</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EU mandatory + international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22M+ reports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VigiBase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WHO UMC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140+ countries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35M+ reports</w:t>
            </w:r>
          </w:p>
        </w:tc>
      </w:tr>
    </w:tbl>
    <w:p>
      <w:pPr>
        <w:spacing w:before="40" w:after="80"/>
      </w:pPr>
    </w:p>
    <w:p>
      <w:pPr>
        <w:spacing w:before="0" w:after="120"/>
      </w:pPr>
      <w:r>
        <w:rPr>
          <w:rFonts w:ascii="Calibri" w:hAnsi="Calibri"/>
          <w:b/>
          <w:color w:val="333333"/>
          <w:sz w:val="20"/>
        </w:rPr>
        <w:t>FAERS Quarterly Data Files (QDFs)</w:t>
      </w:r>
      <w:r>
        <w:rPr>
          <w:rFonts w:ascii="Calibri" w:hAnsi="Calibri"/>
          <w:color w:val="333333"/>
          <w:sz w:val="20"/>
        </w:rPr>
        <w:t xml:space="preserve"> are publicly available and contain demographic, drug, reaction, outcome, and reporting source data. The Clinical Trial Intelligence Agent can query FAERS data to contextualize adverse events observed in a clinical trial against the broader post-marketing safety landscape.</w:t>
      </w:r>
    </w:p>
    <w:p>
      <w:pPr>
        <w:spacing w:before="0" w:after="120"/>
      </w:pPr>
      <w:r>
        <w:rPr>
          <w:rFonts w:ascii="Calibri" w:hAnsi="Calibri"/>
          <w:b/>
          <w:color w:val="333333"/>
          <w:sz w:val="20"/>
        </w:rPr>
        <w:t>EudraVigilance</w:t>
      </w:r>
      <w:r>
        <w:rPr>
          <w:rFonts w:ascii="Calibri" w:hAnsi="Calibri"/>
          <w:color w:val="333333"/>
          <w:sz w:val="20"/>
        </w:rPr>
        <w:t xml:space="preserve"> became fully publicly accessible in 2018 (per EMA policy 0070). Signal detection uses the EMA's EudraVigilance Data Analysis System (EVDAS), which employs the ROR with a Bayesian shrinkage component.</w:t>
      </w:r>
    </w:p>
    <w:p>
      <w:pPr>
        <w:spacing w:before="0" w:after="120"/>
      </w:pPr>
      <w:r>
        <w:rPr>
          <w:rFonts w:ascii="Calibri" w:hAnsi="Calibri"/>
          <w:b/>
          <w:color w:val="333333"/>
          <w:sz w:val="20"/>
        </w:rPr>
        <w:t>VigiBase</w:t>
      </w:r>
      <w:r>
        <w:rPr>
          <w:rFonts w:ascii="Calibri" w:hAnsi="Calibri"/>
          <w:color w:val="333333"/>
          <w:sz w:val="20"/>
        </w:rPr>
        <w:t xml:space="preserve"> uses the IC (Information Component) method for signal detection. The WHO UMC publishes the WHO Signal newsletter, which communicates new safety signals detected through VigiBase analysis.</w:t>
      </w:r>
    </w:p>
    <w:p>
      <w:pPr>
        <w:pStyle w:val="Heading2"/>
        <w:spacing w:before="280" w:after="120"/>
      </w:pPr>
      <w:r>
        <w:rPr>
          <w:rFonts w:ascii="Calibri" w:hAnsi="Calibri"/>
          <w:b/>
          <w:color w:val="1AAFCC"/>
          <w:sz w:val="26"/>
        </w:rPr>
        <w:t>Case Study: Immune Checkpoint Inhibitor irAE Signal Detection</w:t>
      </w:r>
    </w:p>
    <w:p>
      <w:pPr>
        <w:spacing w:before="0" w:after="120"/>
      </w:pPr>
      <w:r>
        <w:rPr>
          <w:rFonts w:ascii="Calibri" w:hAnsi="Calibri"/>
          <w:color w:val="333333"/>
          <w:sz w:val="20"/>
        </w:rPr>
        <w:t>Immune-related adverse events (irAEs) represent a novel safety challenge because they arise from immune system activation rather than direct drug toxicity. Their detection required new pharmacovigilance approaches.</w:t>
      </w:r>
    </w:p>
    <w:p>
      <w:pPr>
        <w:spacing w:before="0" w:after="120"/>
      </w:pPr>
      <w:r>
        <w:rPr>
          <w:rFonts w:ascii="Calibri" w:hAnsi="Calibri"/>
          <w:b/>
          <w:color w:val="333333"/>
          <w:sz w:val="20"/>
        </w:rPr>
        <w:t>Signal characteristics:</w:t>
      </w:r>
    </w:p>
    <w:p>
      <w:pPr>
        <w:spacing w:before="40" w:after="40"/>
        <w:ind w:left="504" w:hanging="216"/>
      </w:pPr>
      <w:r>
        <w:rPr>
          <w:rFonts w:ascii="Calibri" w:hAnsi="Calibri"/>
          <w:color w:val="1AAFCC"/>
          <w:sz w:val="20"/>
        </w:rPr>
        <w:t xml:space="preserve">•  </w:t>
      </w:r>
      <w:r>
        <w:rPr>
          <w:rFonts w:ascii="Calibri" w:hAnsi="Calibri"/>
          <w:color w:val="333333"/>
          <w:sz w:val="20"/>
        </w:rPr>
        <w:t>Multi-organ involvement: irAEs can affect virtually any organ system (colitis, hepatitis, pneumonitis, nephritis, endocrinopathies, neurological events, dermatitis)</w:t>
      </w:r>
    </w:p>
    <w:p>
      <w:pPr>
        <w:spacing w:before="40" w:after="40"/>
        <w:ind w:left="504" w:hanging="216"/>
      </w:pPr>
      <w:r>
        <w:rPr>
          <w:rFonts w:ascii="Calibri" w:hAnsi="Calibri"/>
          <w:color w:val="1AAFCC"/>
          <w:sz w:val="20"/>
        </w:rPr>
        <w:t xml:space="preserve">•  </w:t>
      </w:r>
      <w:r>
        <w:rPr>
          <w:rFonts w:ascii="Calibri" w:hAnsi="Calibri"/>
          <w:color w:val="333333"/>
          <w:sz w:val="20"/>
        </w:rPr>
        <w:t>Delayed onset: Median time-to-onset varies by organ (skin: 3-6 weeks, GI: 6-8 weeks, hepatic: 8-12 weeks, endocrine: 9-12 weeks, pulmonary: 8-14 weeks, renal: 12-24 weeks)</w:t>
      </w:r>
    </w:p>
    <w:p>
      <w:pPr>
        <w:spacing w:before="40" w:after="40"/>
        <w:ind w:left="504" w:hanging="216"/>
      </w:pPr>
      <w:r>
        <w:rPr>
          <w:rFonts w:ascii="Calibri" w:hAnsi="Calibri"/>
          <w:color w:val="1AAFCC"/>
          <w:sz w:val="20"/>
        </w:rPr>
        <w:t xml:space="preserve">•  </w:t>
      </w:r>
      <w:r>
        <w:rPr>
          <w:rFonts w:ascii="Calibri" w:hAnsi="Calibri"/>
          <w:color w:val="333333"/>
          <w:sz w:val="20"/>
        </w:rPr>
        <w:t>Dose-independent: irAEs do not follow classical dose-toxicity relationships</w:t>
      </w:r>
    </w:p>
    <w:p>
      <w:pPr>
        <w:spacing w:before="40" w:after="40"/>
        <w:ind w:left="504" w:hanging="216"/>
      </w:pPr>
      <w:r>
        <w:rPr>
          <w:rFonts w:ascii="Calibri" w:hAnsi="Calibri"/>
          <w:color w:val="1AAFCC"/>
          <w:sz w:val="20"/>
        </w:rPr>
        <w:t xml:space="preserve">•  </w:t>
      </w:r>
      <w:r>
        <w:rPr>
          <w:rFonts w:ascii="Calibri" w:hAnsi="Calibri"/>
          <w:color w:val="333333"/>
          <w:sz w:val="20"/>
        </w:rPr>
        <w:t>Class-wide but agent-specific: PD-1 inhibitors (pembrolizumab, nivolumab) and PD-L1 inhibitors (atezolizumab, durvalumab) have overlapping but distinct irAE profiles. CTLA-4 inhibitors (ipilimumab) have higher overall irAE rates, especially colitis.</w:t>
      </w:r>
    </w:p>
    <w:p>
      <w:pPr>
        <w:spacing w:before="0" w:after="120"/>
      </w:pPr>
      <w:r>
        <w:rPr>
          <w:rFonts w:ascii="Calibri" w:hAnsi="Calibri"/>
          <w:b/>
          <w:color w:val="333333"/>
          <w:sz w:val="20"/>
        </w:rPr>
        <w:t>Detection methodology:</w:t>
      </w:r>
      <w:r>
        <w:rPr>
          <w:rFonts w:ascii="Calibri" w:hAnsi="Calibri"/>
          <w:color w:val="333333"/>
          <w:sz w:val="20"/>
        </w:rPr>
        <w:t xml:space="preserve"> Wang et al. (JAMA Oncology, 2019) analyzed FAERS data from 2014-2018 and identified 12,840 reports of irAEs associated with checkpoint inhibitors. Using disproportionality analysis:</w:t>
      </w:r>
    </w:p>
    <w:p>
      <w:pPr>
        <w:spacing w:before="40" w:after="40"/>
        <w:ind w:left="504" w:hanging="216"/>
      </w:pPr>
      <w:r>
        <w:rPr>
          <w:rFonts w:ascii="Calibri" w:hAnsi="Calibri"/>
          <w:color w:val="1AAFCC"/>
          <w:sz w:val="20"/>
        </w:rPr>
        <w:t xml:space="preserve">•  </w:t>
      </w:r>
      <w:r>
        <w:rPr>
          <w:rFonts w:ascii="Calibri" w:hAnsi="Calibri"/>
          <w:color w:val="333333"/>
          <w:sz w:val="20"/>
        </w:rPr>
        <w:t>Myocarditis: ROR 11.21 (95% CI 9.36-13.43) -- a signal missed in clinical trials due to rarity (0.1-0.3%)</w:t>
      </w:r>
    </w:p>
    <w:p>
      <w:pPr>
        <w:spacing w:before="40" w:after="40"/>
        <w:ind w:left="504" w:hanging="216"/>
      </w:pPr>
      <w:r>
        <w:rPr>
          <w:rFonts w:ascii="Calibri" w:hAnsi="Calibri"/>
          <w:color w:val="1AAFCC"/>
          <w:sz w:val="20"/>
        </w:rPr>
        <w:t xml:space="preserve">•  </w:t>
      </w:r>
      <w:r>
        <w:rPr>
          <w:rFonts w:ascii="Calibri" w:hAnsi="Calibri"/>
          <w:color w:val="333333"/>
          <w:sz w:val="20"/>
        </w:rPr>
        <w:t>Myasthenia gravis: ROR 18.53 (95% CI 14.20-24.17) -- never observed in Phase 3 trials</w:t>
      </w:r>
    </w:p>
    <w:p>
      <w:pPr>
        <w:spacing w:before="40" w:after="40"/>
        <w:ind w:left="504" w:hanging="216"/>
      </w:pPr>
      <w:r>
        <w:rPr>
          <w:rFonts w:ascii="Calibri" w:hAnsi="Calibri"/>
          <w:color w:val="1AAFCC"/>
          <w:sz w:val="20"/>
        </w:rPr>
        <w:t xml:space="preserve">•  </w:t>
      </w:r>
      <w:r>
        <w:rPr>
          <w:rFonts w:ascii="Calibri" w:hAnsi="Calibri"/>
          <w:color w:val="333333"/>
          <w:sz w:val="20"/>
        </w:rPr>
        <w:t>Encephalitis: ROR 5.74 (95% CI 4.52-7.28) -- rare but potentially fatal</w:t>
      </w:r>
    </w:p>
    <w:p>
      <w:pPr>
        <w:spacing w:before="0" w:after="120"/>
      </w:pPr>
      <w:r>
        <w:rPr>
          <w:rFonts w:ascii="Calibri" w:hAnsi="Calibri"/>
          <w:color w:val="333333"/>
          <w:sz w:val="20"/>
        </w:rPr>
        <w:t>These post-marketing signals led to labeling updates, REMS modifications, and new monitoring recommendations in subsequent clinical trial protocols.</w:t>
      </w:r>
    </w:p>
    <w:p>
      <w:pPr>
        <w:spacing w:before="80" w:after="80"/>
        <w:pBdr>
          <w:bottom w:val="single" w:sz="6" w:color="1AAFCC"/>
        </w:pBdr>
      </w:pPr>
    </w:p>
    <w:p>
      <w:pPr>
        <w:pStyle w:val="Heading1"/>
        <w:spacing w:before="400" w:after="160"/>
      </w:pPr>
      <w:r>
        <w:rPr>
          <w:rFonts w:ascii="Calibri" w:hAnsi="Calibri"/>
          <w:b/>
          <w:color w:val="1B2333"/>
          <w:sz w:val="32"/>
        </w:rPr>
        <w:t>5. Advanced Regulatory Intelligence</w:t>
      </w:r>
    </w:p>
    <w:p>
      <w:pPr>
        <w:pStyle w:val="Heading2"/>
        <w:spacing w:before="280" w:after="120"/>
      </w:pPr>
      <w:r>
        <w:rPr>
          <w:rFonts w:ascii="Calibri" w:hAnsi="Calibri"/>
          <w:b/>
          <w:color w:val="1AAFCC"/>
          <w:sz w:val="26"/>
        </w:rPr>
        <w:t>ICH E8(R1): General Considerations for Clinical Studies</w:t>
      </w:r>
    </w:p>
    <w:p>
      <w:pPr>
        <w:spacing w:before="0" w:after="120"/>
      </w:pPr>
      <w:r>
        <w:rPr>
          <w:rFonts w:ascii="Calibri" w:hAnsi="Calibri"/>
          <w:color w:val="333333"/>
          <w:sz w:val="20"/>
        </w:rPr>
        <w:t>ICH E8(R1), finalized in 2021, replaced the original E8 guideline from 1997. The revision introduced several concepts that fundamentally changed how clinical studies are planned:</w:t>
      </w:r>
    </w:p>
    <w:p>
      <w:pPr>
        <w:spacing w:before="40" w:after="40"/>
        <w:ind w:left="504" w:hanging="216"/>
      </w:pPr>
      <w:r>
        <w:rPr>
          <w:rFonts w:ascii="Calibri" w:hAnsi="Calibri"/>
          <w:color w:val="1AAFCC"/>
          <w:sz w:val="20"/>
        </w:rPr>
        <w:t xml:space="preserve">•  </w:t>
      </w:r>
      <w:r>
        <w:rPr>
          <w:rFonts w:ascii="Calibri" w:hAnsi="Calibri"/>
          <w:b/>
          <w:color w:val="333333"/>
          <w:sz w:val="20"/>
        </w:rPr>
        <w:t>Quality by Design (QbD):</w:t>
      </w:r>
      <w:r>
        <w:rPr>
          <w:rFonts w:ascii="Calibri" w:hAnsi="Calibri"/>
          <w:color w:val="333333"/>
          <w:sz w:val="20"/>
        </w:rPr>
        <w:t xml:space="preserve"> Study design should identify the critical-to-quality (CtQ) factors -- data elements and processes that are essential to the study's objectives -- and build quality controls around them rather than applying uniform monitoring intensity to all data</w:t>
      </w:r>
    </w:p>
    <w:p>
      <w:pPr>
        <w:spacing w:before="40" w:after="40"/>
        <w:ind w:left="504" w:hanging="216"/>
      </w:pPr>
      <w:r>
        <w:rPr>
          <w:rFonts w:ascii="Calibri" w:hAnsi="Calibri"/>
          <w:color w:val="1AAFCC"/>
          <w:sz w:val="20"/>
        </w:rPr>
        <w:t xml:space="preserve">•  </w:t>
      </w:r>
      <w:r>
        <w:rPr>
          <w:rFonts w:ascii="Calibri" w:hAnsi="Calibri"/>
          <w:b/>
          <w:color w:val="333333"/>
          <w:sz w:val="20"/>
        </w:rPr>
        <w:t>Stakeholder engagement:</w:t>
      </w:r>
      <w:r>
        <w:rPr>
          <w:rFonts w:ascii="Calibri" w:hAnsi="Calibri"/>
          <w:color w:val="333333"/>
          <w:sz w:val="20"/>
        </w:rPr>
        <w:t xml:space="preserve"> Early and meaningful engagement with patients, healthcare providers, and regulators during study design</w:t>
      </w:r>
    </w:p>
    <w:p>
      <w:pPr>
        <w:spacing w:before="40" w:after="40"/>
        <w:ind w:left="504" w:hanging="216"/>
      </w:pPr>
      <w:r>
        <w:rPr>
          <w:rFonts w:ascii="Calibri" w:hAnsi="Calibri"/>
          <w:color w:val="1AAFCC"/>
          <w:sz w:val="20"/>
        </w:rPr>
        <w:t xml:space="preserve">•  </w:t>
      </w:r>
      <w:r>
        <w:rPr>
          <w:rFonts w:ascii="Calibri" w:hAnsi="Calibri"/>
          <w:b/>
          <w:color w:val="333333"/>
          <w:sz w:val="20"/>
        </w:rPr>
        <w:t>Fit-for-purpose data:</w:t>
      </w:r>
      <w:r>
        <w:rPr>
          <w:rFonts w:ascii="Calibri" w:hAnsi="Calibri"/>
          <w:color w:val="333333"/>
          <w:sz w:val="20"/>
        </w:rPr>
        <w:t xml:space="preserve"> Not all data in a clinical study requires the same level of quality control. ICH E8(R1) explicitly permits risk-proportionate approaches to data collection and monitoring</w:t>
      </w:r>
    </w:p>
    <w:p>
      <w:pPr>
        <w:pStyle w:val="Heading2"/>
        <w:spacing w:before="280" w:after="120"/>
      </w:pPr>
      <w:r>
        <w:rPr>
          <w:rFonts w:ascii="Calibri" w:hAnsi="Calibri"/>
          <w:b/>
          <w:color w:val="1AAFCC"/>
          <w:sz w:val="26"/>
        </w:rPr>
        <w:t>ICH E19: Optimization of Safety Data Collection</w:t>
      </w:r>
    </w:p>
    <w:p>
      <w:pPr>
        <w:spacing w:before="0" w:after="120"/>
      </w:pPr>
      <w:r>
        <w:rPr>
          <w:rFonts w:ascii="Calibri" w:hAnsi="Calibri"/>
          <w:color w:val="333333"/>
          <w:sz w:val="20"/>
        </w:rPr>
        <w:t>ICH E19 (finalized 2022) addresses a long-standing challenge: the massive volume of adverse event data collected in clinical trials that adds cost without improving safety assessment. Key provisions:</w:t>
      </w:r>
    </w:p>
    <w:p>
      <w:pPr>
        <w:spacing w:before="40" w:after="40"/>
        <w:ind w:left="504" w:hanging="216"/>
      </w:pPr>
      <w:r>
        <w:rPr>
          <w:rFonts w:ascii="Calibri" w:hAnsi="Calibri"/>
          <w:color w:val="1AAFCC"/>
          <w:sz w:val="20"/>
        </w:rPr>
        <w:t xml:space="preserve">•  </w:t>
      </w:r>
      <w:r>
        <w:rPr>
          <w:rFonts w:ascii="Calibri" w:hAnsi="Calibri"/>
          <w:b/>
          <w:color w:val="333333"/>
          <w:sz w:val="20"/>
        </w:rPr>
        <w:t>Targeted safety data collection:</w:t>
      </w:r>
      <w:r>
        <w:rPr>
          <w:rFonts w:ascii="Calibri" w:hAnsi="Calibri"/>
          <w:color w:val="333333"/>
          <w:sz w:val="20"/>
        </w:rPr>
        <w:t xml:space="preserve"> Sponsors may prospectively define a focused set of "adverse events of special interest" (AESIs) for systematic collection, rather than collecting all adverse events</w:t>
      </w:r>
    </w:p>
    <w:p>
      <w:pPr>
        <w:spacing w:before="40" w:after="40"/>
        <w:ind w:left="504" w:hanging="216"/>
      </w:pPr>
      <w:r>
        <w:rPr>
          <w:rFonts w:ascii="Calibri" w:hAnsi="Calibri"/>
          <w:color w:val="1AAFCC"/>
          <w:sz w:val="20"/>
        </w:rPr>
        <w:t xml:space="preserve">•  </w:t>
      </w:r>
      <w:r>
        <w:rPr>
          <w:rFonts w:ascii="Calibri" w:hAnsi="Calibri"/>
          <w:b/>
          <w:color w:val="333333"/>
          <w:sz w:val="20"/>
        </w:rPr>
        <w:t>Reduced collection in late-stage trials:</w:t>
      </w:r>
      <w:r>
        <w:rPr>
          <w:rFonts w:ascii="Calibri" w:hAnsi="Calibri"/>
          <w:color w:val="333333"/>
          <w:sz w:val="20"/>
        </w:rPr>
        <w:t xml:space="preserve"> For drugs with well-characterized safety profiles, Phase 3 trials may use reduced AE collection (e.g., only SAEs and AESIs after the initial treatment period)</w:t>
      </w:r>
    </w:p>
    <w:p>
      <w:pPr>
        <w:spacing w:before="40" w:after="40"/>
        <w:ind w:left="504" w:hanging="216"/>
      </w:pPr>
      <w:r>
        <w:rPr>
          <w:rFonts w:ascii="Calibri" w:hAnsi="Calibri"/>
          <w:color w:val="1AAFCC"/>
          <w:sz w:val="20"/>
        </w:rPr>
        <w:t xml:space="preserve">•  </w:t>
      </w:r>
      <w:r>
        <w:rPr>
          <w:rFonts w:ascii="Calibri" w:hAnsi="Calibri"/>
          <w:b/>
          <w:color w:val="333333"/>
          <w:sz w:val="20"/>
        </w:rPr>
        <w:t>Post-randomization data optimization:</w:t>
      </w:r>
      <w:r>
        <w:rPr>
          <w:rFonts w:ascii="Calibri" w:hAnsi="Calibri"/>
          <w:color w:val="333333"/>
          <w:sz w:val="20"/>
        </w:rPr>
        <w:t xml:space="preserve"> Non-serious AEs that are common and expected need not be individually recorded if they are captured through aggregate safety assessments</w:t>
      </w:r>
    </w:p>
    <w:p>
      <w:pPr>
        <w:pStyle w:val="Heading2"/>
        <w:spacing w:before="280" w:after="120"/>
      </w:pPr>
      <w:r>
        <w:rPr>
          <w:rFonts w:ascii="Calibri" w:hAnsi="Calibri"/>
          <w:b/>
          <w:color w:val="1AAFCC"/>
          <w:sz w:val="26"/>
        </w:rPr>
        <w:t>ICH E20: Adaptive Clinical Trials</w:t>
      </w:r>
    </w:p>
    <w:p>
      <w:pPr>
        <w:spacing w:before="0" w:after="120"/>
      </w:pPr>
      <w:r>
        <w:rPr>
          <w:rFonts w:ascii="Calibri" w:hAnsi="Calibri"/>
          <w:color w:val="333333"/>
          <w:sz w:val="20"/>
        </w:rPr>
        <w:t>ICH E20 (draft 2023, expected final 2025-2026) provides a harmonized framework for adaptive clinical trial designs. Key principles:</w:t>
      </w:r>
    </w:p>
    <w:p>
      <w:pPr>
        <w:spacing w:before="40" w:after="40"/>
        <w:ind w:left="504" w:hanging="216"/>
      </w:pPr>
      <w:r>
        <w:rPr>
          <w:rFonts w:ascii="Calibri" w:hAnsi="Calibri"/>
          <w:color w:val="1AAFCC"/>
          <w:sz w:val="20"/>
        </w:rPr>
        <w:t xml:space="preserve">•  </w:t>
      </w:r>
      <w:r>
        <w:rPr>
          <w:rFonts w:ascii="Calibri" w:hAnsi="Calibri"/>
          <w:b/>
          <w:color w:val="333333"/>
          <w:sz w:val="20"/>
        </w:rPr>
        <w:t>Pre-specification:</w:t>
      </w:r>
      <w:r>
        <w:rPr>
          <w:rFonts w:ascii="Calibri" w:hAnsi="Calibri"/>
          <w:color w:val="333333"/>
          <w:sz w:val="20"/>
        </w:rPr>
        <w:t xml:space="preserve"> All adaptations must be pre-specified in the protocol and SAP. Post-hoc adaptations invalidate the inferential framework</w:t>
      </w:r>
    </w:p>
    <w:p>
      <w:pPr>
        <w:spacing w:before="40" w:after="40"/>
        <w:ind w:left="504" w:hanging="216"/>
      </w:pPr>
      <w:r>
        <w:rPr>
          <w:rFonts w:ascii="Calibri" w:hAnsi="Calibri"/>
          <w:color w:val="1AAFCC"/>
          <w:sz w:val="20"/>
        </w:rPr>
        <w:t xml:space="preserve">•  </w:t>
      </w:r>
      <w:r>
        <w:rPr>
          <w:rFonts w:ascii="Calibri" w:hAnsi="Calibri"/>
          <w:b/>
          <w:color w:val="333333"/>
          <w:sz w:val="20"/>
        </w:rPr>
        <w:t>Type I error control:</w:t>
      </w:r>
      <w:r>
        <w:rPr>
          <w:rFonts w:ascii="Calibri" w:hAnsi="Calibri"/>
          <w:color w:val="333333"/>
          <w:sz w:val="20"/>
        </w:rPr>
        <w:t xml:space="preserve"> The overall type I error rate must be maintained at the nominal level across all adaptations</w:t>
      </w:r>
    </w:p>
    <w:p>
      <w:pPr>
        <w:spacing w:before="40" w:after="40"/>
        <w:ind w:left="504" w:hanging="216"/>
      </w:pPr>
      <w:r>
        <w:rPr>
          <w:rFonts w:ascii="Calibri" w:hAnsi="Calibri"/>
          <w:color w:val="1AAFCC"/>
          <w:sz w:val="20"/>
        </w:rPr>
        <w:t xml:space="preserve">•  </w:t>
      </w:r>
      <w:r>
        <w:rPr>
          <w:rFonts w:ascii="Calibri" w:hAnsi="Calibri"/>
          <w:b/>
          <w:color w:val="333333"/>
          <w:sz w:val="20"/>
        </w:rPr>
        <w:t>Operational integrity:</w:t>
      </w:r>
      <w:r>
        <w:rPr>
          <w:rFonts w:ascii="Calibri" w:hAnsi="Calibri"/>
          <w:color w:val="333333"/>
          <w:sz w:val="20"/>
        </w:rPr>
        <w:t xml:space="preserve"> Decision rules must be based on pre-specified criteria; the sponsor should not have access to unblinded comparative data that informs adaptations (unless through an independent Data Monitoring Committee)</w:t>
      </w:r>
    </w:p>
    <w:p>
      <w:pPr>
        <w:spacing w:before="40" w:after="40"/>
        <w:ind w:left="504" w:hanging="216"/>
      </w:pPr>
      <w:r>
        <w:rPr>
          <w:rFonts w:ascii="Calibri" w:hAnsi="Calibri"/>
          <w:color w:val="1AAFCC"/>
          <w:sz w:val="20"/>
        </w:rPr>
        <w:t xml:space="preserve">•  </w:t>
      </w:r>
      <w:r>
        <w:rPr>
          <w:rFonts w:ascii="Calibri" w:hAnsi="Calibri"/>
          <w:b/>
          <w:color w:val="333333"/>
          <w:sz w:val="20"/>
        </w:rPr>
        <w:t>Regulatory engagement:</w:t>
      </w:r>
      <w:r>
        <w:rPr>
          <w:rFonts w:ascii="Calibri" w:hAnsi="Calibri"/>
          <w:color w:val="333333"/>
          <w:sz w:val="20"/>
        </w:rPr>
        <w:t xml:space="preserve"> Sponsors are encouraged to discuss adaptive designs with regulatory agencies early (pre-IND or end-of-Phase-2 meetings)</w:t>
      </w:r>
    </w:p>
    <w:p>
      <w:pPr>
        <w:pStyle w:val="Heading2"/>
        <w:spacing w:before="280" w:after="120"/>
      </w:pPr>
      <w:r>
        <w:rPr>
          <w:rFonts w:ascii="Calibri" w:hAnsi="Calibri"/>
          <w:b/>
          <w:color w:val="1AAFCC"/>
          <w:sz w:val="26"/>
        </w:rPr>
        <w:t>FDA Project Orbis</w:t>
      </w:r>
    </w:p>
    <w:p>
      <w:pPr>
        <w:spacing w:before="0" w:after="120"/>
      </w:pPr>
      <w:r>
        <w:rPr>
          <w:rFonts w:ascii="Calibri" w:hAnsi="Calibri"/>
          <w:color w:val="333333"/>
          <w:sz w:val="20"/>
        </w:rPr>
        <w:t>Project Orbis (launched 2019) enables concurrent submission and review of oncology drugs across multiple regulatory agencies. Participating agencies review the same clinical data package simultaneously, enabling near-simultaneous approvals in multiple countries.</w:t>
      </w:r>
    </w:p>
    <w:p>
      <w:pPr>
        <w:spacing w:before="0" w:after="120"/>
      </w:pPr>
      <w:r>
        <w:rPr>
          <w:rFonts w:ascii="Calibri" w:hAnsi="Calibri"/>
          <w:b/>
          <w:color w:val="333333"/>
          <w:sz w:val="20"/>
        </w:rPr>
        <w:t>Participating agencies (as of 2025):</w:t>
      </w:r>
    </w:p>
    <w:p>
      <w:pPr>
        <w:spacing w:before="40" w:after="40"/>
        <w:ind w:left="504" w:hanging="216"/>
      </w:pPr>
      <w:r>
        <w:rPr>
          <w:rFonts w:ascii="Calibri" w:hAnsi="Calibri"/>
          <w:color w:val="1AAFCC"/>
          <w:sz w:val="20"/>
        </w:rPr>
        <w:t xml:space="preserve">•  </w:t>
      </w:r>
      <w:r>
        <w:rPr>
          <w:rFonts w:ascii="Calibri" w:hAnsi="Calibri"/>
          <w:color w:val="333333"/>
          <w:sz w:val="20"/>
        </w:rPr>
        <w:t>FDA (United States) -- founding member</w:t>
      </w:r>
    </w:p>
    <w:p>
      <w:pPr>
        <w:spacing w:before="40" w:after="40"/>
        <w:ind w:left="504" w:hanging="216"/>
      </w:pPr>
      <w:r>
        <w:rPr>
          <w:rFonts w:ascii="Calibri" w:hAnsi="Calibri"/>
          <w:color w:val="1AAFCC"/>
          <w:sz w:val="20"/>
        </w:rPr>
        <w:t xml:space="preserve">•  </w:t>
      </w:r>
      <w:r>
        <w:rPr>
          <w:rFonts w:ascii="Calibri" w:hAnsi="Calibri"/>
          <w:color w:val="333333"/>
          <w:sz w:val="20"/>
        </w:rPr>
        <w:t>Health Canada</w:t>
      </w:r>
    </w:p>
    <w:p>
      <w:pPr>
        <w:spacing w:before="40" w:after="40"/>
        <w:ind w:left="504" w:hanging="216"/>
      </w:pPr>
      <w:r>
        <w:rPr>
          <w:rFonts w:ascii="Calibri" w:hAnsi="Calibri"/>
          <w:color w:val="1AAFCC"/>
          <w:sz w:val="20"/>
        </w:rPr>
        <w:t xml:space="preserve">•  </w:t>
      </w:r>
      <w:r>
        <w:rPr>
          <w:rFonts w:ascii="Calibri" w:hAnsi="Calibri"/>
          <w:color w:val="333333"/>
          <w:sz w:val="20"/>
        </w:rPr>
        <w:t>TGA (Australia)</w:t>
      </w:r>
    </w:p>
    <w:p>
      <w:pPr>
        <w:spacing w:before="40" w:after="40"/>
        <w:ind w:left="504" w:hanging="216"/>
      </w:pPr>
      <w:r>
        <w:rPr>
          <w:rFonts w:ascii="Calibri" w:hAnsi="Calibri"/>
          <w:color w:val="1AAFCC"/>
          <w:sz w:val="20"/>
        </w:rPr>
        <w:t xml:space="preserve">•  </w:t>
      </w:r>
      <w:r>
        <w:rPr>
          <w:rFonts w:ascii="Calibri" w:hAnsi="Calibri"/>
          <w:color w:val="333333"/>
          <w:sz w:val="20"/>
        </w:rPr>
        <w:t>Swissmedic (Switzerland)</w:t>
      </w:r>
    </w:p>
    <w:p>
      <w:pPr>
        <w:spacing w:before="40" w:after="40"/>
        <w:ind w:left="504" w:hanging="216"/>
      </w:pPr>
      <w:r>
        <w:rPr>
          <w:rFonts w:ascii="Calibri" w:hAnsi="Calibri"/>
          <w:color w:val="1AAFCC"/>
          <w:sz w:val="20"/>
        </w:rPr>
        <w:t xml:space="preserve">•  </w:t>
      </w:r>
      <w:r>
        <w:rPr>
          <w:rFonts w:ascii="Calibri" w:hAnsi="Calibri"/>
          <w:color w:val="333333"/>
          <w:sz w:val="20"/>
        </w:rPr>
        <w:t>MHRA (United Kingdom)</w:t>
      </w:r>
    </w:p>
    <w:p>
      <w:pPr>
        <w:spacing w:before="40" w:after="40"/>
        <w:ind w:left="504" w:hanging="216"/>
      </w:pPr>
      <w:r>
        <w:rPr>
          <w:rFonts w:ascii="Calibri" w:hAnsi="Calibri"/>
          <w:color w:val="1AAFCC"/>
          <w:sz w:val="20"/>
        </w:rPr>
        <w:t xml:space="preserve">•  </w:t>
      </w:r>
      <w:r>
        <w:rPr>
          <w:rFonts w:ascii="Calibri" w:hAnsi="Calibri"/>
          <w:color w:val="333333"/>
          <w:sz w:val="20"/>
        </w:rPr>
        <w:t>ANVISA (Brazil)</w:t>
      </w:r>
    </w:p>
    <w:p>
      <w:pPr>
        <w:spacing w:before="40" w:after="40"/>
        <w:ind w:left="504" w:hanging="216"/>
      </w:pPr>
      <w:r>
        <w:rPr>
          <w:rFonts w:ascii="Calibri" w:hAnsi="Calibri"/>
          <w:color w:val="1AAFCC"/>
          <w:sz w:val="20"/>
        </w:rPr>
        <w:t xml:space="preserve">•  </w:t>
      </w:r>
      <w:r>
        <w:rPr>
          <w:rFonts w:ascii="Calibri" w:hAnsi="Calibri"/>
          <w:color w:val="333333"/>
          <w:sz w:val="20"/>
        </w:rPr>
        <w:t>HSA (Singapore)</w:t>
      </w:r>
    </w:p>
    <w:p>
      <w:pPr>
        <w:spacing w:before="40" w:after="40"/>
        <w:ind w:left="504" w:hanging="216"/>
      </w:pPr>
      <w:r>
        <w:rPr>
          <w:rFonts w:ascii="Calibri" w:hAnsi="Calibri"/>
          <w:color w:val="1AAFCC"/>
          <w:sz w:val="20"/>
        </w:rPr>
        <w:t xml:space="preserve">•  </w:t>
      </w:r>
      <w:r>
        <w:rPr>
          <w:rFonts w:ascii="Calibri" w:hAnsi="Calibri"/>
          <w:color w:val="333333"/>
          <w:sz w:val="20"/>
        </w:rPr>
        <w:t>MPI (Israel)</w:t>
      </w:r>
    </w:p>
    <w:p>
      <w:pPr>
        <w:spacing w:before="0" w:after="120"/>
      </w:pPr>
      <w:r>
        <w:rPr>
          <w:rFonts w:ascii="Calibri" w:hAnsi="Calibri"/>
          <w:b/>
          <w:color w:val="333333"/>
          <w:sz w:val="20"/>
        </w:rPr>
        <w:t>Impact:</w:t>
      </w:r>
      <w:r>
        <w:rPr>
          <w:rFonts w:ascii="Calibri" w:hAnsi="Calibri"/>
          <w:color w:val="333333"/>
          <w:sz w:val="20"/>
        </w:rPr>
        <w:t xml:space="preserve"> As of 2025, Project Orbis has been used for 40+ oncology product applications. The median time from FDA approval to partner agency approval decreased from 12-18 months (pre-Orbis) to 2-4 months. Example: sotorasib (Lumakras) for KRAS G12C NSCLC received FDA approval in May 2021, with TGA (Australia) and Health Canada approvals following within 3 months through Orbis.</w:t>
      </w:r>
    </w:p>
    <w:p>
      <w:pPr>
        <w:pStyle w:val="Heading2"/>
        <w:spacing w:before="280" w:after="120"/>
      </w:pPr>
      <w:r>
        <w:rPr>
          <w:rFonts w:ascii="Calibri" w:hAnsi="Calibri"/>
          <w:b/>
          <w:color w:val="1AAFCC"/>
          <w:sz w:val="26"/>
        </w:rPr>
        <w:t>EMA PRIME Pathway</w:t>
      </w:r>
    </w:p>
    <w:p>
      <w:pPr>
        <w:spacing w:before="0" w:after="120"/>
      </w:pPr>
      <w:r>
        <w:rPr>
          <w:rFonts w:ascii="Calibri" w:hAnsi="Calibri"/>
          <w:color w:val="333333"/>
          <w:sz w:val="20"/>
        </w:rPr>
        <w:t>PRIority MEdicines (PRIME) is the EMA's scheme for enhanced support of medicines targeting unmet medical needs. Unlike FDA Breakthrough Therapy Designation, PRIME does not provide a separate review pathway; rather, it provides early and enhanced regulatory dialogue.</w:t>
      </w:r>
    </w:p>
    <w:p>
      <w:pPr>
        <w:spacing w:before="0" w:after="120"/>
      </w:pPr>
      <w:r>
        <w:rPr>
          <w:rFonts w:ascii="Calibri" w:hAnsi="Calibri"/>
          <w:b/>
          <w:color w:val="333333"/>
          <w:sz w:val="20"/>
        </w:rPr>
        <w:t>PRIME benefits:</w:t>
      </w:r>
    </w:p>
    <w:p>
      <w:pPr>
        <w:spacing w:before="40" w:after="40"/>
        <w:ind w:left="504" w:hanging="216"/>
      </w:pPr>
      <w:r>
        <w:rPr>
          <w:rFonts w:ascii="Calibri" w:hAnsi="Calibri"/>
          <w:color w:val="1AAFCC"/>
          <w:sz w:val="20"/>
        </w:rPr>
        <w:t xml:space="preserve">•  </w:t>
      </w:r>
      <w:r>
        <w:rPr>
          <w:rFonts w:ascii="Calibri" w:hAnsi="Calibri"/>
          <w:color w:val="333333"/>
          <w:sz w:val="20"/>
        </w:rPr>
        <w:t>Appointment of a rapporteur from the Committee for Medicinal Products for Human Use (CHMP) at the time of PRIME eligibility</w:t>
      </w:r>
    </w:p>
    <w:p>
      <w:pPr>
        <w:spacing w:before="40" w:after="40"/>
        <w:ind w:left="504" w:hanging="216"/>
      </w:pPr>
      <w:r>
        <w:rPr>
          <w:rFonts w:ascii="Calibri" w:hAnsi="Calibri"/>
          <w:color w:val="1AAFCC"/>
          <w:sz w:val="20"/>
        </w:rPr>
        <w:t xml:space="preserve">•  </w:t>
      </w:r>
      <w:r>
        <w:rPr>
          <w:rFonts w:ascii="Calibri" w:hAnsi="Calibri"/>
          <w:color w:val="333333"/>
          <w:sz w:val="20"/>
        </w:rPr>
        <w:t>Early dialogue and Scientific Advice at key development milestones</w:t>
      </w:r>
    </w:p>
    <w:p>
      <w:pPr>
        <w:spacing w:before="40" w:after="40"/>
        <w:ind w:left="504" w:hanging="216"/>
      </w:pPr>
      <w:r>
        <w:rPr>
          <w:rFonts w:ascii="Calibri" w:hAnsi="Calibri"/>
          <w:color w:val="1AAFCC"/>
          <w:sz w:val="20"/>
        </w:rPr>
        <w:t xml:space="preserve">•  </w:t>
      </w:r>
      <w:r>
        <w:rPr>
          <w:rFonts w:ascii="Calibri" w:hAnsi="Calibri"/>
          <w:color w:val="333333"/>
          <w:sz w:val="20"/>
        </w:rPr>
        <w:t>Potential eligibility for accelerated assessment (150 days vs. 210 days for the MAA review)</w:t>
      </w:r>
    </w:p>
    <w:p>
      <w:pPr>
        <w:spacing w:before="0" w:after="120"/>
      </w:pPr>
      <w:r>
        <w:rPr>
          <w:rFonts w:ascii="Calibri" w:hAnsi="Calibri"/>
          <w:b/>
          <w:color w:val="333333"/>
          <w:sz w:val="20"/>
        </w:rPr>
        <w:t>Eligibility criteria:</w:t>
      </w:r>
      <w:r>
        <w:rPr>
          <w:rFonts w:ascii="Calibri" w:hAnsi="Calibri"/>
          <w:color w:val="333333"/>
          <w:sz w:val="20"/>
        </w:rPr>
        <w:t xml:space="preserve"> Medicines that target an unmet medical need and demonstrate a clinically meaningful advantage over existing treatments based on early clinical evidence. As of 2025, approximately 30% of PRIME applications have been granted.</w:t>
      </w:r>
    </w:p>
    <w:p>
      <w:pPr>
        <w:pStyle w:val="Heading2"/>
        <w:spacing w:before="280" w:after="120"/>
      </w:pPr>
      <w:r>
        <w:rPr>
          <w:rFonts w:ascii="Calibri" w:hAnsi="Calibri"/>
          <w:b/>
          <w:color w:val="1AAFCC"/>
          <w:sz w:val="26"/>
        </w:rPr>
        <w:t>PMDA SAKIGAKE Designation</w:t>
      </w:r>
    </w:p>
    <w:p>
      <w:pPr>
        <w:spacing w:before="0" w:after="120"/>
      </w:pPr>
      <w:r>
        <w:rPr>
          <w:rFonts w:ascii="Calibri" w:hAnsi="Calibri"/>
          <w:color w:val="333333"/>
          <w:sz w:val="20"/>
        </w:rPr>
        <w:t>Japan's SAKIGAKE (Pioneer) designation system, implemented in 2015 and codified into law in 2020, provides an expedited pathway for innovative drugs that target serious diseases with high unmet need.</w:t>
      </w:r>
    </w:p>
    <w:p>
      <w:pPr>
        <w:spacing w:before="0" w:after="120"/>
      </w:pPr>
      <w:r>
        <w:rPr>
          <w:rFonts w:ascii="Calibri" w:hAnsi="Calibri"/>
          <w:b/>
          <w:color w:val="333333"/>
          <w:sz w:val="20"/>
        </w:rPr>
        <w:t>SAKIGAKE benefits:</w:t>
      </w:r>
    </w:p>
    <w:p>
      <w:pPr>
        <w:spacing w:before="40" w:after="40"/>
        <w:ind w:left="504" w:hanging="216"/>
      </w:pPr>
      <w:r>
        <w:rPr>
          <w:rFonts w:ascii="Calibri" w:hAnsi="Calibri"/>
          <w:color w:val="1AAFCC"/>
          <w:sz w:val="20"/>
        </w:rPr>
        <w:t xml:space="preserve">•  </w:t>
      </w:r>
      <w:r>
        <w:rPr>
          <w:rFonts w:ascii="Calibri" w:hAnsi="Calibri"/>
          <w:color w:val="333333"/>
          <w:sz w:val="20"/>
        </w:rPr>
        <w:t>Pre-application consultation with PMDA during development</w:t>
      </w:r>
    </w:p>
    <w:p>
      <w:pPr>
        <w:spacing w:before="40" w:after="40"/>
        <w:ind w:left="504" w:hanging="216"/>
      </w:pPr>
      <w:r>
        <w:rPr>
          <w:rFonts w:ascii="Calibri" w:hAnsi="Calibri"/>
          <w:color w:val="1AAFCC"/>
          <w:sz w:val="20"/>
        </w:rPr>
        <w:t xml:space="preserve">•  </w:t>
      </w:r>
      <w:r>
        <w:rPr>
          <w:rFonts w:ascii="Calibri" w:hAnsi="Calibri"/>
          <w:color w:val="333333"/>
          <w:sz w:val="20"/>
        </w:rPr>
        <w:t>Prioritized review (target: 6 months total review time vs. 12 months standard)</w:t>
      </w:r>
    </w:p>
    <w:p>
      <w:pPr>
        <w:spacing w:before="40" w:after="40"/>
        <w:ind w:left="504" w:hanging="216"/>
      </w:pPr>
      <w:r>
        <w:rPr>
          <w:rFonts w:ascii="Calibri" w:hAnsi="Calibri"/>
          <w:color w:val="1AAFCC"/>
          <w:sz w:val="20"/>
        </w:rPr>
        <w:t xml:space="preserve">•  </w:t>
      </w:r>
      <w:r>
        <w:rPr>
          <w:rFonts w:ascii="Calibri" w:hAnsi="Calibri"/>
          <w:color w:val="333333"/>
          <w:sz w:val="20"/>
        </w:rPr>
        <w:t>Extended re-examination period (10 years vs. 8 years) providing additional data exclusivity</w:t>
      </w:r>
    </w:p>
    <w:p>
      <w:pPr>
        <w:spacing w:before="40" w:after="40"/>
        <w:ind w:left="504" w:hanging="216"/>
      </w:pPr>
      <w:r>
        <w:rPr>
          <w:rFonts w:ascii="Calibri" w:hAnsi="Calibri"/>
          <w:color w:val="1AAFCC"/>
          <w:sz w:val="20"/>
        </w:rPr>
        <w:t xml:space="preserve">•  </w:t>
      </w:r>
      <w:r>
        <w:rPr>
          <w:rFonts w:ascii="Calibri" w:hAnsi="Calibri"/>
          <w:color w:val="333333"/>
          <w:sz w:val="20"/>
        </w:rPr>
        <w:t>Conditional early approval based on Phase 2 data with post-marketing confirmatory requirements</w:t>
      </w:r>
    </w:p>
    <w:p>
      <w:pPr>
        <w:pStyle w:val="Heading2"/>
        <w:spacing w:before="280" w:after="120"/>
      </w:pPr>
      <w:r>
        <w:rPr>
          <w:rFonts w:ascii="Calibri" w:hAnsi="Calibri"/>
          <w:b/>
          <w:color w:val="1AAFCC"/>
          <w:sz w:val="26"/>
        </w:rPr>
        <w:t>Real-Time Oncology Review (RTOR)</w:t>
      </w:r>
    </w:p>
    <w:p>
      <w:pPr>
        <w:spacing w:before="0" w:after="120"/>
      </w:pPr>
      <w:r>
        <w:rPr>
          <w:rFonts w:ascii="Calibri" w:hAnsi="Calibri"/>
          <w:color w:val="333333"/>
          <w:sz w:val="20"/>
        </w:rPr>
        <w:t>RTOR, piloted in 2018 and expanded in 2020, allows FDA oncology reviewers to begin reviewing efficacy and safety data before the formal NDA/BLA submission. The sponsor submits pre-planned interim or top-line data 2-4 months before the formal application.</w:t>
      </w:r>
    </w:p>
    <w:p>
      <w:pPr>
        <w:spacing w:before="0" w:after="120"/>
      </w:pPr>
      <w:r>
        <w:rPr>
          <w:rFonts w:ascii="Calibri" w:hAnsi="Calibri"/>
          <w:b/>
          <w:color w:val="333333"/>
          <w:sz w:val="20"/>
        </w:rPr>
        <w:t>Process:</w:t>
      </w:r>
    </w:p>
    <w:p>
      <w:pPr>
        <w:spacing w:before="40" w:after="40"/>
        <w:ind w:left="504" w:hanging="288"/>
      </w:pPr>
      <w:r>
        <w:rPr>
          <w:rFonts w:ascii="Calibri" w:hAnsi="Calibri"/>
          <w:b/>
          <w:color w:val="333333"/>
          <w:sz w:val="20"/>
        </w:rPr>
        <w:t xml:space="preserve">1.  </w:t>
      </w:r>
      <w:r>
        <w:rPr>
          <w:rFonts w:ascii="Calibri" w:hAnsi="Calibri"/>
          <w:color w:val="333333"/>
          <w:sz w:val="20"/>
        </w:rPr>
        <w:t>Sponsor submits clinical data package (efficacy tables, Kaplan-Meier curves, safety tables) prior to NDA/BLA submission</w:t>
      </w:r>
    </w:p>
    <w:p>
      <w:pPr>
        <w:spacing w:before="40" w:after="40"/>
        <w:ind w:left="504" w:hanging="288"/>
      </w:pPr>
      <w:r>
        <w:rPr>
          <w:rFonts w:ascii="Calibri" w:hAnsi="Calibri"/>
          <w:b/>
          <w:color w:val="333333"/>
          <w:sz w:val="20"/>
        </w:rPr>
        <w:t xml:space="preserve">2.  </w:t>
      </w:r>
      <w:r>
        <w:rPr>
          <w:rFonts w:ascii="Calibri" w:hAnsi="Calibri"/>
          <w:color w:val="333333"/>
          <w:sz w:val="20"/>
        </w:rPr>
        <w:t>FDA cross-disciplinary review team (medical officer, statistician, pharmacologist) begins assessment</w:t>
      </w:r>
    </w:p>
    <w:p>
      <w:pPr>
        <w:spacing w:before="40" w:after="40"/>
        <w:ind w:left="504" w:hanging="288"/>
      </w:pPr>
      <w:r>
        <w:rPr>
          <w:rFonts w:ascii="Calibri" w:hAnsi="Calibri"/>
          <w:b/>
          <w:color w:val="333333"/>
          <w:sz w:val="20"/>
        </w:rPr>
        <w:t xml:space="preserve">3.  </w:t>
      </w:r>
      <w:r>
        <w:rPr>
          <w:rFonts w:ascii="Calibri" w:hAnsi="Calibri"/>
          <w:color w:val="333333"/>
          <w:sz w:val="20"/>
        </w:rPr>
        <w:t>Upon formal submission, the review is substantially complete, enabling approval within days to weeks of the PDUFA date</w:t>
      </w:r>
    </w:p>
    <w:p>
      <w:pPr>
        <w:spacing w:before="0" w:after="120"/>
      </w:pPr>
      <w:r>
        <w:rPr>
          <w:rFonts w:ascii="Calibri" w:hAnsi="Calibri"/>
          <w:b/>
          <w:color w:val="333333"/>
          <w:sz w:val="20"/>
        </w:rPr>
        <w:t>Results (2018-2025):</w:t>
      </w:r>
      <w:r>
        <w:rPr>
          <w:rFonts w:ascii="Calibri" w:hAnsi="Calibri"/>
          <w:color w:val="333333"/>
          <w:sz w:val="20"/>
        </w:rPr>
        <w:t xml:space="preserve"> RTOR has been used for 30+ oncology applications. The median time from submission to approval for RTOR applications is 2.5 months (vs. 6 months for Priority Review without RTOR). Example: tucatinib (Tukysa) for HER2+ breast cancer was approved under RTOR within 3 weeks of submission.</w:t>
      </w:r>
    </w:p>
    <w:p>
      <w:pPr>
        <w:pStyle w:val="Heading2"/>
        <w:spacing w:before="280" w:after="120"/>
      </w:pPr>
      <w:r>
        <w:rPr>
          <w:rFonts w:ascii="Calibri" w:hAnsi="Calibri"/>
          <w:b/>
          <w:color w:val="1AAFCC"/>
          <w:sz w:val="26"/>
        </w:rPr>
        <w:t>BTD vs. Fast Track vs. Priority Review vs. Accelerated Approval</w:t>
      </w:r>
    </w:p>
    <w:p>
      <w:pPr>
        <w:spacing w:before="0" w:after="120"/>
      </w:pPr>
      <w:r>
        <w:rPr>
          <w:rFonts w:ascii="Calibri" w:hAnsi="Calibri"/>
          <w:color w:val="333333"/>
          <w:sz w:val="20"/>
        </w:rPr>
        <w:t>These four expedited programs are frequently confused. Each addresses a different bottleneck in the drug development and review process: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Feature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Breakthrough Therapy</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Fast Track</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Priority Review</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Accelerated Approval</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**When designated**</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1-2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Any time during development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 NDA/BLA submission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 NDA/BLA review</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requirement**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Substantial improvement over existing treatment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Serious condition + unmet need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Significant improvement over existing treatment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Serious condition + surrogate endpoint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**Development benefit**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Intensive FDA guidance, organizational commitment, rolling review</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Rolling review, more frequent meetings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 (review-phase only)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 (review-phase only)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**Review benefit**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Priority Review eligible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Priority Review eligible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months (vs. 10 months standard)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Approval on surrogate endpoint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**Post-approval requirement**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 specific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 specific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 specific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Confirmatory trial required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**Can be combined**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with all others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with all others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with all others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with all others</w:t>
            </w:r>
          </w:p>
        </w:tc>
      </w:tr>
    </w:tbl>
    <w:p>
      <w:pPr>
        <w:spacing w:before="40" w:after="80"/>
      </w:pPr>
    </w:p>
    <w:p>
      <w:pPr>
        <w:spacing w:before="0" w:after="120"/>
      </w:pPr>
      <w:r>
        <w:rPr>
          <w:rFonts w:ascii="Calibri" w:hAnsi="Calibri"/>
          <w:b/>
          <w:color w:val="333333"/>
          <w:sz w:val="20"/>
        </w:rPr>
        <w:t>Key insight:</w:t>
      </w:r>
      <w:r>
        <w:rPr>
          <w:rFonts w:ascii="Calibri" w:hAnsi="Calibri"/>
          <w:color w:val="333333"/>
          <w:sz w:val="20"/>
        </w:rPr>
        <w:t xml:space="preserve"> These designations are not mutually exclusive. A single drug can receive all four. Pembrolizumab (Keytruda) has received Breakthrough Therapy Designation for multiple indications, Fast Track for others, Priority Review for virtually all, and Accelerated Approval for several early indications.</w:t>
      </w:r>
    </w:p>
    <w:p>
      <w:pPr>
        <w:pStyle w:val="Heading2"/>
        <w:spacing w:before="280" w:after="120"/>
      </w:pPr>
      <w:r>
        <w:rPr>
          <w:rFonts w:ascii="Calibri" w:hAnsi="Calibri"/>
          <w:b/>
          <w:color w:val="1AAFCC"/>
          <w:sz w:val="26"/>
        </w:rPr>
        <w:t>Case Study: Keytruda's 30+ Approvals</w:t>
      </w:r>
    </w:p>
    <w:p>
      <w:pPr>
        <w:spacing w:before="0" w:after="120"/>
      </w:pPr>
      <w:r>
        <w:rPr>
          <w:rFonts w:ascii="Calibri" w:hAnsi="Calibri"/>
          <w:color w:val="333333"/>
          <w:sz w:val="20"/>
        </w:rPr>
        <w:t>Pembrolizumab (Keytruda, Merck) holds the record for the most FDA-approved indications of any single drug, with over 30 tumor-type-specific and 2 tissue-agnostic approvals as of 2025.</w:t>
      </w:r>
    </w:p>
    <w:p>
      <w:pPr>
        <w:spacing w:before="0" w:after="120"/>
      </w:pPr>
      <w:r>
        <w:rPr>
          <w:rFonts w:ascii="Calibri" w:hAnsi="Calibri"/>
          <w:b/>
          <w:color w:val="333333"/>
          <w:sz w:val="20"/>
        </w:rPr>
        <w:t>Regulatory strategy highlights:</w:t>
      </w:r>
    </w:p>
    <w:p>
      <w:pPr>
        <w:spacing w:before="40" w:after="40"/>
        <w:ind w:left="504" w:hanging="216"/>
      </w:pPr>
      <w:r>
        <w:rPr>
          <w:rFonts w:ascii="Calibri" w:hAnsi="Calibri"/>
          <w:color w:val="1AAFCC"/>
          <w:sz w:val="20"/>
        </w:rPr>
        <w:t xml:space="preserve">•  </w:t>
      </w:r>
      <w:r>
        <w:rPr>
          <w:rFonts w:ascii="Calibri" w:hAnsi="Calibri"/>
          <w:b/>
          <w:color w:val="333333"/>
          <w:sz w:val="20"/>
        </w:rPr>
        <w:t>First tissue-agnostic approval (2017):</w:t>
      </w:r>
      <w:r>
        <w:rPr>
          <w:rFonts w:ascii="Calibri" w:hAnsi="Calibri"/>
          <w:color w:val="333333"/>
          <w:sz w:val="20"/>
        </w:rPr>
        <w:t xml:space="preserve"> MSI-H/dMMR solid tumors (any histology). Approved based on 149 patients across 15 tumor types from 5 uncontrolled, single-arm trials. This was the first FDA approval based on a biomarker rather than a tumor type.</w:t>
      </w:r>
    </w:p>
    <w:p>
      <w:pPr>
        <w:spacing w:before="40" w:after="40"/>
        <w:ind w:left="504" w:hanging="216"/>
      </w:pPr>
      <w:r>
        <w:rPr>
          <w:rFonts w:ascii="Calibri" w:hAnsi="Calibri"/>
          <w:color w:val="1AAFCC"/>
          <w:sz w:val="20"/>
        </w:rPr>
        <w:t xml:space="preserve">•  </w:t>
      </w:r>
      <w:r>
        <w:rPr>
          <w:rFonts w:ascii="Calibri" w:hAnsi="Calibri"/>
          <w:b/>
          <w:color w:val="333333"/>
          <w:sz w:val="20"/>
        </w:rPr>
        <w:t>Second tissue-agnostic approval (2020):</w:t>
      </w:r>
      <w:r>
        <w:rPr>
          <w:rFonts w:ascii="Calibri" w:hAnsi="Calibri"/>
          <w:color w:val="333333"/>
          <w:sz w:val="20"/>
        </w:rPr>
        <w:t xml:space="preserve"> TMB-H (tumor mutational burden &gt;= 10 mut/Mb) solid tumors. Approved based on the KEYNOTE-158 trial.</w:t>
      </w:r>
    </w:p>
    <w:p>
      <w:pPr>
        <w:spacing w:before="40" w:after="40"/>
        <w:ind w:left="504" w:hanging="216"/>
      </w:pPr>
      <w:r>
        <w:rPr>
          <w:rFonts w:ascii="Calibri" w:hAnsi="Calibri"/>
          <w:color w:val="1AAFCC"/>
          <w:sz w:val="20"/>
        </w:rPr>
        <w:t xml:space="preserve">•  </w:t>
      </w:r>
      <w:r>
        <w:rPr>
          <w:rFonts w:ascii="Calibri" w:hAnsi="Calibri"/>
          <w:b/>
          <w:color w:val="333333"/>
          <w:sz w:val="20"/>
        </w:rPr>
        <w:t>Adjuvant expansion:</w:t>
      </w:r>
      <w:r>
        <w:rPr>
          <w:rFonts w:ascii="Calibri" w:hAnsi="Calibri"/>
          <w:color w:val="333333"/>
          <w:sz w:val="20"/>
        </w:rPr>
        <w:t xml:space="preserve"> From advanced/metastatic settings into earlier-stage disease (adjuvant renal cell carcinoma, melanoma, NSCLC) based on disease-free survival surrogate endpoints.</w:t>
      </w:r>
    </w:p>
    <w:p>
      <w:pPr>
        <w:spacing w:before="40" w:after="40"/>
        <w:ind w:left="504" w:hanging="216"/>
      </w:pPr>
      <w:r>
        <w:rPr>
          <w:rFonts w:ascii="Calibri" w:hAnsi="Calibri"/>
          <w:color w:val="1AAFCC"/>
          <w:sz w:val="20"/>
        </w:rPr>
        <w:t xml:space="preserve">•  </w:t>
      </w:r>
      <w:r>
        <w:rPr>
          <w:rFonts w:ascii="Calibri" w:hAnsi="Calibri"/>
          <w:b/>
          <w:color w:val="333333"/>
          <w:sz w:val="20"/>
        </w:rPr>
        <w:t>Combination strategies:</w:t>
      </w:r>
      <w:r>
        <w:rPr>
          <w:rFonts w:ascii="Calibri" w:hAnsi="Calibri"/>
          <w:color w:val="333333"/>
          <w:sz w:val="20"/>
        </w:rPr>
        <w:t xml:space="preserve"> Pembrolizumab + chemotherapy is now standard of care in NSCLC (KEYNOTE-189/024), HNSCC (KEYNOTE-048), gastric cancer (KEYNOTE-859), and triple-negative breast cancer (KEYNOTE-522).</w:t>
      </w:r>
    </w:p>
    <w:p>
      <w:pPr>
        <w:spacing w:before="0" w:after="120"/>
      </w:pPr>
      <w:r>
        <w:rPr>
          <w:rFonts w:ascii="Calibri" w:hAnsi="Calibri"/>
          <w:b/>
          <w:color w:val="333333"/>
          <w:sz w:val="20"/>
        </w:rPr>
        <w:t>Regulatory pathway usage across Keytruda approvals:</w:t>
      </w:r>
    </w:p>
    <w:p>
      <w:pPr>
        <w:spacing w:before="40" w:after="40"/>
        <w:ind w:left="504" w:hanging="216"/>
      </w:pPr>
      <w:r>
        <w:rPr>
          <w:rFonts w:ascii="Calibri" w:hAnsi="Calibri"/>
          <w:color w:val="1AAFCC"/>
          <w:sz w:val="20"/>
        </w:rPr>
        <w:t xml:space="preserve">•  </w:t>
      </w:r>
      <w:r>
        <w:rPr>
          <w:rFonts w:ascii="Calibri" w:hAnsi="Calibri"/>
          <w:color w:val="333333"/>
          <w:sz w:val="20"/>
        </w:rPr>
        <w:t>Breakthrough Therapy Designation: 14 designations</w:t>
      </w:r>
    </w:p>
    <w:p>
      <w:pPr>
        <w:spacing w:before="40" w:after="40"/>
        <w:ind w:left="504" w:hanging="216"/>
      </w:pPr>
      <w:r>
        <w:rPr>
          <w:rFonts w:ascii="Calibri" w:hAnsi="Calibri"/>
          <w:color w:val="1AAFCC"/>
          <w:sz w:val="20"/>
        </w:rPr>
        <w:t xml:space="preserve">•  </w:t>
      </w:r>
      <w:r>
        <w:rPr>
          <w:rFonts w:ascii="Calibri" w:hAnsi="Calibri"/>
          <w:color w:val="333333"/>
          <w:sz w:val="20"/>
        </w:rPr>
        <w:t>Priority Review: 25+ reviews</w:t>
      </w:r>
    </w:p>
    <w:p>
      <w:pPr>
        <w:spacing w:before="40" w:after="40"/>
        <w:ind w:left="504" w:hanging="216"/>
      </w:pPr>
      <w:r>
        <w:rPr>
          <w:rFonts w:ascii="Calibri" w:hAnsi="Calibri"/>
          <w:color w:val="1AAFCC"/>
          <w:sz w:val="20"/>
        </w:rPr>
        <w:t xml:space="preserve">•  </w:t>
      </w:r>
      <w:r>
        <w:rPr>
          <w:rFonts w:ascii="Calibri" w:hAnsi="Calibri"/>
          <w:color w:val="333333"/>
          <w:sz w:val="20"/>
        </w:rPr>
        <w:t>Accelerated Approval: 7 approvals (5 subsequently converted to regular approval based on confirmatory data)</w:t>
      </w:r>
    </w:p>
    <w:p>
      <w:pPr>
        <w:spacing w:before="40" w:after="40"/>
        <w:ind w:left="504" w:hanging="216"/>
      </w:pPr>
      <w:r>
        <w:rPr>
          <w:rFonts w:ascii="Calibri" w:hAnsi="Calibri"/>
          <w:color w:val="1AAFCC"/>
          <w:sz w:val="20"/>
        </w:rPr>
        <w:t xml:space="preserve">•  </w:t>
      </w:r>
      <w:r>
        <w:rPr>
          <w:rFonts w:ascii="Calibri" w:hAnsi="Calibri"/>
          <w:color w:val="333333"/>
          <w:sz w:val="20"/>
        </w:rPr>
        <w:t>RTOR: 8+ applications</w:t>
      </w:r>
    </w:p>
    <w:p>
      <w:pPr>
        <w:spacing w:before="80" w:after="80"/>
        <w:pBdr>
          <w:bottom w:val="single" w:sz="6" w:color="1AAFCC"/>
        </w:pBdr>
      </w:pPr>
    </w:p>
    <w:p>
      <w:pPr>
        <w:pStyle w:val="Heading1"/>
        <w:spacing w:before="400" w:after="160"/>
      </w:pPr>
      <w:r>
        <w:rPr>
          <w:rFonts w:ascii="Calibri" w:hAnsi="Calibri"/>
          <w:b/>
          <w:color w:val="1B2333"/>
          <w:sz w:val="32"/>
        </w:rPr>
        <w:t>6. Advanced Competitive Intelligence</w:t>
      </w:r>
    </w:p>
    <w:p>
      <w:pPr>
        <w:pStyle w:val="Heading2"/>
        <w:spacing w:before="280" w:after="120"/>
      </w:pPr>
      <w:r>
        <w:rPr>
          <w:rFonts w:ascii="Calibri" w:hAnsi="Calibri"/>
          <w:b/>
          <w:color w:val="1AAFCC"/>
          <w:sz w:val="26"/>
        </w:rPr>
        <w:t>Pipeline Tracking Methodologies</w:t>
      </w:r>
    </w:p>
    <w:p>
      <w:pPr>
        <w:spacing w:before="0" w:after="120"/>
      </w:pPr>
      <w:r>
        <w:rPr>
          <w:rFonts w:ascii="Calibri" w:hAnsi="Calibri"/>
          <w:color w:val="333333"/>
          <w:sz w:val="20"/>
        </w:rPr>
        <w:t>Effective competitive intelligence requires systematic tracking of competitor pipelines across multiple dimensions:</w:t>
      </w:r>
    </w:p>
    <w:p>
      <w:pPr>
        <w:spacing w:before="0" w:after="120"/>
      </w:pPr>
      <w:r>
        <w:rPr>
          <w:rFonts w:ascii="Calibri" w:hAnsi="Calibri"/>
          <w:b/>
          <w:color w:val="333333"/>
          <w:sz w:val="20"/>
        </w:rPr>
        <w:t>Phase advancement rates.</w:t>
      </w:r>
      <w:r>
        <w:rPr>
          <w:rFonts w:ascii="Calibri" w:hAnsi="Calibri"/>
          <w:color w:val="333333"/>
          <w:sz w:val="20"/>
        </w:rPr>
        <w:t xml:space="preserve"> Historical probability of success (POS) data from industry databases (Citeline Pharmaprognosis, BIO/QLS Advisors) provides benchmarks for estimating when a competitor will advance: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Transition</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Overall POS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Oncology POS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Rare Disease POS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1 to Phase 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65%</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2 to 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3 to Filing</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67%</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Filing to Approval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93%</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1 to Approval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16.3%</w:t>
            </w:r>
          </w:p>
        </w:tc>
      </w:tr>
    </w:tbl>
    <w:p>
      <w:pPr>
        <w:spacing w:before="40" w:after="80"/>
      </w:pPr>
    </w:p>
    <w:p>
      <w:pPr>
        <w:spacing w:before="0" w:after="120"/>
      </w:pPr>
      <w:r>
        <w:rPr>
          <w:rFonts w:ascii="Calibri" w:hAnsi="Calibri"/>
          <w:b/>
          <w:color w:val="333333"/>
          <w:sz w:val="20"/>
        </w:rPr>
        <w:t>Enrollment velocity.</w:t>
      </w:r>
      <w:r>
        <w:rPr>
          <w:rFonts w:ascii="Calibri" w:hAnsi="Calibri"/>
          <w:color w:val="333333"/>
          <w:sz w:val="20"/>
        </w:rPr>
        <w:t xml:space="preserve"> ClinicalTrials.gov provides estimated start dates, target enrollment, and study status updates. Enrollment velocity (patients per site per month) varies by indication:</w:t>
      </w:r>
    </w:p>
    <w:p>
      <w:pPr>
        <w:spacing w:before="40" w:after="40"/>
        <w:ind w:left="504" w:hanging="216"/>
      </w:pPr>
      <w:r>
        <w:rPr>
          <w:rFonts w:ascii="Calibri" w:hAnsi="Calibri"/>
          <w:color w:val="1AAFCC"/>
          <w:sz w:val="20"/>
        </w:rPr>
        <w:t xml:space="preserve">•  </w:t>
      </w:r>
      <w:r>
        <w:rPr>
          <w:rFonts w:ascii="Calibri" w:hAnsi="Calibri"/>
          <w:color w:val="333333"/>
          <w:sz w:val="20"/>
        </w:rPr>
        <w:t>Common cancers (NSCLC, breast): 0.5-1.0 patients/site/month</w:t>
      </w:r>
    </w:p>
    <w:p>
      <w:pPr>
        <w:spacing w:before="40" w:after="40"/>
        <w:ind w:left="504" w:hanging="216"/>
      </w:pPr>
      <w:r>
        <w:rPr>
          <w:rFonts w:ascii="Calibri" w:hAnsi="Calibri"/>
          <w:color w:val="1AAFCC"/>
          <w:sz w:val="20"/>
        </w:rPr>
        <w:t xml:space="preserve">•  </w:t>
      </w:r>
      <w:r>
        <w:rPr>
          <w:rFonts w:ascii="Calibri" w:hAnsi="Calibri"/>
          <w:color w:val="333333"/>
          <w:sz w:val="20"/>
        </w:rPr>
        <w:t>Rare cancers: 0.1-0.3 patients/site/month</w:t>
      </w:r>
    </w:p>
    <w:p>
      <w:pPr>
        <w:spacing w:before="40" w:after="40"/>
        <w:ind w:left="504" w:hanging="216"/>
      </w:pPr>
      <w:r>
        <w:rPr>
          <w:rFonts w:ascii="Calibri" w:hAnsi="Calibri"/>
          <w:color w:val="1AAFCC"/>
          <w:sz w:val="20"/>
        </w:rPr>
        <w:t xml:space="preserve">•  </w:t>
      </w:r>
      <w:r>
        <w:rPr>
          <w:rFonts w:ascii="Calibri" w:hAnsi="Calibri"/>
          <w:color w:val="333333"/>
          <w:sz w:val="20"/>
        </w:rPr>
        <w:t>Cardiovascular outcomes trials: 0.3-0.8 patients/site/month</w:t>
      </w:r>
    </w:p>
    <w:p>
      <w:pPr>
        <w:spacing w:before="40" w:after="40"/>
        <w:ind w:left="504" w:hanging="216"/>
      </w:pPr>
      <w:r>
        <w:rPr>
          <w:rFonts w:ascii="Calibri" w:hAnsi="Calibri"/>
          <w:color w:val="1AAFCC"/>
          <w:sz w:val="20"/>
        </w:rPr>
        <w:t xml:space="preserve">•  </w:t>
      </w:r>
      <w:r>
        <w:rPr>
          <w:rFonts w:ascii="Calibri" w:hAnsi="Calibri"/>
          <w:color w:val="333333"/>
          <w:sz w:val="20"/>
        </w:rPr>
        <w:t>Rare diseases: 0.05-0.2 patients/site/month</w:t>
      </w:r>
    </w:p>
    <w:p>
      <w:pPr>
        <w:spacing w:before="0" w:after="120"/>
      </w:pPr>
      <w:r>
        <w:rPr>
          <w:rFonts w:ascii="Calibri" w:hAnsi="Calibri"/>
          <w:color w:val="333333"/>
          <w:sz w:val="20"/>
        </w:rPr>
        <w:t>By monitoring study status transitions (Recruiting to Active, Not Recruiting to Completed) and cross-referencing with estimated enrollment, analysts can estimate competitor trial completion dates.</w:t>
      </w:r>
    </w:p>
    <w:p>
      <w:pPr>
        <w:pStyle w:val="Heading2"/>
        <w:spacing w:before="280" w:after="120"/>
      </w:pPr>
      <w:r>
        <w:rPr>
          <w:rFonts w:ascii="Calibri" w:hAnsi="Calibri"/>
          <w:b/>
          <w:color w:val="1AAFCC"/>
          <w:sz w:val="26"/>
        </w:rPr>
        <w:t>Patent Cliff Analysis and Loss of Exclusivity</w:t>
      </w:r>
    </w:p>
    <w:p>
      <w:pPr>
        <w:spacing w:before="0" w:after="120"/>
      </w:pPr>
      <w:r>
        <w:rPr>
          <w:rFonts w:ascii="Calibri" w:hAnsi="Calibri"/>
          <w:color w:val="333333"/>
          <w:sz w:val="20"/>
        </w:rPr>
        <w:t>Loss of exclusivity (LOE) is the date when a drug's patent protection and regulatory exclusivity expire, enabling generic or biosimilar competition. LOE modeling requires analysis of multiple overlapping protections:</w:t>
      </w:r>
    </w:p>
    <w:p>
      <w:pPr>
        <w:spacing w:before="0" w:after="120"/>
      </w:pPr>
      <w:r>
        <w:rPr>
          <w:rFonts w:ascii="Calibri" w:hAnsi="Calibri"/>
          <w:b/>
          <w:color w:val="333333"/>
          <w:sz w:val="20"/>
        </w:rPr>
        <w:t>Patent layers:</w:t>
      </w:r>
    </w:p>
    <w:p>
      <w:pPr>
        <w:spacing w:before="40" w:after="40"/>
        <w:ind w:left="504" w:hanging="216"/>
      </w:pPr>
      <w:r>
        <w:rPr>
          <w:rFonts w:ascii="Calibri" w:hAnsi="Calibri"/>
          <w:color w:val="1AAFCC"/>
          <w:sz w:val="20"/>
        </w:rPr>
        <w:t xml:space="preserve">•  </w:t>
      </w:r>
      <w:r>
        <w:rPr>
          <w:rFonts w:ascii="Calibri" w:hAnsi="Calibri"/>
          <w:color w:val="333333"/>
          <w:sz w:val="20"/>
        </w:rPr>
        <w:t>Composition of matter patent (strongest, typically expires first)</w:t>
      </w:r>
    </w:p>
    <w:p>
      <w:pPr>
        <w:spacing w:before="40" w:after="40"/>
        <w:ind w:left="504" w:hanging="216"/>
      </w:pPr>
      <w:r>
        <w:rPr>
          <w:rFonts w:ascii="Calibri" w:hAnsi="Calibri"/>
          <w:color w:val="1AAFCC"/>
          <w:sz w:val="20"/>
        </w:rPr>
        <w:t xml:space="preserve">•  </w:t>
      </w:r>
      <w:r>
        <w:rPr>
          <w:rFonts w:ascii="Calibri" w:hAnsi="Calibri"/>
          <w:color w:val="333333"/>
          <w:sz w:val="20"/>
        </w:rPr>
        <w:t>Formulation patents (can extend protection 2-5 years)</w:t>
      </w:r>
    </w:p>
    <w:p>
      <w:pPr>
        <w:spacing w:before="40" w:after="40"/>
        <w:ind w:left="504" w:hanging="216"/>
      </w:pPr>
      <w:r>
        <w:rPr>
          <w:rFonts w:ascii="Calibri" w:hAnsi="Calibri"/>
          <w:color w:val="1AAFCC"/>
          <w:sz w:val="20"/>
        </w:rPr>
        <w:t xml:space="preserve">•  </w:t>
      </w:r>
      <w:r>
        <w:rPr>
          <w:rFonts w:ascii="Calibri" w:hAnsi="Calibri"/>
          <w:color w:val="333333"/>
          <w:sz w:val="20"/>
        </w:rPr>
        <w:t>Method of use patents (specific indication coverage)</w:t>
      </w:r>
    </w:p>
    <w:p>
      <w:pPr>
        <w:spacing w:before="40" w:after="40"/>
        <w:ind w:left="504" w:hanging="216"/>
      </w:pPr>
      <w:r>
        <w:rPr>
          <w:rFonts w:ascii="Calibri" w:hAnsi="Calibri"/>
          <w:color w:val="1AAFCC"/>
          <w:sz w:val="20"/>
        </w:rPr>
        <w:t xml:space="preserve">•  </w:t>
      </w:r>
      <w:r>
        <w:rPr>
          <w:rFonts w:ascii="Calibri" w:hAnsi="Calibri"/>
          <w:color w:val="333333"/>
          <w:sz w:val="20"/>
        </w:rPr>
        <w:t>Process patents (manufacturing methods)</w:t>
      </w:r>
    </w:p>
    <w:p>
      <w:pPr>
        <w:spacing w:before="0" w:after="120"/>
      </w:pPr>
      <w:r>
        <w:rPr>
          <w:rFonts w:ascii="Calibri" w:hAnsi="Calibri"/>
          <w:b/>
          <w:color w:val="333333"/>
          <w:sz w:val="20"/>
        </w:rPr>
        <w:t>Regulatory exclusivity:</w:t>
      </w:r>
    </w:p>
    <w:p>
      <w:pPr>
        <w:spacing w:before="40" w:after="40"/>
        <w:ind w:left="504" w:hanging="216"/>
      </w:pPr>
      <w:r>
        <w:rPr>
          <w:rFonts w:ascii="Calibri" w:hAnsi="Calibri"/>
          <w:color w:val="1AAFCC"/>
          <w:sz w:val="20"/>
        </w:rPr>
        <w:t xml:space="preserve">•  </w:t>
      </w:r>
      <w:r>
        <w:rPr>
          <w:rFonts w:ascii="Calibri" w:hAnsi="Calibri"/>
          <w:color w:val="333333"/>
          <w:sz w:val="20"/>
        </w:rPr>
        <w:t>New Chemical Entity (NCE): 5 years (US), 8 years (EU)</w:t>
      </w:r>
    </w:p>
    <w:p>
      <w:pPr>
        <w:spacing w:before="40" w:after="40"/>
        <w:ind w:left="504" w:hanging="216"/>
      </w:pPr>
      <w:r>
        <w:rPr>
          <w:rFonts w:ascii="Calibri" w:hAnsi="Calibri"/>
          <w:color w:val="1AAFCC"/>
          <w:sz w:val="20"/>
        </w:rPr>
        <w:t xml:space="preserve">•  </w:t>
      </w:r>
      <w:r>
        <w:rPr>
          <w:rFonts w:ascii="Calibri" w:hAnsi="Calibri"/>
          <w:color w:val="333333"/>
          <w:sz w:val="20"/>
        </w:rPr>
        <w:t>New Biologic: 12 years (US), 10 years (EU)</w:t>
      </w:r>
    </w:p>
    <w:p>
      <w:pPr>
        <w:spacing w:before="40" w:after="40"/>
        <w:ind w:left="504" w:hanging="216"/>
      </w:pPr>
      <w:r>
        <w:rPr>
          <w:rFonts w:ascii="Calibri" w:hAnsi="Calibri"/>
          <w:color w:val="1AAFCC"/>
          <w:sz w:val="20"/>
        </w:rPr>
        <w:t xml:space="preserve">•  </w:t>
      </w:r>
      <w:r>
        <w:rPr>
          <w:rFonts w:ascii="Calibri" w:hAnsi="Calibri"/>
          <w:color w:val="333333"/>
          <w:sz w:val="20"/>
        </w:rPr>
        <w:t>Orphan Drug: 7 years (US), 10 years (EU)</w:t>
      </w:r>
    </w:p>
    <w:p>
      <w:pPr>
        <w:spacing w:before="40" w:after="40"/>
        <w:ind w:left="504" w:hanging="216"/>
      </w:pPr>
      <w:r>
        <w:rPr>
          <w:rFonts w:ascii="Calibri" w:hAnsi="Calibri"/>
          <w:color w:val="1AAFCC"/>
          <w:sz w:val="20"/>
        </w:rPr>
        <w:t xml:space="preserve">•  </w:t>
      </w:r>
      <w:r>
        <w:rPr>
          <w:rFonts w:ascii="Calibri" w:hAnsi="Calibri"/>
          <w:color w:val="333333"/>
          <w:sz w:val="20"/>
        </w:rPr>
        <w:t>Pediatric exclusivity: Additional 6 months (US)</w:t>
      </w:r>
    </w:p>
    <w:p>
      <w:pPr>
        <w:spacing w:before="0" w:after="120"/>
      </w:pPr>
      <w:r>
        <w:rPr>
          <w:rFonts w:ascii="Calibri" w:hAnsi="Calibri"/>
          <w:b/>
          <w:color w:val="333333"/>
          <w:sz w:val="20"/>
        </w:rPr>
        <w:t>Impact on clinical trial strategy:</w:t>
      </w:r>
      <w:r>
        <w:rPr>
          <w:rFonts w:ascii="Calibri" w:hAnsi="Calibri"/>
          <w:color w:val="333333"/>
          <w:sz w:val="20"/>
        </w:rPr>
        <w:t xml:space="preserve"> A competitor facing LOE in 2-3 years may not invest in new indications. Conversely, a sponsor seeking to extend commercial life may initiate trials in new indications or combinations to obtain new patents or regulatory exclusivity.</w:t>
      </w:r>
    </w:p>
    <w:p>
      <w:pPr>
        <w:pStyle w:val="Heading2"/>
        <w:spacing w:before="280" w:after="120"/>
      </w:pPr>
      <w:r>
        <w:rPr>
          <w:rFonts w:ascii="Calibri" w:hAnsi="Calibri"/>
          <w:b/>
          <w:color w:val="1AAFCC"/>
          <w:sz w:val="26"/>
        </w:rPr>
        <w:t>Competitive Enrollment Modeling</w:t>
      </w:r>
    </w:p>
    <w:p>
      <w:pPr>
        <w:spacing w:before="0" w:after="120"/>
      </w:pPr>
      <w:r>
        <w:rPr>
          <w:rFonts w:ascii="Calibri" w:hAnsi="Calibri"/>
          <w:color w:val="333333"/>
          <w:sz w:val="20"/>
        </w:rPr>
        <w:t>When multiple trials compete for the same patient population, enrollment becomes a zero-sum game. The Clinical Trial Intelligence Agent models competitive enrollment dynamics using publicly available ClinicalTrials.gov data.</w:t>
      </w:r>
    </w:p>
    <w:p>
      <w:pPr>
        <w:spacing w:before="0" w:after="120"/>
      </w:pPr>
      <w:r>
        <w:rPr>
          <w:rFonts w:ascii="Calibri" w:hAnsi="Calibri"/>
          <w:b/>
          <w:color w:val="333333"/>
          <w:sz w:val="20"/>
        </w:rPr>
        <w:t>Model inputs:</w:t>
      </w:r>
    </w:p>
    <w:p>
      <w:pPr>
        <w:spacing w:before="40" w:after="40"/>
        <w:ind w:left="504" w:hanging="216"/>
      </w:pPr>
      <w:r>
        <w:rPr>
          <w:rFonts w:ascii="Calibri" w:hAnsi="Calibri"/>
          <w:color w:val="1AAFCC"/>
          <w:sz w:val="20"/>
        </w:rPr>
        <w:t xml:space="preserve">•  </w:t>
      </w:r>
      <w:r>
        <w:rPr>
          <w:rFonts w:ascii="Calibri" w:hAnsi="Calibri"/>
          <w:color w:val="333333"/>
          <w:sz w:val="20"/>
        </w:rPr>
        <w:t>Number of competing trials in the same indication recruiting simultaneously</w:t>
      </w:r>
    </w:p>
    <w:p>
      <w:pPr>
        <w:spacing w:before="40" w:after="40"/>
        <w:ind w:left="504" w:hanging="216"/>
      </w:pPr>
      <w:r>
        <w:rPr>
          <w:rFonts w:ascii="Calibri" w:hAnsi="Calibri"/>
          <w:color w:val="1AAFCC"/>
          <w:sz w:val="20"/>
        </w:rPr>
        <w:t xml:space="preserve">•  </w:t>
      </w:r>
      <w:r>
        <w:rPr>
          <w:rFonts w:ascii="Calibri" w:hAnsi="Calibri"/>
          <w:color w:val="333333"/>
          <w:sz w:val="20"/>
        </w:rPr>
        <w:t>Target enrollment for each trial</w:t>
      </w:r>
    </w:p>
    <w:p>
      <w:pPr>
        <w:spacing w:before="40" w:after="40"/>
        <w:ind w:left="504" w:hanging="216"/>
      </w:pPr>
      <w:r>
        <w:rPr>
          <w:rFonts w:ascii="Calibri" w:hAnsi="Calibri"/>
          <w:color w:val="1AAFCC"/>
          <w:sz w:val="20"/>
        </w:rPr>
        <w:t xml:space="preserve">•  </w:t>
      </w:r>
      <w:r>
        <w:rPr>
          <w:rFonts w:ascii="Calibri" w:hAnsi="Calibri"/>
          <w:color w:val="333333"/>
          <w:sz w:val="20"/>
        </w:rPr>
        <w:t>Number of sites per trial</w:t>
      </w:r>
    </w:p>
    <w:p>
      <w:pPr>
        <w:spacing w:before="40" w:after="40"/>
        <w:ind w:left="504" w:hanging="216"/>
      </w:pPr>
      <w:r>
        <w:rPr>
          <w:rFonts w:ascii="Calibri" w:hAnsi="Calibri"/>
          <w:color w:val="1AAFCC"/>
          <w:sz w:val="20"/>
        </w:rPr>
        <w:t xml:space="preserve">•  </w:t>
      </w:r>
      <w:r>
        <w:rPr>
          <w:rFonts w:ascii="Calibri" w:hAnsi="Calibri"/>
          <w:color w:val="333333"/>
          <w:sz w:val="20"/>
        </w:rPr>
        <w:t>Geographic overlap between trials</w:t>
      </w:r>
    </w:p>
    <w:p>
      <w:pPr>
        <w:spacing w:before="0" w:after="120"/>
      </w:pPr>
      <w:r>
        <w:rPr>
          <w:rFonts w:ascii="Calibri" w:hAnsi="Calibri"/>
          <w:b/>
          <w:color w:val="333333"/>
          <w:sz w:val="20"/>
        </w:rPr>
        <w:t>Key finding (Getz, Tufts CSDD):</w:t>
      </w:r>
      <w:r>
        <w:rPr>
          <w:rFonts w:ascii="Calibri" w:hAnsi="Calibri"/>
          <w:color w:val="333333"/>
          <w:sz w:val="20"/>
        </w:rPr>
        <w:t xml:space="preserve"> Each additional competing trial in the same indication reduces enrollment velocity by 6-8%. In PD-(L)1 combinations for NSCLC, peak competition (2018-2020) had 50+ trials competing for the same patient population, reducing average enrollment velocity by 40% vs. historical benchmarks.</w:t>
      </w:r>
    </w:p>
    <w:p>
      <w:pPr>
        <w:pStyle w:val="Heading2"/>
        <w:spacing w:before="280" w:after="120"/>
      </w:pPr>
      <w:r>
        <w:rPr>
          <w:rFonts w:ascii="Calibri" w:hAnsi="Calibri"/>
          <w:b/>
          <w:color w:val="1AAFCC"/>
          <w:sz w:val="26"/>
        </w:rPr>
        <w:t>First-Mover vs. Fast-Follower Strategies</w:t>
      </w:r>
    </w:p>
    <w:p>
      <w:pPr>
        <w:spacing w:before="0" w:after="120"/>
      </w:pPr>
      <w:r>
        <w:rPr>
          <w:rFonts w:ascii="Calibri" w:hAnsi="Calibri"/>
          <w:b/>
          <w:color w:val="333333"/>
          <w:sz w:val="20"/>
        </w:rPr>
        <w:t>First-mover advantages in oncology:</w:t>
      </w:r>
    </w:p>
    <w:p>
      <w:pPr>
        <w:spacing w:before="40" w:after="40"/>
        <w:ind w:left="504" w:hanging="216"/>
      </w:pPr>
      <w:r>
        <w:rPr>
          <w:rFonts w:ascii="Calibri" w:hAnsi="Calibri"/>
          <w:color w:val="1AAFCC"/>
          <w:sz w:val="20"/>
        </w:rPr>
        <w:t xml:space="preserve">•  </w:t>
      </w:r>
      <w:r>
        <w:rPr>
          <w:rFonts w:ascii="Calibri" w:hAnsi="Calibri"/>
          <w:color w:val="333333"/>
          <w:sz w:val="20"/>
        </w:rPr>
        <w:t>Establishes standard of care (SOC) and becomes the control arm for subsequent trials</w:t>
      </w:r>
    </w:p>
    <w:p>
      <w:pPr>
        <w:spacing w:before="40" w:after="40"/>
        <w:ind w:left="504" w:hanging="216"/>
      </w:pPr>
      <w:r>
        <w:rPr>
          <w:rFonts w:ascii="Calibri" w:hAnsi="Calibri"/>
          <w:color w:val="1AAFCC"/>
          <w:sz w:val="20"/>
        </w:rPr>
        <w:t xml:space="preserve">•  </w:t>
      </w:r>
      <w:r>
        <w:rPr>
          <w:rFonts w:ascii="Calibri" w:hAnsi="Calibri"/>
          <w:color w:val="333333"/>
          <w:sz w:val="20"/>
        </w:rPr>
        <w:t>Captures formulary positions and treatment guidelines early</w:t>
      </w:r>
    </w:p>
    <w:p>
      <w:pPr>
        <w:spacing w:before="40" w:after="40"/>
        <w:ind w:left="504" w:hanging="216"/>
      </w:pPr>
      <w:r>
        <w:rPr>
          <w:rFonts w:ascii="Calibri" w:hAnsi="Calibri"/>
          <w:color w:val="1AAFCC"/>
          <w:sz w:val="20"/>
        </w:rPr>
        <w:t xml:space="preserve">•  </w:t>
      </w:r>
      <w:r>
        <w:rPr>
          <w:rFonts w:ascii="Calibri" w:hAnsi="Calibri"/>
          <w:color w:val="333333"/>
          <w:sz w:val="20"/>
        </w:rPr>
        <w:t>Builds real-world evidence and clinical experience</w:t>
      </w:r>
    </w:p>
    <w:p>
      <w:pPr>
        <w:spacing w:before="40" w:after="40"/>
        <w:ind w:left="504" w:hanging="216"/>
      </w:pPr>
      <w:r>
        <w:rPr>
          <w:rFonts w:ascii="Calibri" w:hAnsi="Calibri"/>
          <w:color w:val="1AAFCC"/>
          <w:sz w:val="20"/>
        </w:rPr>
        <w:t xml:space="preserve">•  </w:t>
      </w:r>
      <w:r>
        <w:rPr>
          <w:rFonts w:ascii="Calibri" w:hAnsi="Calibri"/>
          <w:color w:val="333333"/>
          <w:sz w:val="20"/>
        </w:rPr>
        <w:t>Example: Pembrolizumab's early approval in PD-L1-high NSCLC made it the SOC, forcing competitors to demonstrate superiority rather than placebo-controlled efficacy</w:t>
      </w:r>
    </w:p>
    <w:p>
      <w:pPr>
        <w:spacing w:before="0" w:after="120"/>
      </w:pPr>
      <w:r>
        <w:rPr>
          <w:rFonts w:ascii="Calibri" w:hAnsi="Calibri"/>
          <w:b/>
          <w:color w:val="333333"/>
          <w:sz w:val="20"/>
        </w:rPr>
        <w:t>Fast-follower advantages:</w:t>
      </w:r>
    </w:p>
    <w:p>
      <w:pPr>
        <w:spacing w:before="40" w:after="40"/>
        <w:ind w:left="504" w:hanging="216"/>
      </w:pPr>
      <w:r>
        <w:rPr>
          <w:rFonts w:ascii="Calibri" w:hAnsi="Calibri"/>
          <w:color w:val="1AAFCC"/>
          <w:sz w:val="20"/>
        </w:rPr>
        <w:t xml:space="preserve">•  </w:t>
      </w:r>
      <w:r>
        <w:rPr>
          <w:rFonts w:ascii="Calibri" w:hAnsi="Calibri"/>
          <w:color w:val="333333"/>
          <w:sz w:val="20"/>
        </w:rPr>
        <w:t>Can learn from the first-mover's mistakes (safety signals, suboptimal dosing, wrong patient population)</w:t>
      </w:r>
    </w:p>
    <w:p>
      <w:pPr>
        <w:spacing w:before="40" w:after="40"/>
        <w:ind w:left="504" w:hanging="216"/>
      </w:pPr>
      <w:r>
        <w:rPr>
          <w:rFonts w:ascii="Calibri" w:hAnsi="Calibri"/>
          <w:color w:val="1AAFCC"/>
          <w:sz w:val="20"/>
        </w:rPr>
        <w:t xml:space="preserve">•  </w:t>
      </w:r>
      <w:r>
        <w:rPr>
          <w:rFonts w:ascii="Calibri" w:hAnsi="Calibri"/>
          <w:color w:val="333333"/>
          <w:sz w:val="20"/>
        </w:rPr>
        <w:t>Can design head-to-head trials using the first-mover as comparator to demonstrate differentiation</w:t>
      </w:r>
    </w:p>
    <w:p>
      <w:pPr>
        <w:spacing w:before="40" w:after="40"/>
        <w:ind w:left="504" w:hanging="216"/>
      </w:pPr>
      <w:r>
        <w:rPr>
          <w:rFonts w:ascii="Calibri" w:hAnsi="Calibri"/>
          <w:color w:val="1AAFCC"/>
          <w:sz w:val="20"/>
        </w:rPr>
        <w:t xml:space="preserve">•  </w:t>
      </w:r>
      <w:r>
        <w:rPr>
          <w:rFonts w:ascii="Calibri" w:hAnsi="Calibri"/>
          <w:color w:val="333333"/>
          <w:sz w:val="20"/>
        </w:rPr>
        <w:t>Can target underserved subpopulations identified from the first-mover's real-world data</w:t>
      </w:r>
    </w:p>
    <w:p>
      <w:pPr>
        <w:spacing w:before="40" w:after="40"/>
        <w:ind w:left="504" w:hanging="216"/>
      </w:pPr>
      <w:r>
        <w:rPr>
          <w:rFonts w:ascii="Calibri" w:hAnsi="Calibri"/>
          <w:color w:val="1AAFCC"/>
          <w:sz w:val="20"/>
        </w:rPr>
        <w:t xml:space="preserve">•  </w:t>
      </w:r>
      <w:r>
        <w:rPr>
          <w:rFonts w:ascii="Calibri" w:hAnsi="Calibri"/>
          <w:color w:val="333333"/>
          <w:sz w:val="20"/>
        </w:rPr>
        <w:t>Example: Nivolumab + ipilimumab (CheckMate-227) positioned as the combination option for patients who could not receive pembrolizumab monotherapy</w:t>
      </w:r>
    </w:p>
    <w:p>
      <w:pPr>
        <w:pStyle w:val="Heading2"/>
        <w:spacing w:before="280" w:after="120"/>
      </w:pPr>
      <w:r>
        <w:rPr>
          <w:rFonts w:ascii="Calibri" w:hAnsi="Calibri"/>
          <w:b/>
          <w:color w:val="1AAFCC"/>
          <w:sz w:val="26"/>
        </w:rPr>
        <w:t>Differentiation Assessment Frameworks</w:t>
      </w:r>
    </w:p>
    <w:p>
      <w:pPr>
        <w:spacing w:before="0" w:after="120"/>
      </w:pPr>
      <w:r>
        <w:rPr>
          <w:rFonts w:ascii="Calibri" w:hAnsi="Calibri"/>
          <w:color w:val="333333"/>
          <w:sz w:val="20"/>
        </w:rPr>
        <w:t>The Clinical Trial Intelligence Agent scores competitor threat using a five-factor model:</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Factor</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Weight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Dimensions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Efficacy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ORR, PFS, OS, response duration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Safety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Grade 3-4 AE rate, discontinuation rate, specific toxicities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Convenience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Dosing frequency, route of administration, monitoring requirements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 quality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 size, trial design (randomized vs. single-arm), comparator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Market access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Price, reimbursement status, geographic availability</w:t>
            </w:r>
          </w:p>
        </w:tc>
      </w:tr>
    </w:tbl>
    <w:p>
      <w:pPr>
        <w:spacing w:before="40" w:after="80"/>
      </w:pPr>
    </w:p>
    <w:p>
      <w:pPr>
        <w:spacing w:before="0" w:after="120"/>
      </w:pPr>
      <w:r>
        <w:rPr>
          <w:rFonts w:ascii="Calibri" w:hAnsi="Calibri"/>
          <w:b/>
          <w:color w:val="333333"/>
          <w:sz w:val="20"/>
        </w:rPr>
        <w:t>Output:</w:t>
      </w:r>
      <w:r>
        <w:rPr>
          <w:rFonts w:ascii="Calibri" w:hAnsi="Calibri"/>
          <w:color w:val="333333"/>
          <w:sz w:val="20"/>
        </w:rPr>
        <w:t xml:space="preserve"> A composite threat score (0-100) for each competitor, with a breakdown by factor and an overall competitive positioning map.</w:t>
      </w:r>
    </w:p>
    <w:p>
      <w:pPr>
        <w:pStyle w:val="Heading2"/>
        <w:spacing w:before="280" w:after="120"/>
      </w:pPr>
      <w:r>
        <w:rPr>
          <w:rFonts w:ascii="Calibri" w:hAnsi="Calibri"/>
          <w:b/>
          <w:color w:val="1AAFCC"/>
          <w:sz w:val="26"/>
        </w:rPr>
        <w:t>Case Study: PD-1/PD-L1 Competitive Landscape</w:t>
      </w:r>
    </w:p>
    <w:p>
      <w:pPr>
        <w:spacing w:before="0" w:after="120"/>
      </w:pPr>
      <w:r>
        <w:rPr>
          <w:rFonts w:ascii="Calibri" w:hAnsi="Calibri"/>
          <w:color w:val="333333"/>
          <w:sz w:val="20"/>
        </w:rPr>
        <w:t>The PD-1/PD-L1 inhibitor class is the most competitive space in the history of oncology drug development. Five agents have achieved blockbuster status: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Sponsor</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2024 Revenue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Differentiator</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Pembrolizumab (Keytruda)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Merck</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$25.0B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Broadest label, 30+ indications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Nivolumab (Opdivo)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BMS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CTLA-4 combination (ipilimumab)</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Atezolizumab (Tecentriq)</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PD-L1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Roche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IMpower combinations, subcutaneous formulation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Durvalumab (Imfinzi)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PD-L1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AstraZeneca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PACIFIC regimen (concurrent CRT + durvalumab)</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Cemiplimab (Libtayo)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Sanofi/Regeneron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Cutaneous SCC niche</w:t>
            </w:r>
          </w:p>
        </w:tc>
      </w:tr>
    </w:tbl>
    <w:p>
      <w:pPr>
        <w:spacing w:before="40" w:after="80"/>
      </w:pPr>
    </w:p>
    <w:p>
      <w:pPr>
        <w:spacing w:before="0" w:after="120"/>
      </w:pPr>
      <w:r>
        <w:rPr>
          <w:rFonts w:ascii="Calibri" w:hAnsi="Calibri"/>
          <w:b/>
          <w:color w:val="333333"/>
          <w:sz w:val="20"/>
        </w:rPr>
        <w:t>Competitive dynamics:</w:t>
      </w:r>
    </w:p>
    <w:p>
      <w:pPr>
        <w:spacing w:before="40" w:after="40"/>
        <w:ind w:left="504" w:hanging="216"/>
      </w:pPr>
      <w:r>
        <w:rPr>
          <w:rFonts w:ascii="Calibri" w:hAnsi="Calibri"/>
          <w:color w:val="1AAFCC"/>
          <w:sz w:val="20"/>
        </w:rPr>
        <w:t xml:space="preserve">•  </w:t>
      </w:r>
      <w:r>
        <w:rPr>
          <w:rFonts w:ascii="Calibri" w:hAnsi="Calibri"/>
          <w:color w:val="333333"/>
          <w:sz w:val="20"/>
        </w:rPr>
        <w:t>Pembrolizumab achieved first-mover advantage in multiple tumor types through the KEYNOTE program (120+ trials, 500,000+ patients)</w:t>
      </w:r>
    </w:p>
    <w:p>
      <w:pPr>
        <w:spacing w:before="40" w:after="40"/>
        <w:ind w:left="504" w:hanging="216"/>
      </w:pPr>
      <w:r>
        <w:rPr>
          <w:rFonts w:ascii="Calibri" w:hAnsi="Calibri"/>
          <w:color w:val="1AAFCC"/>
          <w:sz w:val="20"/>
        </w:rPr>
        <w:t xml:space="preserve">•  </w:t>
      </w:r>
      <w:r>
        <w:rPr>
          <w:rFonts w:ascii="Calibri" w:hAnsi="Calibri"/>
          <w:color w:val="333333"/>
          <w:sz w:val="20"/>
        </w:rPr>
        <w:t>Nivolumab differentiated through the CheckMate combination program (nivolumab + ipilimumab), capturing the dual-checkpoint niche</w:t>
      </w:r>
    </w:p>
    <w:p>
      <w:pPr>
        <w:spacing w:before="40" w:after="40"/>
        <w:ind w:left="504" w:hanging="216"/>
      </w:pPr>
      <w:r>
        <w:rPr>
          <w:rFonts w:ascii="Calibri" w:hAnsi="Calibri"/>
          <w:color w:val="1AAFCC"/>
          <w:sz w:val="20"/>
        </w:rPr>
        <w:t xml:space="preserve">•  </w:t>
      </w:r>
      <w:r>
        <w:rPr>
          <w:rFonts w:ascii="Calibri" w:hAnsi="Calibri"/>
          <w:color w:val="333333"/>
          <w:sz w:val="20"/>
        </w:rPr>
        <w:t>Atezolizumab focused on PD-L1-based combinations and subcutaneous formulation for convenience</w:t>
      </w:r>
    </w:p>
    <w:p>
      <w:pPr>
        <w:spacing w:before="40" w:after="40"/>
        <w:ind w:left="504" w:hanging="216"/>
      </w:pPr>
      <w:r>
        <w:rPr>
          <w:rFonts w:ascii="Calibri" w:hAnsi="Calibri"/>
          <w:color w:val="1AAFCC"/>
          <w:sz w:val="20"/>
        </w:rPr>
        <w:t xml:space="preserve">•  </w:t>
      </w:r>
      <w:r>
        <w:rPr>
          <w:rFonts w:ascii="Calibri" w:hAnsi="Calibri"/>
          <w:color w:val="333333"/>
          <w:sz w:val="20"/>
        </w:rPr>
        <w:t>Durvalumab captured the unresectable Stage III NSCLC niche through PACIFIC, a space without direct competition for years</w:t>
      </w:r>
    </w:p>
    <w:p>
      <w:pPr>
        <w:spacing w:before="0" w:after="120"/>
      </w:pPr>
      <w:r>
        <w:rPr>
          <w:rFonts w:ascii="Calibri" w:hAnsi="Calibri"/>
          <w:b/>
          <w:color w:val="333333"/>
          <w:sz w:val="20"/>
        </w:rPr>
        <w:t>Biosimilar horizon:</w:t>
      </w:r>
      <w:r>
        <w:rPr>
          <w:rFonts w:ascii="Calibri" w:hAnsi="Calibri"/>
          <w:color w:val="333333"/>
          <w:sz w:val="20"/>
        </w:rPr>
        <w:t xml:space="preserve"> Pembrolizumab's composition of matter patent expires in 2028 (US). Multiple biosimilar developers (Samsung Bioepis, Biocon, Coherus) have initiated clinical programs, with the first biosimilar pembrolizumab expected in 2029-2030.</w:t>
      </w:r>
    </w:p>
    <w:p>
      <w:pPr>
        <w:spacing w:before="80" w:after="80"/>
        <w:pBdr>
          <w:bottom w:val="single" w:sz="6" w:color="1AAFCC"/>
        </w:pBdr>
      </w:pPr>
    </w:p>
    <w:p>
      <w:pPr>
        <w:pStyle w:val="Heading1"/>
        <w:spacing w:before="400" w:after="160"/>
      </w:pPr>
      <w:r>
        <w:rPr>
          <w:rFonts w:ascii="Calibri" w:hAnsi="Calibri"/>
          <w:b/>
          <w:color w:val="1B2333"/>
          <w:sz w:val="32"/>
        </w:rPr>
        <w:t>7. Advanced Cross-Agent Intelligence</w:t>
      </w:r>
    </w:p>
    <w:p>
      <w:pPr>
        <w:spacing w:before="0" w:after="120"/>
      </w:pPr>
      <w:r>
        <w:rPr>
          <w:rFonts w:ascii="Calibri" w:hAnsi="Calibri"/>
          <w:color w:val="333333"/>
          <w:sz w:val="20"/>
        </w:rPr>
        <w:t>The Clinical Trial Intelligence Agent operates within the HCLS AI Factory's multi-agent ecosystem. Cross-agent queries enable a precision medicine workflow that combines genomic, pharmacogenomic, cardiac safety, and biomarker intelligence into unified trial decisions.</w:t>
      </w:r>
    </w:p>
    <w:p>
      <w:pPr>
        <w:pStyle w:val="Heading2"/>
        <w:spacing w:before="280" w:after="120"/>
      </w:pPr>
      <w:r>
        <w:rPr>
          <w:rFonts w:ascii="Calibri" w:hAnsi="Calibri"/>
          <w:b/>
          <w:color w:val="1AAFCC"/>
          <w:sz w:val="26"/>
        </w:rPr>
        <w:t>Molecular Matching: Oncology Agent</w:t>
      </w:r>
    </w:p>
    <w:p>
      <w:pPr>
        <w:spacing w:before="0" w:after="120"/>
      </w:pPr>
      <w:r>
        <w:rPr>
          <w:rFonts w:ascii="Calibri" w:hAnsi="Calibri"/>
          <w:color w:val="333333"/>
          <w:sz w:val="20"/>
        </w:rPr>
        <w:t>The Oncology Intelligence Agent maintains a database of genomic alterations and their associated targeted therapies. When the Clinical Trial Agent receives a patient profile with genomic variants, it queries the Oncology Agent to identify molecularly targeted trials.</w:t>
      </w:r>
    </w:p>
    <w:p>
      <w:pPr>
        <w:spacing w:before="0" w:after="120"/>
      </w:pPr>
      <w:r>
        <w:rPr>
          <w:rFonts w:ascii="Calibri" w:hAnsi="Calibri"/>
          <w:b/>
          <w:color w:val="333333"/>
          <w:sz w:val="20"/>
        </w:rPr>
        <w:t>Workflow:</w:t>
      </w:r>
    </w:p>
    <w:p>
      <w:pPr>
        <w:spacing w:before="40" w:after="40"/>
        <w:ind w:left="504" w:hanging="288"/>
      </w:pPr>
      <w:r>
        <w:rPr>
          <w:rFonts w:ascii="Calibri" w:hAnsi="Calibri"/>
          <w:b/>
          <w:color w:val="333333"/>
          <w:sz w:val="20"/>
        </w:rPr>
        <w:t xml:space="preserve">1.  </w:t>
      </w:r>
      <w:r>
        <w:rPr>
          <w:rFonts w:ascii="Calibri" w:hAnsi="Calibri"/>
          <w:color w:val="333333"/>
          <w:sz w:val="20"/>
        </w:rPr>
        <w:t>Clinical Trial Agent receives patient profile with genomic variants (e.g., EGFR L858R, TP53 R273H)</w:t>
      </w:r>
    </w:p>
    <w:p>
      <w:pPr>
        <w:spacing w:before="40" w:after="40"/>
        <w:ind w:left="504" w:hanging="288"/>
      </w:pPr>
      <w:r>
        <w:rPr>
          <w:rFonts w:ascii="Calibri" w:hAnsi="Calibri"/>
          <w:b/>
          <w:color w:val="333333"/>
          <w:sz w:val="20"/>
        </w:rPr>
        <w:t xml:space="preserve">2.  </w:t>
      </w:r>
      <w:r>
        <w:rPr>
          <w:rFonts w:ascii="Calibri" w:hAnsi="Calibri"/>
          <w:color w:val="333333"/>
          <w:sz w:val="20"/>
        </w:rPr>
        <w:t xml:space="preserve">Calls </w:t>
      </w:r>
      <w:r>
        <w:rPr>
          <w:rFonts w:ascii="Courier New" w:hAnsi="Courier New"/>
          <w:color w:val="444444"/>
          <w:sz w:val="18"/>
        </w:rPr>
        <w:t>query_oncology_agent()</w:t>
      </w:r>
      <w:r>
        <w:rPr>
          <w:rFonts w:ascii="Calibri" w:hAnsi="Calibri"/>
          <w:color w:val="333333"/>
          <w:sz w:val="20"/>
        </w:rPr>
        <w:t xml:space="preserve"> with the patient's biomarker and variant data</w:t>
      </w:r>
    </w:p>
    <w:p>
      <w:pPr>
        <w:spacing w:before="40" w:after="40"/>
        <w:ind w:left="504" w:hanging="288"/>
      </w:pPr>
      <w:r>
        <w:rPr>
          <w:rFonts w:ascii="Calibri" w:hAnsi="Calibri"/>
          <w:b/>
          <w:color w:val="333333"/>
          <w:sz w:val="20"/>
        </w:rPr>
        <w:t xml:space="preserve">3.  </w:t>
      </w:r>
      <w:r>
        <w:rPr>
          <w:rFonts w:ascii="Calibri" w:hAnsi="Calibri"/>
          <w:color w:val="333333"/>
          <w:sz w:val="20"/>
        </w:rPr>
        <w:t>Oncology Agent returns molecular matches: drugs targeting the patient's specific alterations, with evidence levels (FDA-approved, NCCN-recommended, clinical trial)</w:t>
      </w:r>
    </w:p>
    <w:p>
      <w:pPr>
        <w:spacing w:before="40" w:after="40"/>
        <w:ind w:left="504" w:hanging="288"/>
      </w:pPr>
      <w:r>
        <w:rPr>
          <w:rFonts w:ascii="Calibri" w:hAnsi="Calibri"/>
          <w:b/>
          <w:color w:val="333333"/>
          <w:sz w:val="20"/>
        </w:rPr>
        <w:t xml:space="preserve">4.  </w:t>
      </w:r>
      <w:r>
        <w:rPr>
          <w:rFonts w:ascii="Calibri" w:hAnsi="Calibri"/>
          <w:color w:val="333333"/>
          <w:sz w:val="20"/>
        </w:rPr>
        <w:t>Clinical Trial Agent cross-references molecular matches against active trial eligibility criteria</w:t>
      </w:r>
    </w:p>
    <w:p>
      <w:pPr>
        <w:spacing w:before="40" w:after="40"/>
        <w:ind w:left="504" w:hanging="288"/>
      </w:pPr>
      <w:r>
        <w:rPr>
          <w:rFonts w:ascii="Calibri" w:hAnsi="Calibri"/>
          <w:b/>
          <w:color w:val="333333"/>
          <w:sz w:val="20"/>
        </w:rPr>
        <w:t xml:space="preserve">5.  </w:t>
      </w:r>
      <w:r>
        <w:rPr>
          <w:rFonts w:ascii="Calibri" w:hAnsi="Calibri"/>
          <w:color w:val="333333"/>
          <w:sz w:val="20"/>
        </w:rPr>
        <w:t>Returns a ranked list of precision medicine trials with molecular match scores</w:t>
      </w:r>
    </w:p>
    <w:p>
      <w:pPr>
        <w:spacing w:before="0" w:after="120"/>
      </w:pPr>
      <w:r>
        <w:rPr>
          <w:rFonts w:ascii="Calibri" w:hAnsi="Calibri"/>
          <w:b/>
          <w:color w:val="333333"/>
          <w:sz w:val="20"/>
        </w:rPr>
        <w:t>Example:</w:t>
      </w:r>
      <w:r>
        <w:rPr>
          <w:rFonts w:ascii="Calibri" w:hAnsi="Calibri"/>
          <w:color w:val="333333"/>
          <w:sz w:val="20"/>
        </w:rPr>
        <w:t xml:space="preserve"> A patient with NSCLC harboring EGFR exon 19 deletion and MET amplification triggers a query to the Oncology Agent, which identifies trials for amivantamab + lazertinib (MARIPOSA, NCT04487080) and capmatinib + osimertinib combinations.</w:t>
      </w:r>
    </w:p>
    <w:p>
      <w:pPr>
        <w:pStyle w:val="Heading2"/>
        <w:spacing w:before="280" w:after="120"/>
      </w:pPr>
      <w:r>
        <w:rPr>
          <w:rFonts w:ascii="Calibri" w:hAnsi="Calibri"/>
          <w:b/>
          <w:color w:val="1AAFCC"/>
          <w:sz w:val="26"/>
        </w:rPr>
        <w:t>Metabolism Screening: PGx Agent</w:t>
      </w:r>
    </w:p>
    <w:p>
      <w:pPr>
        <w:spacing w:before="0" w:after="120"/>
      </w:pPr>
      <w:r>
        <w:rPr>
          <w:rFonts w:ascii="Calibri" w:hAnsi="Calibri"/>
          <w:color w:val="333333"/>
          <w:sz w:val="20"/>
        </w:rPr>
        <w:t>The Pharmacogenomics (PGx) Agent provides CYP450 metabolizer phenotype predictions that inform dose adjustment decisions in clinical trial protocols.</w:t>
      </w:r>
    </w:p>
    <w:p>
      <w:pPr>
        <w:spacing w:before="0" w:after="120"/>
      </w:pPr>
      <w:r>
        <w:rPr>
          <w:rFonts w:ascii="Calibri" w:hAnsi="Calibri"/>
          <w:b/>
          <w:color w:val="333333"/>
          <w:sz w:val="20"/>
        </w:rPr>
        <w:t>Workflow:</w:t>
      </w:r>
    </w:p>
    <w:p>
      <w:pPr>
        <w:spacing w:before="40" w:after="40"/>
        <w:ind w:left="504" w:hanging="288"/>
      </w:pPr>
      <w:r>
        <w:rPr>
          <w:rFonts w:ascii="Calibri" w:hAnsi="Calibri"/>
          <w:b/>
          <w:color w:val="333333"/>
          <w:sz w:val="20"/>
        </w:rPr>
        <w:t xml:space="preserve">1.  </w:t>
      </w:r>
      <w:r>
        <w:rPr>
          <w:rFonts w:ascii="Calibri" w:hAnsi="Calibri"/>
          <w:color w:val="333333"/>
          <w:sz w:val="20"/>
        </w:rPr>
        <w:t>Clinical Trial Agent identifies that a candidate trial uses a drug metabolized by CYP2D6 (e.g., tamoxifen, codeine, atomoxetine)</w:t>
      </w:r>
    </w:p>
    <w:p>
      <w:pPr>
        <w:spacing w:before="40" w:after="40"/>
        <w:ind w:left="504" w:hanging="288"/>
      </w:pPr>
      <w:r>
        <w:rPr>
          <w:rFonts w:ascii="Calibri" w:hAnsi="Calibri"/>
          <w:b/>
          <w:color w:val="333333"/>
          <w:sz w:val="20"/>
        </w:rPr>
        <w:t xml:space="preserve">2.  </w:t>
      </w:r>
      <w:r>
        <w:rPr>
          <w:rFonts w:ascii="Calibri" w:hAnsi="Calibri"/>
          <w:color w:val="333333"/>
          <w:sz w:val="20"/>
        </w:rPr>
        <w:t xml:space="preserve">Calls </w:t>
      </w:r>
      <w:r>
        <w:rPr>
          <w:rFonts w:ascii="Courier New" w:hAnsi="Courier New"/>
          <w:color w:val="444444"/>
          <w:sz w:val="18"/>
        </w:rPr>
        <w:t>query_pgx_agent()</w:t>
      </w:r>
      <w:r>
        <w:rPr>
          <w:rFonts w:ascii="Calibri" w:hAnsi="Calibri"/>
          <w:color w:val="333333"/>
          <w:sz w:val="20"/>
        </w:rPr>
        <w:t xml:space="preserve"> with the patient's CYP2D6 genotype</w:t>
      </w:r>
    </w:p>
    <w:p>
      <w:pPr>
        <w:spacing w:before="40" w:after="40"/>
        <w:ind w:left="504" w:hanging="288"/>
      </w:pPr>
      <w:r>
        <w:rPr>
          <w:rFonts w:ascii="Calibri" w:hAnsi="Calibri"/>
          <w:b/>
          <w:color w:val="333333"/>
          <w:sz w:val="20"/>
        </w:rPr>
        <w:t xml:space="preserve">3.  </w:t>
      </w:r>
      <w:r>
        <w:rPr>
          <w:rFonts w:ascii="Calibri" w:hAnsi="Calibri"/>
          <w:color w:val="333333"/>
          <w:sz w:val="20"/>
        </w:rPr>
        <w:t>PGx Agent returns metabolizer phenotype (ultra-rapid, extensive/normal, intermediate, poor) and dose adjustment recommendations per CPIC guidelines</w:t>
      </w:r>
    </w:p>
    <w:p>
      <w:pPr>
        <w:spacing w:before="40" w:after="40"/>
        <w:ind w:left="504" w:hanging="288"/>
      </w:pPr>
      <w:r>
        <w:rPr>
          <w:rFonts w:ascii="Calibri" w:hAnsi="Calibri"/>
          <w:b/>
          <w:color w:val="333333"/>
          <w:sz w:val="20"/>
        </w:rPr>
        <w:t xml:space="preserve">4.  </w:t>
      </w:r>
      <w:r>
        <w:rPr>
          <w:rFonts w:ascii="Calibri" w:hAnsi="Calibri"/>
          <w:color w:val="333333"/>
          <w:sz w:val="20"/>
        </w:rPr>
        <w:t>Clinical Trial Agent incorporates the metabolizer status into the eligibility assessment and flags dose-modification requirements</w:t>
      </w:r>
    </w:p>
    <w:p>
      <w:pPr>
        <w:spacing w:before="0" w:after="120"/>
      </w:pPr>
      <w:r>
        <w:rPr>
          <w:rFonts w:ascii="Calibri" w:hAnsi="Calibri"/>
          <w:b/>
          <w:color w:val="333333"/>
          <w:sz w:val="20"/>
        </w:rPr>
        <w:t>Clinical significance:</w:t>
      </w:r>
      <w:r>
        <w:rPr>
          <w:rFonts w:ascii="Calibri" w:hAnsi="Calibri"/>
          <w:color w:val="333333"/>
          <w:sz w:val="20"/>
        </w:rPr>
        <w:t xml:space="preserve"> CYP2D6 poor metabolizers (5-10% of Caucasians) may require dose reductions of 50% or more for CYP2D6 substrates. Ultra-rapid metabolizers (1-2% of Caucasians, up to 29% of Ethiopians) may require higher doses or alternative drugs.</w:t>
      </w:r>
    </w:p>
    <w:p>
      <w:pPr>
        <w:pStyle w:val="Heading2"/>
        <w:spacing w:before="280" w:after="120"/>
      </w:pPr>
      <w:r>
        <w:rPr>
          <w:rFonts w:ascii="Calibri" w:hAnsi="Calibri"/>
          <w:b/>
          <w:color w:val="1AAFCC"/>
          <w:sz w:val="26"/>
        </w:rPr>
        <w:t>Cardiac Safety: Cardiology Agent</w:t>
      </w:r>
    </w:p>
    <w:p>
      <w:pPr>
        <w:spacing w:before="0" w:after="120"/>
      </w:pPr>
      <w:r>
        <w:rPr>
          <w:rFonts w:ascii="Calibri" w:hAnsi="Calibri"/>
          <w:color w:val="333333"/>
          <w:sz w:val="20"/>
        </w:rPr>
        <w:t>The Cardiology Agent provides QTc assessment and cardiac risk evaluation, critical for drugs with potential cardiac toxicity.</w:t>
      </w:r>
    </w:p>
    <w:p>
      <w:pPr>
        <w:spacing w:before="0" w:after="120"/>
      </w:pPr>
      <w:r>
        <w:rPr>
          <w:rFonts w:ascii="Calibri" w:hAnsi="Calibri"/>
          <w:b/>
          <w:color w:val="333333"/>
          <w:sz w:val="20"/>
        </w:rPr>
        <w:t>Workflow:</w:t>
      </w:r>
    </w:p>
    <w:p>
      <w:pPr>
        <w:spacing w:before="40" w:after="40"/>
        <w:ind w:left="504" w:hanging="288"/>
      </w:pPr>
      <w:r>
        <w:rPr>
          <w:rFonts w:ascii="Calibri" w:hAnsi="Calibri"/>
          <w:b/>
          <w:color w:val="333333"/>
          <w:sz w:val="20"/>
        </w:rPr>
        <w:t xml:space="preserve">1.  </w:t>
      </w:r>
      <w:r>
        <w:rPr>
          <w:rFonts w:ascii="Calibri" w:hAnsi="Calibri"/>
          <w:color w:val="333333"/>
          <w:sz w:val="20"/>
        </w:rPr>
        <w:t>Clinical Trial Agent identifies that a candidate drug has a known QTc prolongation liability</w:t>
      </w:r>
    </w:p>
    <w:p>
      <w:pPr>
        <w:spacing w:before="40" w:after="40"/>
        <w:ind w:left="504" w:hanging="288"/>
      </w:pPr>
      <w:r>
        <w:rPr>
          <w:rFonts w:ascii="Calibri" w:hAnsi="Calibri"/>
          <w:b/>
          <w:color w:val="333333"/>
          <w:sz w:val="20"/>
        </w:rPr>
        <w:t xml:space="preserve">2.  </w:t>
      </w:r>
      <w:r>
        <w:rPr>
          <w:rFonts w:ascii="Calibri" w:hAnsi="Calibri"/>
          <w:color w:val="333333"/>
          <w:sz w:val="20"/>
        </w:rPr>
        <w:t xml:space="preserve">Calls </w:t>
      </w:r>
      <w:r>
        <w:rPr>
          <w:rFonts w:ascii="Courier New" w:hAnsi="Courier New"/>
          <w:color w:val="444444"/>
          <w:sz w:val="18"/>
        </w:rPr>
        <w:t>query_cardiology_agent()</w:t>
      </w:r>
      <w:r>
        <w:rPr>
          <w:rFonts w:ascii="Calibri" w:hAnsi="Calibri"/>
          <w:color w:val="333333"/>
          <w:sz w:val="20"/>
        </w:rPr>
        <w:t xml:space="preserve"> with the patient's baseline ECG data and cardiac history</w:t>
      </w:r>
    </w:p>
    <w:p>
      <w:pPr>
        <w:spacing w:before="40" w:after="40"/>
        <w:ind w:left="504" w:hanging="288"/>
      </w:pPr>
      <w:r>
        <w:rPr>
          <w:rFonts w:ascii="Calibri" w:hAnsi="Calibri"/>
          <w:b/>
          <w:color w:val="333333"/>
          <w:sz w:val="20"/>
        </w:rPr>
        <w:t xml:space="preserve">3.  </w:t>
      </w:r>
      <w:r>
        <w:rPr>
          <w:rFonts w:ascii="Calibri" w:hAnsi="Calibri"/>
          <w:color w:val="333333"/>
          <w:sz w:val="20"/>
        </w:rPr>
        <w:t>Cardiology Agent returns QTc risk assessment (low, moderate, high), recommended ECG monitoring schedule, and concomitant medication interaction warnings</w:t>
      </w:r>
    </w:p>
    <w:p>
      <w:pPr>
        <w:spacing w:before="40" w:after="40"/>
        <w:ind w:left="504" w:hanging="288"/>
      </w:pPr>
      <w:r>
        <w:rPr>
          <w:rFonts w:ascii="Calibri" w:hAnsi="Calibri"/>
          <w:b/>
          <w:color w:val="333333"/>
          <w:sz w:val="20"/>
        </w:rPr>
        <w:t xml:space="preserve">4.  </w:t>
      </w:r>
      <w:r>
        <w:rPr>
          <w:rFonts w:ascii="Calibri" w:hAnsi="Calibri"/>
          <w:color w:val="333333"/>
          <w:sz w:val="20"/>
        </w:rPr>
        <w:t>Clinical Trial Agent adjusts the trial's ECG monitoring protocol recommendations based on patient-specific cardiac risk</w:t>
      </w:r>
    </w:p>
    <w:p>
      <w:pPr>
        <w:spacing w:before="0" w:after="120"/>
      </w:pPr>
      <w:r>
        <w:rPr>
          <w:rFonts w:ascii="Calibri" w:hAnsi="Calibri"/>
          <w:b/>
          <w:color w:val="333333"/>
          <w:sz w:val="20"/>
        </w:rPr>
        <w:t>Regulatory context:</w:t>
      </w:r>
      <w:r>
        <w:rPr>
          <w:rFonts w:ascii="Calibri" w:hAnsi="Calibri"/>
          <w:color w:val="333333"/>
          <w:sz w:val="20"/>
        </w:rPr>
        <w:t xml:space="preserve"> ICH E14 (Clinical Evaluation of QT/QTc Interval Prolongation) requires a thorough QT study for most new drugs. The concentration-QTc modeling approach (exposure-response analysis) has largely replaced the traditional thorough QT study for many drug classes, per FDA guidance (2017).</w:t>
      </w:r>
    </w:p>
    <w:p>
      <w:pPr>
        <w:pStyle w:val="Heading2"/>
        <w:spacing w:before="280" w:after="120"/>
      </w:pPr>
      <w:r>
        <w:rPr>
          <w:rFonts w:ascii="Calibri" w:hAnsi="Calibri"/>
          <w:b/>
          <w:color w:val="1AAFCC"/>
          <w:sz w:val="26"/>
        </w:rPr>
        <w:t>Biomarker Enrichment: Biomarker Agent</w:t>
      </w:r>
    </w:p>
    <w:p>
      <w:pPr>
        <w:spacing w:before="0" w:after="120"/>
      </w:pPr>
      <w:r>
        <w:rPr>
          <w:rFonts w:ascii="Calibri" w:hAnsi="Calibri"/>
          <w:color w:val="333333"/>
          <w:sz w:val="20"/>
        </w:rPr>
        <w:t>The Biomarker Agent tracks biomarker trajectories over time, enabling adaptive biomarker-driven enrollment decisions.</w:t>
      </w:r>
    </w:p>
    <w:p>
      <w:pPr>
        <w:spacing w:before="0" w:after="120"/>
      </w:pPr>
      <w:r>
        <w:rPr>
          <w:rFonts w:ascii="Calibri" w:hAnsi="Calibri"/>
          <w:b/>
          <w:color w:val="333333"/>
          <w:sz w:val="20"/>
        </w:rPr>
        <w:t>Workflow:</w:t>
      </w:r>
    </w:p>
    <w:p>
      <w:pPr>
        <w:spacing w:before="40" w:after="40"/>
        <w:ind w:left="504" w:hanging="288"/>
      </w:pPr>
      <w:r>
        <w:rPr>
          <w:rFonts w:ascii="Calibri" w:hAnsi="Calibri"/>
          <w:b/>
          <w:color w:val="333333"/>
          <w:sz w:val="20"/>
        </w:rPr>
        <w:t xml:space="preserve">1.  </w:t>
      </w:r>
      <w:r>
        <w:rPr>
          <w:rFonts w:ascii="Calibri" w:hAnsi="Calibri"/>
          <w:color w:val="333333"/>
          <w:sz w:val="20"/>
        </w:rPr>
        <w:t>Clinical Trial Agent designs an adaptive enrichment trial with a biomarker-based interim analysis</w:t>
      </w:r>
    </w:p>
    <w:p>
      <w:pPr>
        <w:spacing w:before="40" w:after="40"/>
        <w:ind w:left="504" w:hanging="288"/>
      </w:pPr>
      <w:r>
        <w:rPr>
          <w:rFonts w:ascii="Calibri" w:hAnsi="Calibri"/>
          <w:b/>
          <w:color w:val="333333"/>
          <w:sz w:val="20"/>
        </w:rPr>
        <w:t xml:space="preserve">2.  </w:t>
      </w:r>
      <w:r>
        <w:rPr>
          <w:rFonts w:ascii="Calibri" w:hAnsi="Calibri"/>
          <w:color w:val="333333"/>
          <w:sz w:val="20"/>
        </w:rPr>
        <w:t xml:space="preserve">Calls </w:t>
      </w:r>
      <w:r>
        <w:rPr>
          <w:rFonts w:ascii="Courier New" w:hAnsi="Courier New"/>
          <w:color w:val="444444"/>
          <w:sz w:val="18"/>
        </w:rPr>
        <w:t>query_biomarker_agent()</w:t>
      </w:r>
      <w:r>
        <w:rPr>
          <w:rFonts w:ascii="Calibri" w:hAnsi="Calibri"/>
          <w:color w:val="333333"/>
          <w:sz w:val="20"/>
        </w:rPr>
        <w:t xml:space="preserve"> with the biomarker panel and trajectory data</w:t>
      </w:r>
    </w:p>
    <w:p>
      <w:pPr>
        <w:spacing w:before="40" w:after="40"/>
        <w:ind w:left="504" w:hanging="288"/>
      </w:pPr>
      <w:r>
        <w:rPr>
          <w:rFonts w:ascii="Calibri" w:hAnsi="Calibri"/>
          <w:b/>
          <w:color w:val="333333"/>
          <w:sz w:val="20"/>
        </w:rPr>
        <w:t xml:space="preserve">3.  </w:t>
      </w:r>
      <w:r>
        <w:rPr>
          <w:rFonts w:ascii="Calibri" w:hAnsi="Calibri"/>
          <w:color w:val="333333"/>
          <w:sz w:val="20"/>
        </w:rPr>
        <w:t>Biomarker Agent returns enrichment recommendations: which biomarker subgroups show the strongest treatment signal, and what threshold should be used for enrichment</w:t>
      </w:r>
    </w:p>
    <w:p>
      <w:pPr>
        <w:spacing w:before="40" w:after="40"/>
        <w:ind w:left="504" w:hanging="288"/>
      </w:pPr>
      <w:r>
        <w:rPr>
          <w:rFonts w:ascii="Calibri" w:hAnsi="Calibri"/>
          <w:b/>
          <w:color w:val="333333"/>
          <w:sz w:val="20"/>
        </w:rPr>
        <w:t xml:space="preserve">4.  </w:t>
      </w:r>
      <w:r>
        <w:rPr>
          <w:rFonts w:ascii="Calibri" w:hAnsi="Calibri"/>
          <w:color w:val="333333"/>
          <w:sz w:val="20"/>
        </w:rPr>
        <w:t>Clinical Trial Agent updates the adaptive enrollment plan based on the biomarker intelligence</w:t>
      </w:r>
    </w:p>
    <w:p>
      <w:pPr>
        <w:pStyle w:val="Heading2"/>
        <w:spacing w:before="280" w:after="120"/>
      </w:pPr>
      <w:r>
        <w:rPr>
          <w:rFonts w:ascii="Calibri" w:hAnsi="Calibri"/>
          <w:b/>
          <w:color w:val="1AAFCC"/>
          <w:sz w:val="26"/>
        </w:rPr>
        <w:t>Event-Driven Coordination: SSE Event Bus</w:t>
      </w:r>
    </w:p>
    <w:p>
      <w:pPr>
        <w:spacing w:before="0" w:after="120"/>
      </w:pPr>
      <w:r>
        <w:rPr>
          <w:rFonts w:ascii="Calibri" w:hAnsi="Calibri"/>
          <w:color w:val="333333"/>
          <w:sz w:val="20"/>
        </w:rPr>
        <w:t>The HCLS AI Factory uses Server-Sent Events (SSE) for real-time inter-agent communication. The Clinical Trial Agent subscribes to events from peer agents and publishes trial-relevant events.</w:t>
      </w:r>
    </w:p>
    <w:p>
      <w:pPr>
        <w:spacing w:before="0" w:after="120"/>
      </w:pPr>
      <w:r>
        <w:rPr>
          <w:rFonts w:ascii="Calibri" w:hAnsi="Calibri"/>
          <w:b/>
          <w:color w:val="333333"/>
          <w:sz w:val="20"/>
        </w:rPr>
        <w:t>Event types consumed:</w:t>
      </w:r>
    </w:p>
    <w:p>
      <w:pPr>
        <w:spacing w:before="40" w:after="40"/>
        <w:ind w:left="504" w:hanging="216"/>
      </w:pPr>
      <w:r>
        <w:rPr>
          <w:rFonts w:ascii="Calibri" w:hAnsi="Calibri"/>
          <w:color w:val="1AAFCC"/>
          <w:sz w:val="20"/>
        </w:rPr>
        <w:t xml:space="preserve">•  </w:t>
      </w:r>
      <w:r>
        <w:rPr>
          <w:rFonts w:ascii="Courier New" w:hAnsi="Courier New"/>
          <w:color w:val="444444"/>
          <w:sz w:val="18"/>
        </w:rPr>
        <w:t>oncology.variant_detected</w:t>
      </w:r>
      <w:r>
        <w:rPr>
          <w:rFonts w:ascii="Calibri" w:hAnsi="Calibri"/>
          <w:color w:val="333333"/>
          <w:sz w:val="20"/>
        </w:rPr>
        <w:t xml:space="preserve"> -- triggers molecular trial matching</w:t>
      </w:r>
    </w:p>
    <w:p>
      <w:pPr>
        <w:spacing w:before="40" w:after="40"/>
        <w:ind w:left="504" w:hanging="216"/>
      </w:pPr>
      <w:r>
        <w:rPr>
          <w:rFonts w:ascii="Calibri" w:hAnsi="Calibri"/>
          <w:color w:val="1AAFCC"/>
          <w:sz w:val="20"/>
        </w:rPr>
        <w:t xml:space="preserve">•  </w:t>
      </w:r>
      <w:r>
        <w:rPr>
          <w:rFonts w:ascii="Courier New" w:hAnsi="Courier New"/>
          <w:color w:val="444444"/>
          <w:sz w:val="18"/>
        </w:rPr>
        <w:t>pgx.phenotype_updated</w:t>
      </w:r>
      <w:r>
        <w:rPr>
          <w:rFonts w:ascii="Calibri" w:hAnsi="Calibri"/>
          <w:color w:val="333333"/>
          <w:sz w:val="20"/>
        </w:rPr>
        <w:t xml:space="preserve"> -- triggers dose adjustment review</w:t>
      </w:r>
    </w:p>
    <w:p>
      <w:pPr>
        <w:spacing w:before="40" w:after="40"/>
        <w:ind w:left="504" w:hanging="216"/>
      </w:pPr>
      <w:r>
        <w:rPr>
          <w:rFonts w:ascii="Calibri" w:hAnsi="Calibri"/>
          <w:color w:val="1AAFCC"/>
          <w:sz w:val="20"/>
        </w:rPr>
        <w:t xml:space="preserve">•  </w:t>
      </w:r>
      <w:r>
        <w:rPr>
          <w:rFonts w:ascii="Courier New" w:hAnsi="Courier New"/>
          <w:color w:val="444444"/>
          <w:sz w:val="18"/>
        </w:rPr>
        <w:t>cardiology.qtc_alert</w:t>
      </w:r>
      <w:r>
        <w:rPr>
          <w:rFonts w:ascii="Calibri" w:hAnsi="Calibri"/>
          <w:color w:val="333333"/>
          <w:sz w:val="20"/>
        </w:rPr>
        <w:t xml:space="preserve"> -- triggers cardiac safety protocol review</w:t>
      </w:r>
    </w:p>
    <w:p>
      <w:pPr>
        <w:spacing w:before="40" w:after="40"/>
        <w:ind w:left="504" w:hanging="216"/>
      </w:pPr>
      <w:r>
        <w:rPr>
          <w:rFonts w:ascii="Calibri" w:hAnsi="Calibri"/>
          <w:color w:val="1AAFCC"/>
          <w:sz w:val="20"/>
        </w:rPr>
        <w:t xml:space="preserve">•  </w:t>
      </w:r>
      <w:r>
        <w:rPr>
          <w:rFonts w:ascii="Courier New" w:hAnsi="Courier New"/>
          <w:color w:val="444444"/>
          <w:sz w:val="18"/>
        </w:rPr>
        <w:t>biomarker.trajectory_shift</w:t>
      </w:r>
      <w:r>
        <w:rPr>
          <w:rFonts w:ascii="Calibri" w:hAnsi="Calibri"/>
          <w:color w:val="333333"/>
          <w:sz w:val="20"/>
        </w:rPr>
        <w:t xml:space="preserve"> -- triggers adaptive enrollment reassessment</w:t>
      </w:r>
    </w:p>
    <w:p>
      <w:pPr>
        <w:spacing w:before="0" w:after="120"/>
      </w:pPr>
      <w:r>
        <w:rPr>
          <w:rFonts w:ascii="Calibri" w:hAnsi="Calibri"/>
          <w:b/>
          <w:color w:val="333333"/>
          <w:sz w:val="20"/>
        </w:rPr>
        <w:t>Event types published:</w:t>
      </w:r>
    </w:p>
    <w:p>
      <w:pPr>
        <w:spacing w:before="40" w:after="40"/>
        <w:ind w:left="504" w:hanging="216"/>
      </w:pPr>
      <w:r>
        <w:rPr>
          <w:rFonts w:ascii="Calibri" w:hAnsi="Calibri"/>
          <w:color w:val="1AAFCC"/>
          <w:sz w:val="20"/>
        </w:rPr>
        <w:t xml:space="preserve">•  </w:t>
      </w:r>
      <w:r>
        <w:rPr>
          <w:rFonts w:ascii="Courier New" w:hAnsi="Courier New"/>
          <w:color w:val="444444"/>
          <w:sz w:val="18"/>
        </w:rPr>
        <w:t>trial.patient_matched</w:t>
      </w:r>
      <w:r>
        <w:rPr>
          <w:rFonts w:ascii="Calibri" w:hAnsi="Calibri"/>
          <w:color w:val="333333"/>
          <w:sz w:val="20"/>
        </w:rPr>
        <w:t xml:space="preserve"> -- notifies other agents of a trial match</w:t>
      </w:r>
    </w:p>
    <w:p>
      <w:pPr>
        <w:spacing w:before="40" w:after="40"/>
        <w:ind w:left="504" w:hanging="216"/>
      </w:pPr>
      <w:r>
        <w:rPr>
          <w:rFonts w:ascii="Calibri" w:hAnsi="Calibri"/>
          <w:color w:val="1AAFCC"/>
          <w:sz w:val="20"/>
        </w:rPr>
        <w:t xml:space="preserve">•  </w:t>
      </w:r>
      <w:r>
        <w:rPr>
          <w:rFonts w:ascii="Courier New" w:hAnsi="Courier New"/>
          <w:color w:val="444444"/>
          <w:sz w:val="18"/>
        </w:rPr>
        <w:t>trial.safety_signal</w:t>
      </w:r>
      <w:r>
        <w:rPr>
          <w:rFonts w:ascii="Calibri" w:hAnsi="Calibri"/>
          <w:color w:val="333333"/>
          <w:sz w:val="20"/>
        </w:rPr>
        <w:t xml:space="preserve"> -- broadcasts safety signals detected during trial monitoring</w:t>
      </w:r>
    </w:p>
    <w:p>
      <w:pPr>
        <w:spacing w:before="40" w:after="40"/>
        <w:ind w:left="504" w:hanging="216"/>
      </w:pPr>
      <w:r>
        <w:rPr>
          <w:rFonts w:ascii="Calibri" w:hAnsi="Calibri"/>
          <w:color w:val="1AAFCC"/>
          <w:sz w:val="20"/>
        </w:rPr>
        <w:t xml:space="preserve">•  </w:t>
      </w:r>
      <w:r>
        <w:rPr>
          <w:rFonts w:ascii="Courier New" w:hAnsi="Courier New"/>
          <w:color w:val="444444"/>
          <w:sz w:val="18"/>
        </w:rPr>
        <w:t>trial.protocol_updated</w:t>
      </w:r>
      <w:r>
        <w:rPr>
          <w:rFonts w:ascii="Calibri" w:hAnsi="Calibri"/>
          <w:color w:val="333333"/>
          <w:sz w:val="20"/>
        </w:rPr>
        <w:t xml:space="preserve"> -- notifies of protocol amendments that may affect cross-agent workflows</w:t>
      </w:r>
    </w:p>
    <w:p>
      <w:pPr>
        <w:pStyle w:val="Heading2"/>
        <w:spacing w:before="280" w:after="120"/>
      </w:pPr>
      <w:r>
        <w:rPr>
          <w:rFonts w:ascii="Calibri" w:hAnsi="Calibri"/>
          <w:b/>
          <w:color w:val="1AAFCC"/>
          <w:sz w:val="26"/>
        </w:rPr>
        <w:t>Patient 360 Integration</w:t>
      </w:r>
    </w:p>
    <w:p>
      <w:pPr>
        <w:spacing w:before="0" w:after="120"/>
      </w:pPr>
      <w:r>
        <w:rPr>
          <w:rFonts w:ascii="Calibri" w:hAnsi="Calibri"/>
          <w:color w:val="333333"/>
          <w:sz w:val="20"/>
        </w:rPr>
        <w:t>The Patient 360 view combines insights from all agents into a unified patient assessment for trial decision-making:</w:t>
      </w:r>
    </w:p>
    <w:p>
      <w:pPr>
        <w:spacing w:before="0" w:after="0" w:line="240" w:lineRule="auto"/>
        <w:ind w:left="288"/>
        <w:shd w:val="clear" w:fill="F0F0F0"/>
      </w:pPr>
      <w:r>
        <w:rPr>
          <w:rFonts w:ascii="Courier New" w:hAnsi="Courier New"/>
          <w:color w:val="444444"/>
          <w:sz w:val="18"/>
        </w:rPr>
        <w:t>Patient 360</w:t>
      </w:r>
    </w:p>
    <w:p>
      <w:pPr>
        <w:spacing w:before="0" w:after="0" w:line="240" w:lineRule="auto"/>
        <w:ind w:left="288"/>
        <w:shd w:val="clear" w:fill="F0F0F0"/>
      </w:pPr>
      <w:r>
        <w:rPr>
          <w:rFonts w:ascii="Courier New" w:hAnsi="Courier New"/>
          <w:color w:val="444444"/>
          <w:sz w:val="18"/>
        </w:rPr>
        <w:t>├── Genomic Profile (Oncology Agent)</w:t>
      </w:r>
    </w:p>
    <w:p>
      <w:pPr>
        <w:spacing w:before="0" w:after="0" w:line="240" w:lineRule="auto"/>
        <w:ind w:left="288"/>
        <w:shd w:val="clear" w:fill="F0F0F0"/>
      </w:pPr>
      <w:r>
        <w:rPr>
          <w:rFonts w:ascii="Courier New" w:hAnsi="Courier New"/>
          <w:color w:val="444444"/>
          <w:sz w:val="18"/>
        </w:rPr>
        <w:t>│   ├── Actionable variants</w:t>
      </w:r>
    </w:p>
    <w:p>
      <w:pPr>
        <w:spacing w:before="0" w:after="0" w:line="240" w:lineRule="auto"/>
        <w:ind w:left="288"/>
        <w:shd w:val="clear" w:fill="F0F0F0"/>
      </w:pPr>
      <w:r>
        <w:rPr>
          <w:rFonts w:ascii="Courier New" w:hAnsi="Courier New"/>
          <w:color w:val="444444"/>
          <w:sz w:val="18"/>
        </w:rPr>
        <w:t>│   ├── Tumor mutational burden</w:t>
      </w:r>
    </w:p>
    <w:p>
      <w:pPr>
        <w:spacing w:before="0" w:after="0" w:line="240" w:lineRule="auto"/>
        <w:ind w:left="288"/>
        <w:shd w:val="clear" w:fill="F0F0F0"/>
      </w:pPr>
      <w:r>
        <w:rPr>
          <w:rFonts w:ascii="Courier New" w:hAnsi="Courier New"/>
          <w:color w:val="444444"/>
          <w:sz w:val="18"/>
        </w:rPr>
        <w:t>│   └── Microsatellite instability status</w:t>
      </w:r>
    </w:p>
    <w:p>
      <w:pPr>
        <w:spacing w:before="0" w:after="0" w:line="240" w:lineRule="auto"/>
        <w:ind w:left="288"/>
        <w:shd w:val="clear" w:fill="F0F0F0"/>
      </w:pPr>
      <w:r>
        <w:rPr>
          <w:rFonts w:ascii="Courier New" w:hAnsi="Courier New"/>
          <w:color w:val="444444"/>
          <w:sz w:val="18"/>
        </w:rPr>
        <w:t>├── Pharmacogenomic Profile (PGx Agent)</w:t>
      </w:r>
    </w:p>
    <w:p>
      <w:pPr>
        <w:spacing w:before="0" w:after="0" w:line="240" w:lineRule="auto"/>
        <w:ind w:left="288"/>
        <w:shd w:val="clear" w:fill="F0F0F0"/>
      </w:pPr>
      <w:r>
        <w:rPr>
          <w:rFonts w:ascii="Courier New" w:hAnsi="Courier New"/>
          <w:color w:val="444444"/>
          <w:sz w:val="18"/>
        </w:rPr>
        <w:t>│   ├── CYP450 metabolizer phenotypes</w:t>
      </w:r>
    </w:p>
    <w:p>
      <w:pPr>
        <w:spacing w:before="0" w:after="0" w:line="240" w:lineRule="auto"/>
        <w:ind w:left="288"/>
        <w:shd w:val="clear" w:fill="F0F0F0"/>
      </w:pPr>
      <w:r>
        <w:rPr>
          <w:rFonts w:ascii="Courier New" w:hAnsi="Courier New"/>
          <w:color w:val="444444"/>
          <w:sz w:val="18"/>
        </w:rPr>
        <w:t>│   ├── Drug interaction risk</w:t>
      </w:r>
    </w:p>
    <w:p>
      <w:pPr>
        <w:spacing w:before="0" w:after="0" w:line="240" w:lineRule="auto"/>
        <w:ind w:left="288"/>
        <w:shd w:val="clear" w:fill="F0F0F0"/>
      </w:pPr>
      <w:r>
        <w:rPr>
          <w:rFonts w:ascii="Courier New" w:hAnsi="Courier New"/>
          <w:color w:val="444444"/>
          <w:sz w:val="18"/>
        </w:rPr>
        <w:t>│   └── Dose adjustment recommendations</w:t>
      </w:r>
    </w:p>
    <w:p>
      <w:pPr>
        <w:spacing w:before="0" w:after="0" w:line="240" w:lineRule="auto"/>
        <w:ind w:left="288"/>
        <w:shd w:val="clear" w:fill="F0F0F0"/>
      </w:pPr>
      <w:r>
        <w:rPr>
          <w:rFonts w:ascii="Courier New" w:hAnsi="Courier New"/>
          <w:color w:val="444444"/>
          <w:sz w:val="18"/>
        </w:rPr>
        <w:t>├── Cardiac Risk Profile (Cardiology Agent)</w:t>
      </w:r>
    </w:p>
    <w:p>
      <w:pPr>
        <w:spacing w:before="0" w:after="0" w:line="240" w:lineRule="auto"/>
        <w:ind w:left="288"/>
        <w:shd w:val="clear" w:fill="F0F0F0"/>
      </w:pPr>
      <w:r>
        <w:rPr>
          <w:rFonts w:ascii="Courier New" w:hAnsi="Courier New"/>
          <w:color w:val="444444"/>
          <w:sz w:val="18"/>
        </w:rPr>
        <w:t>│   ├── Baseline QTc</w:t>
      </w:r>
    </w:p>
    <w:p>
      <w:pPr>
        <w:spacing w:before="0" w:after="0" w:line="240" w:lineRule="auto"/>
        <w:ind w:left="288"/>
        <w:shd w:val="clear" w:fill="F0F0F0"/>
      </w:pPr>
      <w:r>
        <w:rPr>
          <w:rFonts w:ascii="Courier New" w:hAnsi="Courier New"/>
          <w:color w:val="444444"/>
          <w:sz w:val="18"/>
        </w:rPr>
        <w:t>│   ├── Cardiac comorbidities</w:t>
      </w:r>
    </w:p>
    <w:p>
      <w:pPr>
        <w:spacing w:before="0" w:after="0" w:line="240" w:lineRule="auto"/>
        <w:ind w:left="288"/>
        <w:shd w:val="clear" w:fill="F0F0F0"/>
      </w:pPr>
      <w:r>
        <w:rPr>
          <w:rFonts w:ascii="Courier New" w:hAnsi="Courier New"/>
          <w:color w:val="444444"/>
          <w:sz w:val="18"/>
        </w:rPr>
        <w:t>│   └── ECG monitoring requirements</w:t>
      </w:r>
    </w:p>
    <w:p>
      <w:pPr>
        <w:spacing w:before="0" w:after="0" w:line="240" w:lineRule="auto"/>
        <w:ind w:left="288"/>
        <w:shd w:val="clear" w:fill="F0F0F0"/>
      </w:pPr>
      <w:r>
        <w:rPr>
          <w:rFonts w:ascii="Courier New" w:hAnsi="Courier New"/>
          <w:color w:val="444444"/>
          <w:sz w:val="18"/>
        </w:rPr>
        <w:t>├── Biomarker Profile (Biomarker Agent)</w:t>
      </w:r>
    </w:p>
    <w:p>
      <w:pPr>
        <w:spacing w:before="0" w:after="0" w:line="240" w:lineRule="auto"/>
        <w:ind w:left="288"/>
        <w:shd w:val="clear" w:fill="F0F0F0"/>
      </w:pPr>
      <w:r>
        <w:rPr>
          <w:rFonts w:ascii="Courier New" w:hAnsi="Courier New"/>
          <w:color w:val="444444"/>
          <w:sz w:val="18"/>
        </w:rPr>
        <w:t>│   ├── Current biomarker values</w:t>
      </w:r>
    </w:p>
    <w:p>
      <w:pPr>
        <w:spacing w:before="0" w:after="0" w:line="240" w:lineRule="auto"/>
        <w:ind w:left="288"/>
        <w:shd w:val="clear" w:fill="F0F0F0"/>
      </w:pPr>
      <w:r>
        <w:rPr>
          <w:rFonts w:ascii="Courier New" w:hAnsi="Courier New"/>
          <w:color w:val="444444"/>
          <w:sz w:val="18"/>
        </w:rPr>
        <w:t>│   ├── Trajectory trends</w:t>
      </w:r>
    </w:p>
    <w:p>
      <w:pPr>
        <w:spacing w:before="0" w:after="0" w:line="240" w:lineRule="auto"/>
        <w:ind w:left="288"/>
        <w:shd w:val="clear" w:fill="F0F0F0"/>
      </w:pPr>
      <w:r>
        <w:rPr>
          <w:rFonts w:ascii="Courier New" w:hAnsi="Courier New"/>
          <w:color w:val="444444"/>
          <w:sz w:val="18"/>
        </w:rPr>
        <w:t>│   └── Enrichment recommendations</w:t>
      </w:r>
    </w:p>
    <w:p>
      <w:pPr>
        <w:spacing w:before="0" w:after="0" w:line="240" w:lineRule="auto"/>
        <w:ind w:left="288"/>
        <w:shd w:val="clear" w:fill="F0F0F0"/>
      </w:pPr>
      <w:r>
        <w:rPr>
          <w:rFonts w:ascii="Courier New" w:hAnsi="Courier New"/>
          <w:color w:val="444444"/>
          <w:sz w:val="18"/>
        </w:rPr>
        <w:t>└── Trial Eligibility (Clinical Trial Agent)</w:t>
      </w:r>
    </w:p>
    <w:p>
      <w:pPr>
        <w:spacing w:before="0" w:after="0" w:line="240" w:lineRule="auto"/>
        <w:ind w:left="288"/>
        <w:shd w:val="clear" w:fill="F0F0F0"/>
      </w:pPr>
      <w:r>
        <w:rPr>
          <w:rFonts w:ascii="Courier New" w:hAnsi="Courier New"/>
          <w:color w:val="444444"/>
          <w:sz w:val="18"/>
        </w:rPr>
        <w:t xml:space="preserve">    ├── Matched trials (ranked)</w:t>
      </w:r>
    </w:p>
    <w:p>
      <w:pPr>
        <w:spacing w:before="0" w:after="0" w:line="240" w:lineRule="auto"/>
        <w:ind w:left="288"/>
        <w:shd w:val="clear" w:fill="F0F0F0"/>
      </w:pPr>
      <w:r>
        <w:rPr>
          <w:rFonts w:ascii="Courier New" w:hAnsi="Courier New"/>
          <w:color w:val="444444"/>
          <w:sz w:val="18"/>
        </w:rPr>
        <w:t xml:space="preserve">    ├── Per-criterion eligibility scores</w:t>
      </w:r>
    </w:p>
    <w:p>
      <w:pPr>
        <w:spacing w:before="0" w:after="0" w:line="240" w:lineRule="auto"/>
        <w:ind w:left="288"/>
        <w:shd w:val="clear" w:fill="F0F0F0"/>
      </w:pPr>
      <w:r>
        <w:rPr>
          <w:rFonts w:ascii="Courier New" w:hAnsi="Courier New"/>
          <w:color w:val="444444"/>
          <w:sz w:val="18"/>
        </w:rPr>
        <w:t xml:space="preserve">    └── Cross-agent risk flags</w:t>
      </w:r>
    </w:p>
    <w:p>
      <w:pPr>
        <w:spacing w:before="0" w:after="120"/>
      </w:pPr>
      <w:r>
        <w:rPr>
          <w:rFonts w:ascii="Calibri" w:hAnsi="Calibri"/>
          <w:color w:val="333333"/>
          <w:sz w:val="20"/>
        </w:rPr>
        <w:t xml:space="preserve">The </w:t>
      </w:r>
      <w:r>
        <w:rPr>
          <w:rFonts w:ascii="Courier New" w:hAnsi="Courier New"/>
          <w:color w:val="444444"/>
          <w:sz w:val="18"/>
        </w:rPr>
        <w:t>integrate_cross_agent_results()</w:t>
      </w:r>
      <w:r>
        <w:rPr>
          <w:rFonts w:ascii="Calibri" w:hAnsi="Calibri"/>
          <w:color w:val="333333"/>
          <w:sz w:val="20"/>
        </w:rPr>
        <w:t xml:space="preserve"> function in </w:t>
      </w:r>
      <w:r>
        <w:rPr>
          <w:rFonts w:ascii="Courier New" w:hAnsi="Courier New"/>
          <w:color w:val="444444"/>
          <w:sz w:val="18"/>
        </w:rPr>
        <w:t>src/cross_modal.py</w:t>
      </w:r>
      <w:r>
        <w:rPr>
          <w:rFonts w:ascii="Calibri" w:hAnsi="Calibri"/>
          <w:color w:val="333333"/>
          <w:sz w:val="20"/>
        </w:rPr>
        <w:t xml:space="preserve"> merges responses from all four agents, resolves conflicts (e.g., a PGx dose reduction that conflicts with a trial's fixed-dose protocol), and produces a unified recommendation with confidence scores.</w:t>
      </w:r>
    </w:p>
    <w:p>
      <w:pPr>
        <w:spacing w:before="80" w:after="80"/>
        <w:pBdr>
          <w:bottom w:val="single" w:sz="6" w:color="1AAFCC"/>
        </w:pBdr>
      </w:pPr>
    </w:p>
    <w:p>
      <w:pPr>
        <w:pStyle w:val="Heading1"/>
        <w:spacing w:before="400" w:after="160"/>
      </w:pPr>
      <w:r>
        <w:rPr>
          <w:rFonts w:ascii="Calibri" w:hAnsi="Calibri"/>
          <w:b/>
          <w:color w:val="1B2333"/>
          <w:sz w:val="32"/>
        </w:rPr>
        <w:t>8. The RAG Architecture in Depth</w:t>
      </w:r>
    </w:p>
    <w:p>
      <w:pPr>
        <w:spacing w:before="0" w:after="120"/>
      </w:pPr>
      <w:r>
        <w:rPr>
          <w:rFonts w:ascii="Calibri" w:hAnsi="Calibri"/>
          <w:color w:val="333333"/>
          <w:sz w:val="20"/>
        </w:rPr>
        <w:t>This chapter details the retrieval-augmented generation pipeline that powers the Clinical Trial Intelligence Agent's evidence-grounded responses.</w:t>
      </w:r>
    </w:p>
    <w:p>
      <w:pPr>
        <w:pStyle w:val="Heading2"/>
        <w:spacing w:before="280" w:after="120"/>
      </w:pPr>
      <w:r>
        <w:rPr>
          <w:rFonts w:ascii="Calibri" w:hAnsi="Calibri"/>
          <w:b/>
          <w:color w:val="1AAFCC"/>
          <w:sz w:val="26"/>
        </w:rPr>
        <w:t>Multi-Collection Parallel Search</w:t>
      </w:r>
    </w:p>
    <w:p>
      <w:pPr>
        <w:spacing w:before="0" w:after="120"/>
      </w:pPr>
      <w:r>
        <w:rPr>
          <w:rFonts w:ascii="Calibri" w:hAnsi="Calibri"/>
          <w:color w:val="333333"/>
          <w:sz w:val="20"/>
        </w:rPr>
        <w:t xml:space="preserve">The agent searches across 14 Milvus collections simultaneously using Python's </w:t>
      </w:r>
      <w:r>
        <w:rPr>
          <w:rFonts w:ascii="Courier New" w:hAnsi="Courier New"/>
          <w:color w:val="444444"/>
          <w:sz w:val="18"/>
        </w:rPr>
        <w:t>concurrent.futures.ThreadPoolExecutor</w:t>
      </w:r>
      <w:r>
        <w:rPr>
          <w:rFonts w:ascii="Calibri" w:hAnsi="Calibri"/>
          <w:color w:val="333333"/>
          <w:sz w:val="20"/>
        </w:rPr>
        <w:t>. Each collection stores 384-dimensional BGE-small-en-v1.5 embeddings with IVF_FLAT indexing and cosine similarity.</w:t>
      </w:r>
    </w:p>
    <w:p>
      <w:pPr>
        <w:spacing w:before="0" w:after="120"/>
      </w:pPr>
      <w:r>
        <w:rPr>
          <w:rFonts w:ascii="Calibri" w:hAnsi="Calibri"/>
          <w:b/>
          <w:color w:val="333333"/>
          <w:sz w:val="20"/>
        </w:rPr>
        <w:t>Collections: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Content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Typical Document Count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trial_protocols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Full protocol documents (NCT-linked)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trial_results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Published trial results and endpoints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8,000+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trial_safety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Adverse event profiles and safety summaries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trial_regulatory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FDA/EMA/PMDA guidance documents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NCCN, ASCO, ESMO clinical 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trial_biomarkers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validation studies and CDx 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trial_endpoints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Endpoint definitions and validation data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trial_populations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Demographic and eligibility 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6,000+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trial_sites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performance and geographic data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trial_competitive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Competitor pipeline and landscape 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trial_design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design precedents and methods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trial_diversity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Diversity and inclusion evidence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trial_dct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Decentralized trial components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genomic_variants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Shared genomic collection (from Genomics Pipeline)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3,560,000+</w:t>
            </w:r>
          </w:p>
        </w:tc>
      </w:tr>
    </w:tbl>
    <w:p>
      <w:pPr>
        <w:spacing w:before="40" w:after="80"/>
      </w:pPr>
    </w:p>
    <w:p>
      <w:pPr>
        <w:spacing w:before="0" w:after="120"/>
      </w:pPr>
      <w:r>
        <w:rPr>
          <w:rFonts w:ascii="Calibri" w:hAnsi="Calibri"/>
          <w:b/>
          <w:color w:val="333333"/>
          <w:sz w:val="20"/>
        </w:rPr>
        <w:t>Parallel search execution:</w:t>
      </w:r>
      <w:r>
        <w:rPr>
          <w:rFonts w:ascii="Calibri" w:hAnsi="Calibri"/>
          <w:color w:val="333333"/>
          <w:sz w:val="20"/>
        </w:rPr>
        <w:t xml:space="preserve"> For a single query, the engine spawns up to 14 concurrent search threads. Each thread queries its assigned collection with the embedded query vector, applies collection-specific field filters (phase, status, indication, sponsor), and returns the top-k results (configurable, default k=10 per collection). The ThreadPoolExecutor uses a configurable max_workers (default: 8) to balance parallelism against Milvus connection limits.</w:t>
      </w:r>
    </w:p>
    <w:p>
      <w:pPr>
        <w:pStyle w:val="Heading2"/>
        <w:spacing w:before="280" w:after="120"/>
      </w:pPr>
      <w:r>
        <w:rPr>
          <w:rFonts w:ascii="Calibri" w:hAnsi="Calibri"/>
          <w:b/>
          <w:color w:val="1AAFCC"/>
          <w:sz w:val="26"/>
        </w:rPr>
        <w:t>Workflow-Specific Collection Weight Boosting</w:t>
      </w:r>
    </w:p>
    <w:p>
      <w:pPr>
        <w:spacing w:before="0" w:after="120"/>
      </w:pPr>
      <w:r>
        <w:rPr>
          <w:rFonts w:ascii="Calibri" w:hAnsi="Calibri"/>
          <w:color w:val="333333"/>
          <w:sz w:val="20"/>
        </w:rPr>
        <w:t>Each of the 10 clinical workflows (protocol design, patient matching, site selection, eligibility optimization, adaptive design, safety signal, regulatory strategy, competitive intelligence, diversity assessment, DCT planning) has a pre-defined weight boost map that amplifies the relevance scores from domain-specific collections.</w:t>
      </w:r>
    </w:p>
    <w:p>
      <w:pPr>
        <w:spacing w:before="0" w:after="120"/>
      </w:pPr>
      <w:r>
        <w:rPr>
          <w:rFonts w:ascii="Calibri" w:hAnsi="Calibri"/>
          <w:b/>
          <w:color w:val="333333"/>
          <w:sz w:val="20"/>
        </w:rPr>
        <w:t>Example: Safety Signal workflow weights:</w:t>
      </w:r>
    </w:p>
    <w:p>
      <w:pPr>
        <w:spacing w:before="120" w:after="0"/>
      </w:pPr>
      <w:r>
        <w:rPr>
          <w:rFonts w:ascii="Calibri" w:hAnsi="Calibri"/>
          <w:b/>
          <w:color w:val="1AAFCC"/>
          <w:sz w:val="16"/>
        </w:rPr>
        <w:t>python</w:t>
      </w:r>
    </w:p>
    <w:p>
      <w:pPr>
        <w:spacing w:before="0" w:after="0" w:line="240" w:lineRule="auto"/>
        <w:ind w:left="288"/>
        <w:shd w:val="clear" w:fill="F0F0F0"/>
      </w:pPr>
      <w:r>
        <w:rPr>
          <w:rFonts w:ascii="Courier New" w:hAnsi="Courier New"/>
          <w:color w:val="444444"/>
          <w:sz w:val="18"/>
        </w:rPr>
        <w:t>WORKFLOW_COLLECTION_BOOST = {</w:t>
      </w:r>
    </w:p>
    <w:p>
      <w:pPr>
        <w:spacing w:before="0" w:after="0" w:line="240" w:lineRule="auto"/>
        <w:ind w:left="288"/>
        <w:shd w:val="clear" w:fill="F0F0F0"/>
      </w:pPr>
      <w:r>
        <w:rPr>
          <w:rFonts w:ascii="Courier New" w:hAnsi="Courier New"/>
          <w:color w:val="444444"/>
          <w:sz w:val="18"/>
        </w:rPr>
        <w:t xml:space="preserve">    TrialWorkflowType.SAFETY_SIGNAL: {</w:t>
      </w:r>
    </w:p>
    <w:p>
      <w:pPr>
        <w:spacing w:before="0" w:after="0" w:line="240" w:lineRule="auto"/>
        <w:ind w:left="288"/>
        <w:shd w:val="clear" w:fill="F0F0F0"/>
      </w:pPr>
      <w:r>
        <w:rPr>
          <w:rFonts w:ascii="Courier New" w:hAnsi="Courier New"/>
          <w:color w:val="444444"/>
          <w:sz w:val="18"/>
        </w:rPr>
        <w:t xml:space="preserve">        "trial_safety": 2.0,       # Primary collection: 2x boost</w:t>
      </w:r>
    </w:p>
    <w:p>
      <w:pPr>
        <w:spacing w:before="0" w:after="0" w:line="240" w:lineRule="auto"/>
        <w:ind w:left="288"/>
        <w:shd w:val="clear" w:fill="F0F0F0"/>
      </w:pPr>
      <w:r>
        <w:rPr>
          <w:rFonts w:ascii="Courier New" w:hAnsi="Courier New"/>
          <w:color w:val="444444"/>
          <w:sz w:val="18"/>
        </w:rPr>
        <w:t xml:space="preserve">        "trial_regulatory": 1.5,   # Regulatory guidance: 1.5x</w:t>
      </w:r>
    </w:p>
    <w:p>
      <w:pPr>
        <w:spacing w:before="0" w:after="0" w:line="240" w:lineRule="auto"/>
        <w:ind w:left="288"/>
        <w:shd w:val="clear" w:fill="F0F0F0"/>
      </w:pPr>
      <w:r>
        <w:rPr>
          <w:rFonts w:ascii="Courier New" w:hAnsi="Courier New"/>
          <w:color w:val="444444"/>
          <w:sz w:val="18"/>
        </w:rPr>
        <w:t xml:space="preserve">        "trial_results": 1.3,      # Published results: 1.3x</w:t>
      </w:r>
    </w:p>
    <w:p>
      <w:pPr>
        <w:spacing w:before="0" w:after="0" w:line="240" w:lineRule="auto"/>
        <w:ind w:left="288"/>
        <w:shd w:val="clear" w:fill="F0F0F0"/>
      </w:pPr>
      <w:r>
        <w:rPr>
          <w:rFonts w:ascii="Courier New" w:hAnsi="Courier New"/>
          <w:color w:val="444444"/>
          <w:sz w:val="18"/>
        </w:rPr>
        <w:t xml:space="preserve">        "trial_protocols": 1.0,    # Standard weight</w:t>
      </w:r>
    </w:p>
    <w:p>
      <w:pPr>
        <w:spacing w:before="0" w:after="0" w:line="240" w:lineRule="auto"/>
        <w:ind w:left="288"/>
        <w:shd w:val="clear" w:fill="F0F0F0"/>
      </w:pPr>
      <w:r>
        <w:rPr>
          <w:rFonts w:ascii="Courier New" w:hAnsi="Courier New"/>
          <w:color w:val="444444"/>
          <w:sz w:val="18"/>
        </w:rPr>
        <w:t xml:space="preserve">        # All other collections: default 1.0x</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 other workflows</w:t>
      </w:r>
    </w:p>
    <w:p>
      <w:pPr>
        <w:spacing w:before="0" w:after="0" w:line="240" w:lineRule="auto"/>
        <w:ind w:left="288"/>
        <w:shd w:val="clear" w:fill="F0F0F0"/>
      </w:pPr>
      <w:r>
        <w:rPr>
          <w:rFonts w:ascii="Courier New" w:hAnsi="Courier New"/>
          <w:color w:val="444444"/>
          <w:sz w:val="18"/>
        </w:rPr>
        <w:t>}</w:t>
      </w:r>
    </w:p>
    <w:p>
      <w:pPr>
        <w:spacing w:before="0" w:after="120"/>
      </w:pPr>
      <w:r>
        <w:rPr>
          <w:rFonts w:ascii="Calibri" w:hAnsi="Calibri"/>
          <w:color w:val="333333"/>
          <w:sz w:val="20"/>
        </w:rPr>
        <w:t xml:space="preserve">The boosted score is computed as: </w:t>
      </w:r>
      <w:r>
        <w:rPr>
          <w:rFonts w:ascii="Courier New" w:hAnsi="Courier New"/>
          <w:color w:val="444444"/>
          <w:sz w:val="18"/>
        </w:rPr>
        <w:t>final_score = raw_similarity_score * collection_boost_weight</w:t>
      </w:r>
      <w:r>
        <w:rPr>
          <w:rFonts w:ascii="Calibri" w:hAnsi="Calibri"/>
          <w:color w:val="333333"/>
          <w:sz w:val="20"/>
        </w:rPr>
        <w:t>. Results from all collections are then merged, deduplicated by content hash, and re-ranked by final score.</w:t>
      </w:r>
    </w:p>
    <w:p>
      <w:pPr>
        <w:pStyle w:val="Heading2"/>
        <w:spacing w:before="280" w:after="120"/>
      </w:pPr>
      <w:r>
        <w:rPr>
          <w:rFonts w:ascii="Calibri" w:hAnsi="Calibri"/>
          <w:b/>
          <w:color w:val="1AAFCC"/>
          <w:sz w:val="26"/>
        </w:rPr>
        <w:t>Query Expansion Pipeline</w:t>
      </w:r>
    </w:p>
    <w:p>
      <w:pPr>
        <w:spacing w:before="0" w:after="120"/>
      </w:pPr>
      <w:r>
        <w:rPr>
          <w:rFonts w:ascii="Calibri" w:hAnsi="Calibri"/>
          <w:color w:val="333333"/>
          <w:sz w:val="20"/>
        </w:rPr>
        <w:t xml:space="preserve">The </w:t>
      </w:r>
      <w:r>
        <w:rPr>
          <w:rFonts w:ascii="Courier New" w:hAnsi="Courier New"/>
          <w:color w:val="444444"/>
          <w:sz w:val="18"/>
        </w:rPr>
        <w:t>QueryExpander</w:t>
      </w:r>
      <w:r>
        <w:rPr>
          <w:rFonts w:ascii="Calibri" w:hAnsi="Calibri"/>
          <w:color w:val="333333"/>
          <w:sz w:val="20"/>
        </w:rPr>
        <w:t xml:space="preserve"> class in </w:t>
      </w:r>
      <w:r>
        <w:rPr>
          <w:rFonts w:ascii="Courier New" w:hAnsi="Courier New"/>
          <w:color w:val="444444"/>
          <w:sz w:val="18"/>
        </w:rPr>
        <w:t>src/query_expansion.py</w:t>
      </w:r>
      <w:r>
        <w:rPr>
          <w:rFonts w:ascii="Calibri" w:hAnsi="Calibri"/>
          <w:color w:val="333333"/>
          <w:sz w:val="20"/>
        </w:rPr>
        <w:t xml:space="preserve"> widens the semantic search net through four stages:</w:t>
      </w:r>
    </w:p>
    <w:p>
      <w:pPr>
        <w:spacing w:before="40" w:after="40"/>
        <w:ind w:left="504" w:hanging="288"/>
      </w:pPr>
      <w:r>
        <w:rPr>
          <w:rFonts w:ascii="Calibri" w:hAnsi="Calibri"/>
          <w:b/>
          <w:color w:val="333333"/>
          <w:sz w:val="20"/>
        </w:rPr>
        <w:t xml:space="preserve">1.  </w:t>
      </w:r>
      <w:r>
        <w:rPr>
          <w:rFonts w:ascii="Calibri" w:hAnsi="Calibri"/>
          <w:b/>
          <w:color w:val="333333"/>
          <w:sz w:val="20"/>
        </w:rPr>
        <w:t>Entity alias resolution:</w:t>
      </w:r>
      <w:r>
        <w:rPr>
          <w:rFonts w:ascii="Calibri" w:hAnsi="Calibri"/>
          <w:color w:val="333333"/>
          <w:sz w:val="20"/>
        </w:rPr>
        <w:t xml:space="preserve"> Maps abbreviations and synonyms to canonical terms using 100+ mappings (e.g., "NSCLC" to "non-small cell lung cancer", "pembro" to "pembrolizumab"). Aliases cover cancer types, cardiovascular conditions, neuroscience disorders, drugs, biomarkers, and trial design terms.</w:t>
      </w:r>
    </w:p>
    <w:p>
      <w:pPr>
        <w:spacing w:before="40" w:after="40"/>
        <w:ind w:left="504" w:hanging="288"/>
      </w:pPr>
      <w:r>
        <w:rPr>
          <w:rFonts w:ascii="Calibri" w:hAnsi="Calibri"/>
          <w:b/>
          <w:color w:val="333333"/>
          <w:sz w:val="20"/>
        </w:rPr>
        <w:t xml:space="preserve">2.  </w:t>
      </w:r>
      <w:r>
        <w:rPr>
          <w:rFonts w:ascii="Calibri" w:hAnsi="Calibri"/>
          <w:b/>
          <w:color w:val="333333"/>
          <w:sz w:val="20"/>
        </w:rPr>
        <w:t>Ontology-based expansion:</w:t>
      </w:r>
      <w:r>
        <w:rPr>
          <w:rFonts w:ascii="Calibri" w:hAnsi="Calibri"/>
          <w:color w:val="333333"/>
          <w:sz w:val="20"/>
        </w:rPr>
        <w:t xml:space="preserve"> Resolves terms to their positions in standard medical ontologies:</w:t>
      </w:r>
    </w:p>
    <w:p>
      <w:pPr>
        <w:spacing w:before="0" w:after="120"/>
      </w:pPr>
      <w:r>
        <w:rPr>
          <w:rFonts w:ascii="Calibri" w:hAnsi="Calibri"/>
          <w:color w:val="333333"/>
          <w:sz w:val="20"/>
        </w:rPr>
        <w:t xml:space="preserve">   - MeSH (Medical Subject Headings): hierarchical expansion to broader and narrower terms</w:t>
      </w:r>
    </w:p>
    <w:p>
      <w:pPr>
        <w:spacing w:before="0" w:after="120"/>
      </w:pPr>
      <w:r>
        <w:rPr>
          <w:rFonts w:ascii="Calibri" w:hAnsi="Calibri"/>
          <w:color w:val="333333"/>
          <w:sz w:val="20"/>
        </w:rPr>
        <w:t xml:space="preserve">   - ICD-10: diagnostic code to related condition mapping</w:t>
      </w:r>
    </w:p>
    <w:p>
      <w:pPr>
        <w:spacing w:before="0" w:after="120"/>
      </w:pPr>
      <w:r>
        <w:rPr>
          <w:rFonts w:ascii="Calibri" w:hAnsi="Calibri"/>
          <w:color w:val="333333"/>
          <w:sz w:val="20"/>
        </w:rPr>
        <w:t xml:space="preserve">   - SNOMED-CT: clinical concept expansion to synonyms and related concepts</w:t>
      </w:r>
    </w:p>
    <w:p>
      <w:pPr>
        <w:spacing w:before="0" w:after="120"/>
      </w:pPr>
      <w:r>
        <w:rPr>
          <w:rFonts w:ascii="Calibri" w:hAnsi="Calibri"/>
          <w:color w:val="333333"/>
          <w:sz w:val="20"/>
        </w:rPr>
        <w:t xml:space="preserve">   - ATC (Anatomical Therapeutic Chemical): drug class to individual agents</w:t>
      </w:r>
    </w:p>
    <w:p>
      <w:pPr>
        <w:spacing w:before="0" w:after="120"/>
      </w:pPr>
      <w:r>
        <w:rPr>
          <w:rFonts w:ascii="Calibri" w:hAnsi="Calibri"/>
          <w:color w:val="333333"/>
          <w:sz w:val="20"/>
        </w:rPr>
        <w:t xml:space="preserve">   - RxNorm: drug name normalization across brand, generic, and ingredient levels</w:t>
      </w:r>
    </w:p>
    <w:p>
      <w:pPr>
        <w:spacing w:before="40" w:after="40"/>
        <w:ind w:left="504" w:hanging="288"/>
      </w:pPr>
      <w:r>
        <w:rPr>
          <w:rFonts w:ascii="Calibri" w:hAnsi="Calibri"/>
          <w:b/>
          <w:color w:val="333333"/>
          <w:sz w:val="20"/>
        </w:rPr>
        <w:t xml:space="preserve">3.  </w:t>
      </w:r>
      <w:r>
        <w:rPr>
          <w:rFonts w:ascii="Calibri" w:hAnsi="Calibri"/>
          <w:b/>
          <w:color w:val="333333"/>
          <w:sz w:val="20"/>
        </w:rPr>
        <w:t>Workflow-aware term boosting:</w:t>
      </w:r>
      <w:r>
        <w:rPr>
          <w:rFonts w:ascii="Calibri" w:hAnsi="Calibri"/>
          <w:color w:val="333333"/>
          <w:sz w:val="20"/>
        </w:rPr>
        <w:t xml:space="preserve"> Appends workflow-specific terms to the query. For example, a safety signal workflow query about "liver toxicity" is expanded with "hepatotoxicity DILI transaminase ALT AST bilirubin Hy's Law."</w:t>
      </w:r>
    </w:p>
    <w:p>
      <w:pPr>
        <w:spacing w:before="40" w:after="40"/>
        <w:ind w:left="504" w:hanging="288"/>
      </w:pPr>
      <w:r>
        <w:rPr>
          <w:rFonts w:ascii="Calibri" w:hAnsi="Calibri"/>
          <w:b/>
          <w:color w:val="333333"/>
          <w:sz w:val="20"/>
        </w:rPr>
        <w:t xml:space="preserve">4.  </w:t>
      </w:r>
      <w:r>
        <w:rPr>
          <w:rFonts w:ascii="Calibri" w:hAnsi="Calibri"/>
          <w:b/>
          <w:color w:val="333333"/>
          <w:sz w:val="20"/>
        </w:rPr>
        <w:t>Entity detection:</w:t>
      </w:r>
      <w:r>
        <w:rPr>
          <w:rFonts w:ascii="Calibri" w:hAnsi="Calibri"/>
          <w:color w:val="333333"/>
          <w:sz w:val="20"/>
        </w:rPr>
        <w:t xml:space="preserve"> Identifies clinical entities in the query (drug names, biomarkers, conditions, trial phases) to enable field-based Milvus filtering in addition to vector similarity search.</w:t>
      </w:r>
    </w:p>
    <w:p>
      <w:pPr>
        <w:pStyle w:val="Heading2"/>
        <w:spacing w:before="280" w:after="120"/>
      </w:pPr>
      <w:r>
        <w:rPr>
          <w:rFonts w:ascii="Calibri" w:hAnsi="Calibri"/>
          <w:b/>
          <w:color w:val="1AAFCC"/>
          <w:sz w:val="26"/>
        </w:rPr>
        <w:t>Citation Scoring</w:t>
      </w:r>
    </w:p>
    <w:p>
      <w:pPr>
        <w:spacing w:before="0" w:after="120"/>
      </w:pPr>
      <w:r>
        <w:rPr>
          <w:rFonts w:ascii="Calibri" w:hAnsi="Calibri"/>
          <w:color w:val="333333"/>
          <w:sz w:val="20"/>
        </w:rPr>
        <w:t>Each search result is scored for citation relevance using three thresholds: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Relevance Level</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Similarity Score Threshold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High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 0.85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Strong semantic match; cited prominently in the response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Medium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 0.70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 match; cited as supporting evidence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Low</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 0.50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Weak match; included in the evidence base but not cited inline</w:t>
            </w:r>
          </w:p>
        </w:tc>
      </w:tr>
    </w:tbl>
    <w:p>
      <w:pPr>
        <w:spacing w:before="40" w:after="80"/>
      </w:pPr>
    </w:p>
    <w:p>
      <w:pPr>
        <w:spacing w:before="0" w:after="120"/>
      </w:pPr>
      <w:r>
        <w:rPr>
          <w:rFonts w:ascii="Calibri" w:hAnsi="Calibri"/>
          <w:color w:val="333333"/>
          <w:sz w:val="20"/>
        </w:rPr>
        <w:t>Citations are formatted with source identifiers when available:</w:t>
      </w:r>
    </w:p>
    <w:p>
      <w:pPr>
        <w:spacing w:before="40" w:after="40"/>
        <w:ind w:left="504" w:hanging="216"/>
      </w:pPr>
      <w:r>
        <w:rPr>
          <w:rFonts w:ascii="Calibri" w:hAnsi="Calibri"/>
          <w:color w:val="1AAFCC"/>
          <w:sz w:val="20"/>
        </w:rPr>
        <w:t xml:space="preserve">•  </w:t>
      </w:r>
      <w:r>
        <w:rPr>
          <w:rFonts w:ascii="Calibri" w:hAnsi="Calibri"/>
          <w:color w:val="333333"/>
          <w:sz w:val="20"/>
        </w:rPr>
        <w:t>NCT numbers for ClinicalTrials.gov entries (e.g., NCT02465060)</w:t>
      </w:r>
    </w:p>
    <w:p>
      <w:pPr>
        <w:spacing w:before="40" w:after="40"/>
        <w:ind w:left="504" w:hanging="216"/>
      </w:pPr>
      <w:r>
        <w:rPr>
          <w:rFonts w:ascii="Calibri" w:hAnsi="Calibri"/>
          <w:color w:val="1AAFCC"/>
          <w:sz w:val="20"/>
        </w:rPr>
        <w:t xml:space="preserve">•  </w:t>
      </w:r>
      <w:r>
        <w:rPr>
          <w:rFonts w:ascii="Calibri" w:hAnsi="Calibri"/>
          <w:color w:val="333333"/>
          <w:sz w:val="20"/>
        </w:rPr>
        <w:t>PMID for PubMed-indexed publications (e.g., PMID:31234567)</w:t>
      </w:r>
    </w:p>
    <w:p>
      <w:pPr>
        <w:spacing w:before="40" w:after="40"/>
        <w:ind w:left="504" w:hanging="216"/>
      </w:pPr>
      <w:r>
        <w:rPr>
          <w:rFonts w:ascii="Calibri" w:hAnsi="Calibri"/>
          <w:color w:val="1AAFCC"/>
          <w:sz w:val="20"/>
        </w:rPr>
        <w:t xml:space="preserve">•  </w:t>
      </w:r>
      <w:r>
        <w:rPr>
          <w:rFonts w:ascii="Calibri" w:hAnsi="Calibri"/>
          <w:color w:val="333333"/>
          <w:sz w:val="20"/>
        </w:rPr>
        <w:t>Regulatory document identifiers for guidance documents (e.g., FDA-2019-D-0123)</w:t>
      </w:r>
    </w:p>
    <w:p>
      <w:pPr>
        <w:pStyle w:val="Heading2"/>
        <w:spacing w:before="280" w:after="120"/>
      </w:pPr>
      <w:r>
        <w:rPr>
          <w:rFonts w:ascii="Calibri" w:hAnsi="Calibri"/>
          <w:b/>
          <w:color w:val="1AAFCC"/>
          <w:sz w:val="26"/>
        </w:rPr>
        <w:t>Confidence Calibration</w:t>
      </w:r>
    </w:p>
    <w:p>
      <w:pPr>
        <w:spacing w:before="0" w:after="120"/>
      </w:pPr>
      <w:r>
        <w:rPr>
          <w:rFonts w:ascii="Calibri" w:hAnsi="Calibri"/>
          <w:color w:val="333333"/>
          <w:sz w:val="20"/>
        </w:rPr>
        <w:t xml:space="preserve">The confidence score for each response is computed by </w:t>
      </w:r>
      <w:r>
        <w:rPr>
          <w:rFonts w:ascii="Courier New" w:hAnsi="Courier New"/>
          <w:color w:val="444444"/>
          <w:sz w:val="18"/>
        </w:rPr>
        <w:t>_score_confidence()</w:t>
      </w:r>
      <w:r>
        <w:rPr>
          <w:rFonts w:ascii="Calibri" w:hAnsi="Calibri"/>
          <w:color w:val="333333"/>
          <w:sz w:val="20"/>
        </w:rPr>
        <w:t xml:space="preserve"> using four weighted factors:</w:t>
      </w:r>
    </w:p>
    <w:p>
      <w:pPr>
        <w:spacing w:before="0" w:after="0" w:line="240" w:lineRule="auto"/>
        <w:ind w:left="288"/>
        <w:shd w:val="clear" w:fill="F0F0F0"/>
      </w:pPr>
      <w:r>
        <w:rPr>
          <w:rFonts w:ascii="Courier New" w:hAnsi="Courier New"/>
          <w:color w:val="444444"/>
          <w:sz w:val="18"/>
        </w:rPr>
        <w:t>confidence = relevance_score + diversity_score + quality_score + regulatory_score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Where:</w:t>
      </w:r>
    </w:p>
    <w:p>
      <w:pPr>
        <w:spacing w:before="0" w:after="0" w:line="240" w:lineRule="auto"/>
        <w:ind w:left="288"/>
        <w:shd w:val="clear" w:fill="F0F0F0"/>
      </w:pPr>
      <w:r>
        <w:rPr>
          <w:rFonts w:ascii="Courier New" w:hAnsi="Courier New"/>
          <w:color w:val="444444"/>
          <w:sz w:val="18"/>
        </w:rPr>
        <w:t xml:space="preserve">  relevance_score (0-0.3) = min(high_relevance_count / total_results, 1.0) * 0.3</w:t>
      </w:r>
    </w:p>
    <w:p>
      <w:pPr>
        <w:spacing w:before="0" w:after="0" w:line="240" w:lineRule="auto"/>
        <w:ind w:left="288"/>
        <w:shd w:val="clear" w:fill="F0F0F0"/>
      </w:pPr>
      <w:r>
        <w:rPr>
          <w:rFonts w:ascii="Courier New" w:hAnsi="Courier New"/>
          <w:color w:val="444444"/>
          <w:sz w:val="18"/>
        </w:rPr>
        <w:t xml:space="preserve">  diversity_score (0-0.3) = min(unique_collections / 4, 1.0) * 0.3</w:t>
      </w:r>
    </w:p>
    <w:p>
      <w:pPr>
        <w:spacing w:before="0" w:after="0" w:line="240" w:lineRule="auto"/>
        <w:ind w:left="288"/>
        <w:shd w:val="clear" w:fill="F0F0F0"/>
      </w:pPr>
      <w:r>
        <w:rPr>
          <w:rFonts w:ascii="Courier New" w:hAnsi="Courier New"/>
          <w:color w:val="444444"/>
          <w:sz w:val="18"/>
        </w:rPr>
        <w:t xml:space="preserve">  quality_score   (0-0.2) = min(avg_similarity_of_top_5, 1.0) * 0.2</w:t>
      </w:r>
    </w:p>
    <w:p>
      <w:pPr>
        <w:spacing w:before="0" w:after="0" w:line="240" w:lineRule="auto"/>
        <w:ind w:left="288"/>
        <w:shd w:val="clear" w:fill="F0F0F0"/>
      </w:pPr>
      <w:r>
        <w:rPr>
          <w:rFonts w:ascii="Courier New" w:hAnsi="Courier New"/>
          <w:color w:val="444444"/>
          <w:sz w:val="18"/>
        </w:rPr>
        <w:t xml:space="preserve">  regulatory_score(0-0.2) = 0.2 if regulatory/guideline evidence present, else 0.0</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Final: min(confidence, 1.0), rounded to 3 decimal places</w:t>
      </w:r>
    </w:p>
    <w:p>
      <w:pPr>
        <w:spacing w:before="0" w:after="120"/>
      </w:pPr>
      <w:r>
        <w:rPr>
          <w:rFonts w:ascii="Calibri" w:hAnsi="Calibri"/>
          <w:b/>
          <w:color w:val="333333"/>
          <w:sz w:val="20"/>
        </w:rPr>
        <w:t>Factor rationale:</w:t>
      </w:r>
    </w:p>
    <w:p>
      <w:pPr>
        <w:spacing w:before="40" w:after="40"/>
        <w:ind w:left="504" w:hanging="216"/>
      </w:pPr>
      <w:r>
        <w:rPr>
          <w:rFonts w:ascii="Calibri" w:hAnsi="Calibri"/>
          <w:color w:val="1AAFCC"/>
          <w:sz w:val="20"/>
        </w:rPr>
        <w:t xml:space="preserve">•  </w:t>
      </w:r>
      <w:r>
        <w:rPr>
          <w:rFonts w:ascii="Calibri" w:hAnsi="Calibri"/>
          <w:b/>
          <w:color w:val="333333"/>
          <w:sz w:val="20"/>
        </w:rPr>
        <w:t>Relevance (30%):</w:t>
      </w:r>
      <w:r>
        <w:rPr>
          <w:rFonts w:ascii="Calibri" w:hAnsi="Calibri"/>
          <w:color w:val="333333"/>
          <w:sz w:val="20"/>
        </w:rPr>
        <w:t xml:space="preserve"> A high proportion of high-relevance results indicates that the query is well-covered by the evidence base</w:t>
      </w:r>
    </w:p>
    <w:p>
      <w:pPr>
        <w:spacing w:before="40" w:after="40"/>
        <w:ind w:left="504" w:hanging="216"/>
      </w:pPr>
      <w:r>
        <w:rPr>
          <w:rFonts w:ascii="Calibri" w:hAnsi="Calibri"/>
          <w:color w:val="1AAFCC"/>
          <w:sz w:val="20"/>
        </w:rPr>
        <w:t xml:space="preserve">•  </w:t>
      </w:r>
      <w:r>
        <w:rPr>
          <w:rFonts w:ascii="Calibri" w:hAnsi="Calibri"/>
          <w:b/>
          <w:color w:val="333333"/>
          <w:sz w:val="20"/>
        </w:rPr>
        <w:t>Diversity (30%):</w:t>
      </w:r>
      <w:r>
        <w:rPr>
          <w:rFonts w:ascii="Calibri" w:hAnsi="Calibri"/>
          <w:color w:val="333333"/>
          <w:sz w:val="20"/>
        </w:rPr>
        <w:t xml:space="preserve"> Results from multiple collections indicate convergent evidence across different data sources (protocols, results, safety, regulatory). The threshold of 4 unique collections for maximum diversity credit reflects the expectation that a well-grounded answer draws from at least 4 different evidence types</w:t>
      </w:r>
    </w:p>
    <w:p>
      <w:pPr>
        <w:spacing w:before="40" w:after="40"/>
        <w:ind w:left="504" w:hanging="216"/>
      </w:pPr>
      <w:r>
        <w:rPr>
          <w:rFonts w:ascii="Calibri" w:hAnsi="Calibri"/>
          <w:color w:val="1AAFCC"/>
          <w:sz w:val="20"/>
        </w:rPr>
        <w:t xml:space="preserve">•  </w:t>
      </w:r>
      <w:r>
        <w:rPr>
          <w:rFonts w:ascii="Calibri" w:hAnsi="Calibri"/>
          <w:b/>
          <w:color w:val="333333"/>
          <w:sz w:val="20"/>
        </w:rPr>
        <w:t>Quality (20%):</w:t>
      </w:r>
      <w:r>
        <w:rPr>
          <w:rFonts w:ascii="Calibri" w:hAnsi="Calibri"/>
          <w:color w:val="333333"/>
          <w:sz w:val="20"/>
        </w:rPr>
        <w:t xml:space="preserve"> The average similarity score of the top 5 results measures the overall match quality. Scores above 0.90 indicate near-exact matches</w:t>
      </w:r>
    </w:p>
    <w:p>
      <w:pPr>
        <w:spacing w:before="40" w:after="40"/>
        <w:ind w:left="504" w:hanging="216"/>
      </w:pPr>
      <w:r>
        <w:rPr>
          <w:rFonts w:ascii="Calibri" w:hAnsi="Calibri"/>
          <w:color w:val="1AAFCC"/>
          <w:sz w:val="20"/>
        </w:rPr>
        <w:t xml:space="preserve">•  </w:t>
      </w:r>
      <w:r>
        <w:rPr>
          <w:rFonts w:ascii="Calibri" w:hAnsi="Calibri"/>
          <w:b/>
          <w:color w:val="333333"/>
          <w:sz w:val="20"/>
        </w:rPr>
        <w:t>Regulatory (20%):</w:t>
      </w:r>
      <w:r>
        <w:rPr>
          <w:rFonts w:ascii="Calibri" w:hAnsi="Calibri"/>
          <w:color w:val="333333"/>
          <w:sz w:val="20"/>
        </w:rPr>
        <w:t xml:space="preserve"> The presence of regulatory or guideline evidence provides an authoritative grounding that increases overall confidence</w:t>
      </w:r>
    </w:p>
    <w:p>
      <w:pPr>
        <w:pStyle w:val="Heading2"/>
        <w:spacing w:before="280" w:after="120"/>
      </w:pPr>
      <w:r>
        <w:rPr>
          <w:rFonts w:ascii="Calibri" w:hAnsi="Calibri"/>
          <w:b/>
          <w:color w:val="1AAFCC"/>
          <w:sz w:val="26"/>
        </w:rPr>
        <w:t>Conversation Memory with Session Persistence</w:t>
      </w:r>
    </w:p>
    <w:p>
      <w:pPr>
        <w:spacing w:before="0" w:after="120"/>
      </w:pPr>
      <w:r>
        <w:rPr>
          <w:rFonts w:ascii="Calibri" w:hAnsi="Calibri"/>
          <w:color w:val="333333"/>
          <w:sz w:val="20"/>
        </w:rPr>
        <w:t xml:space="preserve">The RAG engine maintains conversation history per session, enabling multi-turn clinical trial consultations. Sessions are persisted to disk as JSON files in </w:t>
      </w:r>
      <w:r>
        <w:rPr>
          <w:rFonts w:ascii="Courier New" w:hAnsi="Courier New"/>
          <w:color w:val="444444"/>
          <w:sz w:val="18"/>
        </w:rPr>
        <w:t>data/cache/conversations/</w:t>
      </w:r>
      <w:r>
        <w:rPr>
          <w:rFonts w:ascii="Calibri" w:hAnsi="Calibri"/>
          <w:color w:val="333333"/>
          <w:sz w:val="20"/>
        </w:rPr>
        <w:t xml:space="preserve"> with a 24-hour TTL.</w:t>
      </w:r>
    </w:p>
    <w:p>
      <w:pPr>
        <w:spacing w:before="0" w:after="120"/>
      </w:pPr>
      <w:r>
        <w:rPr>
          <w:rFonts w:ascii="Calibri" w:hAnsi="Calibri"/>
          <w:b/>
          <w:color w:val="333333"/>
          <w:sz w:val="20"/>
        </w:rPr>
        <w:t>Memory architecture:</w:t>
      </w:r>
    </w:p>
    <w:p>
      <w:pPr>
        <w:spacing w:before="40" w:after="40"/>
        <w:ind w:left="504" w:hanging="288"/>
      </w:pPr>
      <w:r>
        <w:rPr>
          <w:rFonts w:ascii="Calibri" w:hAnsi="Calibri"/>
          <w:b/>
          <w:color w:val="333333"/>
          <w:sz w:val="20"/>
        </w:rPr>
        <w:t xml:space="preserve">1.  </w:t>
      </w:r>
      <w:r>
        <w:rPr>
          <w:rFonts w:ascii="Calibri" w:hAnsi="Calibri"/>
          <w:color w:val="333333"/>
          <w:sz w:val="20"/>
        </w:rPr>
        <w:t>Each query appends the user message and assistant response to the session history</w:t>
      </w:r>
    </w:p>
    <w:p>
      <w:pPr>
        <w:spacing w:before="40" w:after="40"/>
        <w:ind w:left="504" w:hanging="288"/>
      </w:pPr>
      <w:r>
        <w:rPr>
          <w:rFonts w:ascii="Calibri" w:hAnsi="Calibri"/>
          <w:b/>
          <w:color w:val="333333"/>
          <w:sz w:val="20"/>
        </w:rPr>
        <w:t xml:space="preserve">2.  </w:t>
      </w:r>
      <w:r>
        <w:rPr>
          <w:rFonts w:ascii="Calibri" w:hAnsi="Calibri"/>
          <w:color w:val="333333"/>
          <w:sz w:val="20"/>
        </w:rPr>
        <w:t>On subsequent queries, the last N messages (configurable, default 10) are included in the LLM prompt context</w:t>
      </w:r>
    </w:p>
    <w:p>
      <w:pPr>
        <w:spacing w:before="40" w:after="40"/>
        <w:ind w:left="504" w:hanging="288"/>
      </w:pPr>
      <w:r>
        <w:rPr>
          <w:rFonts w:ascii="Calibri" w:hAnsi="Calibri"/>
          <w:b/>
          <w:color w:val="333333"/>
          <w:sz w:val="20"/>
        </w:rPr>
        <w:t xml:space="preserve">3.  </w:t>
      </w:r>
      <w:r>
        <w:rPr>
          <w:rFonts w:ascii="Calibri" w:hAnsi="Calibri"/>
          <w:color w:val="333333"/>
          <w:sz w:val="20"/>
        </w:rPr>
        <w:t>Session files are automatically expired after 24 hours to prevent stale context</w:t>
      </w:r>
    </w:p>
    <w:p>
      <w:pPr>
        <w:spacing w:before="40" w:after="40"/>
        <w:ind w:left="504" w:hanging="288"/>
      </w:pPr>
      <w:r>
        <w:rPr>
          <w:rFonts w:ascii="Calibri" w:hAnsi="Calibri"/>
          <w:b/>
          <w:color w:val="333333"/>
          <w:sz w:val="20"/>
        </w:rPr>
        <w:t xml:space="preserve">4.  </w:t>
      </w:r>
      <w:r>
        <w:rPr>
          <w:rFonts w:ascii="Calibri" w:hAnsi="Calibri"/>
          <w:color w:val="333333"/>
          <w:sz w:val="20"/>
        </w:rPr>
        <w:t>The session ID is passed via the API request, allowing the Streamlit UI to maintain continuity across page refreshes</w:t>
      </w:r>
    </w:p>
    <w:p>
      <w:pPr>
        <w:spacing w:before="0" w:after="120"/>
      </w:pPr>
      <w:r>
        <w:rPr>
          <w:rFonts w:ascii="Calibri" w:hAnsi="Calibri"/>
          <w:b/>
          <w:color w:val="333333"/>
          <w:sz w:val="20"/>
        </w:rPr>
        <w:t>Multi-turn benefits:</w:t>
      </w:r>
      <w:r>
        <w:rPr>
          <w:rFonts w:ascii="Calibri" w:hAnsi="Calibri"/>
          <w:color w:val="333333"/>
          <w:sz w:val="20"/>
        </w:rPr>
        <w:t xml:space="preserve"> A clinician can ask "What trials are available for EGFR+ NSCLC?", receive a response, then follow up with "Which of those allow brain metastases?" without restating the initial context. The conversation memory ensures the second query is interpreted in the context of the EGFR+ NSCLC discussion.</w:t>
      </w:r>
    </w:p>
    <w:p>
      <w:pPr>
        <w:pStyle w:val="Heading2"/>
        <w:spacing w:before="280" w:after="120"/>
      </w:pPr>
      <w:r>
        <w:rPr>
          <w:rFonts w:ascii="Calibri" w:hAnsi="Calibri"/>
          <w:b/>
          <w:color w:val="1AAFCC"/>
          <w:sz w:val="26"/>
        </w:rPr>
        <w:t>Graph-Enhanced Vector Search</w:t>
      </w:r>
    </w:p>
    <w:p>
      <w:pPr>
        <w:spacing w:before="0" w:after="120"/>
      </w:pPr>
      <w:r>
        <w:rPr>
          <w:rFonts w:ascii="Calibri" w:hAnsi="Calibri"/>
          <w:color w:val="333333"/>
          <w:sz w:val="20"/>
        </w:rPr>
        <w:t>Beyond pure vector similarity, the RAG engine performs entity extraction and graph traversal to identify semantically related documents that may not share surface-level similarity.</w:t>
      </w:r>
    </w:p>
    <w:p>
      <w:pPr>
        <w:spacing w:before="0" w:after="120"/>
      </w:pPr>
      <w:r>
        <w:rPr>
          <w:rFonts w:ascii="Calibri" w:hAnsi="Calibri"/>
          <w:b/>
          <w:color w:val="333333"/>
          <w:sz w:val="20"/>
        </w:rPr>
        <w:t>Entity extraction:</w:t>
      </w:r>
      <w:r>
        <w:rPr>
          <w:rFonts w:ascii="Calibri" w:hAnsi="Calibri"/>
          <w:color w:val="333333"/>
          <w:sz w:val="20"/>
        </w:rPr>
        <w:t xml:space="preserve"> The query expansion pipeline identifies clinical entities (drugs, biomarkers, conditions, genes) in the query. These entities are used to:</w:t>
      </w:r>
    </w:p>
    <w:p>
      <w:pPr>
        <w:spacing w:before="40" w:after="40"/>
        <w:ind w:left="504" w:hanging="288"/>
      </w:pPr>
      <w:r>
        <w:rPr>
          <w:rFonts w:ascii="Calibri" w:hAnsi="Calibri"/>
          <w:b/>
          <w:color w:val="333333"/>
          <w:sz w:val="20"/>
        </w:rPr>
        <w:t xml:space="preserve">1.  </w:t>
      </w:r>
      <w:r>
        <w:rPr>
          <w:rFonts w:ascii="Calibri" w:hAnsi="Calibri"/>
          <w:color w:val="333333"/>
          <w:sz w:val="20"/>
        </w:rPr>
        <w:t>Apply Milvus field filters (e.g., filter trial_protocols by indication="NSCLC")</w:t>
      </w:r>
    </w:p>
    <w:p>
      <w:pPr>
        <w:spacing w:before="40" w:after="40"/>
        <w:ind w:left="504" w:hanging="288"/>
      </w:pPr>
      <w:r>
        <w:rPr>
          <w:rFonts w:ascii="Calibri" w:hAnsi="Calibri"/>
          <w:b/>
          <w:color w:val="333333"/>
          <w:sz w:val="20"/>
        </w:rPr>
        <w:t xml:space="preserve">2.  </w:t>
      </w:r>
      <w:r>
        <w:rPr>
          <w:rFonts w:ascii="Calibri" w:hAnsi="Calibri"/>
          <w:color w:val="333333"/>
          <w:sz w:val="20"/>
        </w:rPr>
        <w:t>Look up related entities in the knowledge base (e.g., EGFR -&gt; osimertinib, gefitinib, erlotinib, afatinib)</w:t>
      </w:r>
    </w:p>
    <w:p>
      <w:pPr>
        <w:spacing w:before="40" w:after="40"/>
        <w:ind w:left="504" w:hanging="288"/>
      </w:pPr>
      <w:r>
        <w:rPr>
          <w:rFonts w:ascii="Calibri" w:hAnsi="Calibri"/>
          <w:b/>
          <w:color w:val="333333"/>
          <w:sz w:val="20"/>
        </w:rPr>
        <w:t xml:space="preserve">3.  </w:t>
      </w:r>
      <w:r>
        <w:rPr>
          <w:rFonts w:ascii="Calibri" w:hAnsi="Calibri"/>
          <w:color w:val="333333"/>
          <w:sz w:val="20"/>
        </w:rPr>
        <w:t>Expand the search to include documents about related entities</w:t>
      </w:r>
    </w:p>
    <w:p>
      <w:pPr>
        <w:spacing w:before="0" w:after="120"/>
      </w:pPr>
      <w:r>
        <w:rPr>
          <w:rFonts w:ascii="Calibri" w:hAnsi="Calibri"/>
          <w:b/>
          <w:color w:val="333333"/>
          <w:sz w:val="20"/>
        </w:rPr>
        <w:t>Graph traversal pattern:</w:t>
      </w:r>
    </w:p>
    <w:p>
      <w:pPr>
        <w:spacing w:before="0" w:after="0" w:line="240" w:lineRule="auto"/>
        <w:ind w:left="288"/>
        <w:shd w:val="clear" w:fill="F0F0F0"/>
      </w:pPr>
      <w:r>
        <w:rPr>
          <w:rFonts w:ascii="Courier New" w:hAnsi="Courier New"/>
          <w:color w:val="444444"/>
          <w:sz w:val="18"/>
        </w:rPr>
        <w:t>Query entity: "EGFR L858R"</w:t>
      </w:r>
    </w:p>
    <w:p>
      <w:pPr>
        <w:spacing w:before="0" w:after="0" w:line="240" w:lineRule="auto"/>
        <w:ind w:left="288"/>
        <w:shd w:val="clear" w:fill="F0F0F0"/>
      </w:pPr>
      <w:r>
        <w:rPr>
          <w:rFonts w:ascii="Courier New" w:hAnsi="Courier New"/>
          <w:color w:val="444444"/>
          <w:sz w:val="18"/>
        </w:rPr>
        <w:t xml:space="preserve">  → Gene: EGFR</w:t>
      </w:r>
    </w:p>
    <w:p>
      <w:pPr>
        <w:spacing w:before="0" w:after="0" w:line="240" w:lineRule="auto"/>
        <w:ind w:left="288"/>
        <w:shd w:val="clear" w:fill="F0F0F0"/>
      </w:pPr>
      <w:r>
        <w:rPr>
          <w:rFonts w:ascii="Courier New" w:hAnsi="Courier New"/>
          <w:color w:val="444444"/>
          <w:sz w:val="18"/>
        </w:rPr>
        <w:t xml:space="preserve">    → Targeted therapies: osimertinib, erlotinib, gefitinib, afatinib</w:t>
      </w:r>
    </w:p>
    <w:p>
      <w:pPr>
        <w:spacing w:before="0" w:after="0" w:line="240" w:lineRule="auto"/>
        <w:ind w:left="288"/>
        <w:shd w:val="clear" w:fill="F0F0F0"/>
      </w:pPr>
      <w:r>
        <w:rPr>
          <w:rFonts w:ascii="Courier New" w:hAnsi="Courier New"/>
          <w:color w:val="444444"/>
          <w:sz w:val="18"/>
        </w:rPr>
        <w:t xml:space="preserve">    → Resistance mechanisms: T790M, C797S, MET amplification</w:t>
      </w:r>
    </w:p>
    <w:p>
      <w:pPr>
        <w:spacing w:before="0" w:after="0" w:line="240" w:lineRule="auto"/>
        <w:ind w:left="288"/>
        <w:shd w:val="clear" w:fill="F0F0F0"/>
      </w:pPr>
      <w:r>
        <w:rPr>
          <w:rFonts w:ascii="Courier New" w:hAnsi="Courier New"/>
          <w:color w:val="444444"/>
          <w:sz w:val="18"/>
        </w:rPr>
        <w:t xml:space="preserve">    → Diagnostic: FoundationOne CDx, Guardant360 CDx</w:t>
      </w:r>
    </w:p>
    <w:p>
      <w:pPr>
        <w:spacing w:before="0" w:after="0" w:line="240" w:lineRule="auto"/>
        <w:ind w:left="288"/>
        <w:shd w:val="clear" w:fill="F0F0F0"/>
      </w:pPr>
      <w:r>
        <w:rPr>
          <w:rFonts w:ascii="Courier New" w:hAnsi="Courier New"/>
          <w:color w:val="444444"/>
          <w:sz w:val="18"/>
        </w:rPr>
        <w:t xml:space="preserve">    → Trial: FLAURA, AURA3, MARIPOSA</w:t>
      </w:r>
    </w:p>
    <w:p>
      <w:pPr>
        <w:spacing w:before="0" w:after="0" w:line="240" w:lineRule="auto"/>
        <w:ind w:left="288"/>
        <w:shd w:val="clear" w:fill="F0F0F0"/>
      </w:pPr>
      <w:r>
        <w:rPr>
          <w:rFonts w:ascii="Courier New" w:hAnsi="Courier New"/>
          <w:color w:val="444444"/>
          <w:sz w:val="18"/>
        </w:rPr>
        <w:t xml:space="preserve">  → Mutation type: activating point mutation</w:t>
      </w:r>
    </w:p>
    <w:p>
      <w:pPr>
        <w:spacing w:before="0" w:after="0" w:line="240" w:lineRule="auto"/>
        <w:ind w:left="288"/>
        <w:shd w:val="clear" w:fill="F0F0F0"/>
      </w:pPr>
      <w:r>
        <w:rPr>
          <w:rFonts w:ascii="Courier New" w:hAnsi="Courier New"/>
          <w:color w:val="444444"/>
          <w:sz w:val="18"/>
        </w:rPr>
        <w:t xml:space="preserve">    → Similar mutations: EGFR L861Q, EGFR G719X</w:t>
      </w:r>
    </w:p>
    <w:p>
      <w:pPr>
        <w:spacing w:before="0" w:after="0" w:line="240" w:lineRule="auto"/>
        <w:ind w:left="288"/>
        <w:shd w:val="clear" w:fill="F0F0F0"/>
      </w:pPr>
      <w:r>
        <w:rPr>
          <w:rFonts w:ascii="Courier New" w:hAnsi="Courier New"/>
          <w:color w:val="444444"/>
          <w:sz w:val="18"/>
        </w:rPr>
        <w:t xml:space="preserve">    → Sensitivity: TKI-sensitive</w:t>
      </w:r>
    </w:p>
    <w:p>
      <w:pPr>
        <w:spacing w:before="0" w:after="120"/>
      </w:pPr>
      <w:r>
        <w:rPr>
          <w:rFonts w:ascii="Calibri" w:hAnsi="Calibri"/>
          <w:color w:val="333333"/>
          <w:sz w:val="20"/>
        </w:rPr>
        <w:t>The graph traversal retrieves documents that are conceptually related (resistance mechanisms for the same target, alternative drugs for the same mutation) even if they would not rank highly in a pure vector similarity search. The graph-derived results are merged with the vector search results and re-ranked using the combined score.</w:t>
      </w:r>
    </w:p>
    <w:p>
      <w:pPr>
        <w:spacing w:before="80" w:after="80"/>
        <w:pBdr>
          <w:bottom w:val="single" w:sz="6" w:color="1AAFCC"/>
        </w:pBdr>
      </w:pPr>
    </w:p>
    <w:p>
      <w:pPr>
        <w:pStyle w:val="Heading1"/>
        <w:spacing w:before="400" w:after="160"/>
      </w:pPr>
      <w:r>
        <w:rPr>
          <w:rFonts w:ascii="Calibri" w:hAnsi="Calibri"/>
          <w:b/>
          <w:color w:val="1B2333"/>
          <w:sz w:val="32"/>
        </w:rPr>
        <w:t>Glossary of Advanced Terms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Term</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Definition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**AESI**</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Adverse Event of Special Interest -- a pre-defined adverse event that warrants enhanced monitoring and systematic collection in a clinical trial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**BAR**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Bayesian Adaptive Randomization -- a randomization scheme that updates allocation probabilities based on accumulating efficacy data</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**BTD**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Breakthrough Therapy Designation -- FDA designation for drugs demonstrating substantial improvement over existing treatments, providing intensive guidance and rolling review</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**CDx**</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Companion Diagnostic -- an in vitro diagnostic device that provides information essential for the safe and effective use of a corresponding therapeutic product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**ctDNA**</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Circulating Tumor DNA -- tumor-derived DNA fragments circulating in the bloodstream, used for non-invasive genotyping and minimal residual disease detection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**DSMB**</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Data Safety Monitoring Board -- an independent committee that reviews unblinded safety and efficacy data during a clinical trial and can recommend early termination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**EBGM**</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Empirical Bayes Geometric Mean -- a Bayesian signal detection metric used in FAERS that shrinks observed-to-expected ratios to reduce false positives from rare events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**EVDAS**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EudraVigilance Data Analysis System -- the EMA's pharmacovigilance signal detection system</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**FAERS**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Adverse Event Reporting System -- the FDA's post-marketing safety database containing 30M+ adverse event reports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Information Component -- a Bayesian disproportionality metric used by the WHO Uppsala Monitoring Centre for signal detection in VigiBase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**ICH**</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International Council for Harmonisation -- the organization that develops harmonized guidelines for pharmaceutical regulation accepted by FDA, EMA, PMDA, and other agencies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**irAE**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Immune-Related Adverse Event -- adverse events arising from immune system activation caused by checkpoint inhibitors or other immunotherapies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Loss of Exclusivity -- the date when a drug's patent and regulatory exclusivity expire, enabling generic or biosimilar competition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**MedDRA**</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Medical Dictionary for Regulatory Activities -- the standardized medical terminology used for adverse event coding in clinical trials and pharmacovigilance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**MGPS**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Multi-item Gamma-Poisson Shrinker -- the Bayesian statistical model underlying the FDA's FAERS signal detection system</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**MRD**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Minimal Residual Disease -- residual cancer cells remaining after treatment that are below the detection threshold of conventional methods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Probability of Success -- the likelihood that a drug program will advance from its current phase to approval, based on historical transition rates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**PRIME**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PRIority MEdicines -- the EMA's enhanced support scheme for drugs targeting unmet medical needs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Proportional Reporting Ratio -- a frequentist disproportionality metric comparing the proportion of a specific adverse event for a drug to the proportion for all other drugs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**QbD**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Quality by Design -- an ICH E8(R1) concept where study quality is built in through identification and control of critical-to-quality factors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**ROR**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Reporting Odds Ratio -- a frequentist disproportionality metric using the odds ratio from the 2x2 reporting table for signal detection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**RTOR**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Real-Time Oncology Review -- an FDA program allowing pre-submission data review to accelerate oncology drug approvals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**SAKIGAKE**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Japan's Pioneer designation for expedited review of innovative drugs targeting serious diseases with unmet need</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**SMQ**</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Standardised MedDRA Query -- pre-defined groupings of MedDRA Preferred Terms that represent a medical concept of interest for safety analysis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**SSR**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Sample Size Re-estimation -- an adaptive design feature allowing adjustment of the planned sample size at an interim analysis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**TreeScan**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tree-based scan statistic method for hierarchical signal detection across the MedDRA hierarchy without pre-specifying the analysis level</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**VigiBase**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The WHO global pharmacovigilance database maintained by the Uppsala Monitoring Centre, containing 35M+ adverse event reports from 140+ countries</w:t>
            </w:r>
          </w:p>
        </w:tc>
      </w:tr>
    </w:tbl>
    <w:p>
      <w:pPr>
        <w:spacing w:before="40" w:after="80"/>
      </w:pPr>
    </w:p>
    <w:p>
      <w:pPr>
        <w:spacing w:before="80" w:after="80"/>
        <w:pBdr>
          <w:bottom w:val="single" w:sz="6" w:color="1AAFCC"/>
        </w:pBdr>
      </w:pPr>
    </w:p>
    <w:p>
      <w:pPr>
        <w:spacing w:before="0" w:after="120"/>
      </w:pPr>
      <w:r>
        <w:rPr>
          <w:rFonts w:ascii="Calibri" w:hAnsi="Calibri"/>
          <w:i/>
          <w:color w:val="333333"/>
          <w:sz w:val="20"/>
        </w:rPr>
        <w:t>Clinical Trial Intelligence Agent -- Learning Guide: Advanced</w:t>
      </w:r>
    </w:p>
    <w:p>
      <w:pPr>
        <w:spacing w:before="0" w:after="120"/>
      </w:pPr>
      <w:r>
        <w:rPr>
          <w:rFonts w:ascii="Calibri" w:hAnsi="Calibri"/>
          <w:i/>
          <w:color w:val="333333"/>
          <w:sz w:val="20"/>
        </w:rPr>
        <w:t>HCLS AI Factory | Apache 2.0 | Adam Jones | March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Clinical Trial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