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left"/>
      </w:pPr>
      <w:r>
        <w:rPr>
          <w:rFonts w:ascii="Calibri" w:hAnsi="Calibri"/>
          <w:b/>
          <w:color w:val="1B2333"/>
          <w:sz w:val="48"/>
        </w:rPr>
        <w:t>Clinical Trial Intelligence Agent -- White Paper</w:t>
      </w:r>
    </w:p>
    <w:p>
      <w:pPr>
        <w:pStyle w:val="Heading1"/>
        <w:spacing w:before="400" w:after="160"/>
      </w:pPr>
      <w:r>
        <w:rPr>
          <w:rFonts w:ascii="Calibri" w:hAnsi="Calibri"/>
          <w:b/>
          <w:color w:val="1B2333"/>
          <w:sz w:val="32"/>
        </w:rPr>
        <w:t>RAG-Powered Decision Support for Clinical Trial Design and Optimization</w:t>
      </w:r>
    </w:p>
    <w:p>
      <w:pPr>
        <w:spacing w:before="0" w:after="120"/>
      </w:pPr>
      <w:r>
        <w:rPr>
          <w:rFonts w:ascii="Calibri" w:hAnsi="Calibri"/>
          <w:b/>
          <w:color w:val="333333"/>
          <w:sz w:val="20"/>
        </w:rPr>
        <w:t>Version:</w:t>
      </w:r>
      <w:r>
        <w:rPr>
          <w:rFonts w:ascii="Calibri" w:hAnsi="Calibri"/>
          <w:color w:val="333333"/>
          <w:sz w:val="20"/>
        </w:rPr>
        <w:t xml:space="preserve"> 2.0.0</w:t>
      </w:r>
    </w:p>
    <w:p>
      <w:pPr>
        <w:spacing w:before="0" w:after="120"/>
      </w:pPr>
      <w:r>
        <w:rPr>
          <w:rFonts w:ascii="Calibri" w:hAnsi="Calibri"/>
          <w:b/>
          <w:color w:val="333333"/>
          <w:sz w:val="20"/>
        </w:rPr>
        <w:t>Date:</w:t>
      </w:r>
      <w:r>
        <w:rPr>
          <w:rFonts w:ascii="Calibri" w:hAnsi="Calibri"/>
          <w:color w:val="333333"/>
          <w:sz w:val="20"/>
        </w:rPr>
        <w:t xml:space="preserve"> March 22, 2026</w:t>
      </w:r>
    </w:p>
    <w:p>
      <w:pPr>
        <w:spacing w:before="0" w:after="120"/>
      </w:pPr>
      <w:r>
        <w:rPr>
          <w:rFonts w:ascii="Calibri" w:hAnsi="Calibri"/>
          <w:b/>
          <w:color w:val="333333"/>
          <w:sz w:val="20"/>
        </w:rPr>
        <w:t>Author:</w:t>
      </w:r>
      <w:r>
        <w:rPr>
          <w:rFonts w:ascii="Calibri" w:hAnsi="Calibri"/>
          <w:color w:val="333333"/>
          <w:sz w:val="20"/>
        </w:rPr>
        <w:t xml:space="preserve"> Adam Jones</w:t>
      </w:r>
    </w:p>
    <w:p>
      <w:pPr>
        <w:spacing w:before="0" w:after="120"/>
      </w:pPr>
      <w:r>
        <w:rPr>
          <w:rFonts w:ascii="Calibri" w:hAnsi="Calibri"/>
          <w:b/>
          <w:color w:val="333333"/>
          <w:sz w:val="20"/>
        </w:rPr>
        <w:t>Platform:</w:t>
      </w:r>
      <w:r>
        <w:rPr>
          <w:rFonts w:ascii="Calibri" w:hAnsi="Calibri"/>
          <w:color w:val="333333"/>
          <w:sz w:val="20"/>
        </w:rPr>
        <w:t xml:space="preserve"> NVIDIA DGX Spark -- HCLS AI Factory</w:t>
      </w:r>
    </w:p>
    <w:p>
      <w:pPr>
        <w:spacing w:before="0" w:after="120"/>
      </w:pPr>
      <w:r>
        <w:rPr>
          <w:rFonts w:ascii="Calibri" w:hAnsi="Calibri"/>
          <w:b/>
          <w:color w:val="333333"/>
          <w:sz w:val="20"/>
        </w:rPr>
        <w:t>Contact:</w:t>
      </w:r>
      <w:r>
        <w:rPr>
          <w:rFonts w:ascii="Calibri" w:hAnsi="Calibri"/>
          <w:color w:val="333333"/>
          <w:sz w:val="20"/>
        </w:rPr>
        <w:t xml:space="preserve"> HCLS AI Factory Project</w:t>
      </w:r>
    </w:p>
    <w:p>
      <w:pPr>
        <w:spacing w:before="80" w:after="80"/>
        <w:pBdr>
          <w:bottom w:val="single" w:sz="6" w:color="1AAFCC"/>
        </w:pBdr>
      </w:pPr>
    </w:p>
    <w:p>
      <w:pPr>
        <w:pStyle w:val="Heading1"/>
        <w:spacing w:before="400" w:after="160"/>
      </w:pPr>
      <w:r>
        <w:rPr>
          <w:rFonts w:ascii="Calibri" w:hAnsi="Calibri"/>
          <w:b/>
          <w:color w:val="1B2333"/>
          <w:sz w:val="32"/>
        </w:rPr>
        <w:t>Abstract</w:t>
      </w:r>
    </w:p>
    <w:p>
      <w:pPr>
        <w:spacing w:before="0" w:after="120"/>
      </w:pPr>
      <w:r>
        <w:rPr>
          <w:rFonts w:ascii="Calibri" w:hAnsi="Calibri"/>
          <w:color w:val="333333"/>
          <w:sz w:val="20"/>
        </w:rPr>
        <w:t>Clinical trial design and execution remain among the most expensive and failure-prone activities in pharmaceutical R&amp;D. Approximately 90% of drug candidates fail in clinical development, with Phase 2 and Phase 3 failures alone costing the industry over $40 billion annually. Protocol complexity has increased 86% over the past decade, while enrollment timelines have grown 30%, contributing to a median Phase 3 trial cost exceeding $48 million. This paper presents the Clinical Trial Intelligence Agent, a retrieval-augmented generation (RAG) system deployed on NVIDIA DGX Spark hardware that integrates 14 domain-specific vector collections, 10 clinical workflows, 5 calibrated decision support engines, and 40 landmark trial reference cases to provide evidence-based guidance across the trial lifecycle. The system achieves sub-second query response with 769 passing tests at a 100% pass rate, covering protocol design, patient-trial matching, eligibility optimization, adaptive design evaluation, safety signal detection, regulatory document generation, competitive intelligence, diversity assessment, and decentralized trial planning.</w:t>
      </w:r>
    </w:p>
    <w:p>
      <w:pPr>
        <w:spacing w:before="80" w:after="80"/>
        <w:pBdr>
          <w:bottom w:val="single" w:sz="6" w:color="1AAFCC"/>
        </w:pBdr>
      </w:pPr>
    </w:p>
    <w:p>
      <w:pPr>
        <w:pStyle w:val="Heading1"/>
        <w:spacing w:before="400" w:after="160"/>
      </w:pPr>
      <w:r>
        <w:rPr>
          <w:rFonts w:ascii="Calibri" w:hAnsi="Calibri"/>
          <w:b/>
          <w:color w:val="1B2333"/>
          <w:sz w:val="32"/>
        </w:rPr>
        <w:t>1. The Clinical Trial Efficiency Crisis</w:t>
      </w:r>
    </w:p>
    <w:p>
      <w:pPr>
        <w:pStyle w:val="Heading2"/>
        <w:spacing w:before="280" w:after="120"/>
      </w:pPr>
      <w:r>
        <w:rPr>
          <w:rFonts w:ascii="Calibri" w:hAnsi="Calibri"/>
          <w:b/>
          <w:color w:val="1AAFCC"/>
          <w:sz w:val="26"/>
        </w:rPr>
        <w:t>1.1 Scale of the Problem</w:t>
      </w:r>
    </w:p>
    <w:p>
      <w:pPr>
        <w:spacing w:before="0" w:after="120"/>
      </w:pPr>
      <w:r>
        <w:rPr>
          <w:rFonts w:ascii="Calibri" w:hAnsi="Calibri"/>
          <w:color w:val="333333"/>
          <w:sz w:val="20"/>
        </w:rPr>
        <w:t>The pharmaceutical industry invests approximately $2.6 billion to bring a single new drug to market, with clinical trials consuming 60-70% of total development costs. The average Phase 3 trial takes 3-5 years, enrolls 300-3,000+ participants across 50-200 sites in multiple countries, and has a failure rate of 50-60% depending on therapeutic area.</w:t>
      </w:r>
    </w:p>
    <w:p>
      <w:pPr>
        <w:spacing w:before="0" w:after="120"/>
      </w:pPr>
      <w:r>
        <w:rPr>
          <w:rFonts w:ascii="Calibri" w:hAnsi="Calibri"/>
          <w:color w:val="333333"/>
          <w:sz w:val="20"/>
        </w:rPr>
        <w:t>Key challenges include:</w:t>
      </w:r>
    </w:p>
    <w:p>
      <w:pPr>
        <w:spacing w:before="40" w:after="40"/>
        <w:ind w:left="504" w:hanging="216"/>
      </w:pPr>
      <w:r>
        <w:rPr>
          <w:rFonts w:ascii="Calibri" w:hAnsi="Calibri"/>
          <w:color w:val="1AAFCC"/>
          <w:sz w:val="20"/>
        </w:rPr>
        <w:t xml:space="preserve">•  </w:t>
      </w:r>
      <w:r>
        <w:rPr>
          <w:rFonts w:ascii="Calibri" w:hAnsi="Calibri"/>
          <w:b/>
          <w:color w:val="333333"/>
          <w:sz w:val="20"/>
        </w:rPr>
        <w:t>Protocol complexity:</w:t>
      </w:r>
      <w:r>
        <w:rPr>
          <w:rFonts w:ascii="Calibri" w:hAnsi="Calibri"/>
          <w:color w:val="333333"/>
          <w:sz w:val="20"/>
        </w:rPr>
        <w:t xml:space="preserve"> The average protocol now includes 20+ procedures per visit, 12+ endpoints, and 30+ eligibility criteria -- an 86% increase in complexity over the past decade (Tufts CSDD)</w:t>
      </w:r>
    </w:p>
    <w:p>
      <w:pPr>
        <w:spacing w:before="40" w:after="40"/>
        <w:ind w:left="504" w:hanging="216"/>
      </w:pPr>
      <w:r>
        <w:rPr>
          <w:rFonts w:ascii="Calibri" w:hAnsi="Calibri"/>
          <w:color w:val="1AAFCC"/>
          <w:sz w:val="20"/>
        </w:rPr>
        <w:t xml:space="preserve">•  </w:t>
      </w:r>
      <w:r>
        <w:rPr>
          <w:rFonts w:ascii="Calibri" w:hAnsi="Calibri"/>
          <w:b/>
          <w:color w:val="333333"/>
          <w:sz w:val="20"/>
        </w:rPr>
        <w:t>Enrollment delays:</w:t>
      </w:r>
      <w:r>
        <w:rPr>
          <w:rFonts w:ascii="Calibri" w:hAnsi="Calibri"/>
          <w:color w:val="333333"/>
          <w:sz w:val="20"/>
        </w:rPr>
        <w:t xml:space="preserve"> 80% of trials fail to meet enrollment timelines, adding an average of 6 months and $8 million in costs per trial</w:t>
      </w:r>
    </w:p>
    <w:p>
      <w:pPr>
        <w:spacing w:before="40" w:after="40"/>
        <w:ind w:left="504" w:hanging="216"/>
      </w:pPr>
      <w:r>
        <w:rPr>
          <w:rFonts w:ascii="Calibri" w:hAnsi="Calibri"/>
          <w:color w:val="1AAFCC"/>
          <w:sz w:val="20"/>
        </w:rPr>
        <w:t xml:space="preserve">•  </w:t>
      </w:r>
      <w:r>
        <w:rPr>
          <w:rFonts w:ascii="Calibri" w:hAnsi="Calibri"/>
          <w:b/>
          <w:color w:val="333333"/>
          <w:sz w:val="20"/>
        </w:rPr>
        <w:t>Screen failure rates:</w:t>
      </w:r>
      <w:r>
        <w:rPr>
          <w:rFonts w:ascii="Calibri" w:hAnsi="Calibri"/>
          <w:color w:val="333333"/>
          <w:sz w:val="20"/>
        </w:rPr>
        <w:t xml:space="preserve"> 20-40% of screened patients fail to meet eligibility criteria, often due to overly restrictive criteria without strong scientific justification</w:t>
      </w:r>
    </w:p>
    <w:p>
      <w:pPr>
        <w:spacing w:before="40" w:after="40"/>
        <w:ind w:left="504" w:hanging="216"/>
      </w:pPr>
      <w:r>
        <w:rPr>
          <w:rFonts w:ascii="Calibri" w:hAnsi="Calibri"/>
          <w:color w:val="1AAFCC"/>
          <w:sz w:val="20"/>
        </w:rPr>
        <w:t xml:space="preserve">•  </w:t>
      </w:r>
      <w:r>
        <w:rPr>
          <w:rFonts w:ascii="Calibri" w:hAnsi="Calibri"/>
          <w:b/>
          <w:color w:val="333333"/>
          <w:sz w:val="20"/>
        </w:rPr>
        <w:t>Protocol amendments:</w:t>
      </w:r>
      <w:r>
        <w:rPr>
          <w:rFonts w:ascii="Calibri" w:hAnsi="Calibri"/>
          <w:color w:val="333333"/>
          <w:sz w:val="20"/>
        </w:rPr>
        <w:t xml:space="preserve"> 57% of Phase 3 trials require at least one substantial amendment, each costing $450,000-$500,000 on average</w:t>
      </w:r>
    </w:p>
    <w:p>
      <w:pPr>
        <w:spacing w:before="40" w:after="40"/>
        <w:ind w:left="504" w:hanging="216"/>
      </w:pPr>
      <w:r>
        <w:rPr>
          <w:rFonts w:ascii="Calibri" w:hAnsi="Calibri"/>
          <w:color w:val="1AAFCC"/>
          <w:sz w:val="20"/>
        </w:rPr>
        <w:t xml:space="preserve">•  </w:t>
      </w:r>
      <w:r>
        <w:rPr>
          <w:rFonts w:ascii="Calibri" w:hAnsi="Calibri"/>
          <w:b/>
          <w:color w:val="333333"/>
          <w:sz w:val="20"/>
        </w:rPr>
        <w:t>Site performance variability:</w:t>
      </w:r>
      <w:r>
        <w:rPr>
          <w:rFonts w:ascii="Calibri" w:hAnsi="Calibri"/>
          <w:color w:val="333333"/>
          <w:sz w:val="20"/>
        </w:rPr>
        <w:t xml:space="preserve"> 30% of investigational sites fail to enroll a single patient, while the top 10% of sites contribute 50% of total enrollment</w:t>
      </w:r>
    </w:p>
    <w:p>
      <w:pPr>
        <w:spacing w:before="40" w:after="40"/>
        <w:ind w:left="504" w:hanging="216"/>
      </w:pPr>
      <w:r>
        <w:rPr>
          <w:rFonts w:ascii="Calibri" w:hAnsi="Calibri"/>
          <w:color w:val="1AAFCC"/>
          <w:sz w:val="20"/>
        </w:rPr>
        <w:t xml:space="preserve">•  </w:t>
      </w:r>
      <w:r>
        <w:rPr>
          <w:rFonts w:ascii="Calibri" w:hAnsi="Calibri"/>
          <w:b/>
          <w:color w:val="333333"/>
          <w:sz w:val="20"/>
        </w:rPr>
        <w:t>Regulatory complexity:</w:t>
      </w:r>
      <w:r>
        <w:rPr>
          <w:rFonts w:ascii="Calibri" w:hAnsi="Calibri"/>
          <w:color w:val="333333"/>
          <w:sz w:val="20"/>
        </w:rPr>
        <w:t xml:space="preserve"> Sponsors must navigate 9+ regulatory agencies with differing requirements for multinational trials</w:t>
      </w:r>
    </w:p>
    <w:p>
      <w:pPr>
        <w:pStyle w:val="Heading2"/>
        <w:spacing w:before="280" w:after="120"/>
      </w:pPr>
      <w:r>
        <w:rPr>
          <w:rFonts w:ascii="Calibri" w:hAnsi="Calibri"/>
          <w:b/>
          <w:color w:val="1AAFCC"/>
          <w:sz w:val="26"/>
        </w:rPr>
        <w:t>1.2 Information Fragmentation</w:t>
      </w:r>
    </w:p>
    <w:p>
      <w:pPr>
        <w:spacing w:before="0" w:after="120"/>
      </w:pPr>
      <w:r>
        <w:rPr>
          <w:rFonts w:ascii="Calibri" w:hAnsi="Calibri"/>
          <w:color w:val="333333"/>
          <w:sz w:val="20"/>
        </w:rPr>
        <w:t>Clinical trial teams currently rely on fragmented information sources: ClinicalTrials.gov for competitor protocols, PubMed for literature evidence, FDA/EMA databases for regulatory precedent, and internal knowledge management systems. No existing tool unifies these sources into a coherent, queryable intelligence layer that can answer complex questions like "What adaptive design should I use for a Phase 2/3 seamless trial in EGFR-mutant NSCLC, given the competitive landscape and FDA guidance?"</w:t>
      </w:r>
    </w:p>
    <w:p>
      <w:pPr>
        <w:pStyle w:val="Heading2"/>
        <w:spacing w:before="280" w:after="120"/>
      </w:pPr>
      <w:r>
        <w:rPr>
          <w:rFonts w:ascii="Calibri" w:hAnsi="Calibri"/>
          <w:b/>
          <w:color w:val="1AAFCC"/>
          <w:sz w:val="26"/>
        </w:rPr>
        <w:t>1.3 The Case for AI-Augmented Trial Intelligence</w:t>
      </w:r>
    </w:p>
    <w:p>
      <w:pPr>
        <w:spacing w:before="0" w:after="120"/>
      </w:pPr>
      <w:r>
        <w:rPr>
          <w:rFonts w:ascii="Calibri" w:hAnsi="Calibri"/>
          <w:color w:val="333333"/>
          <w:sz w:val="20"/>
        </w:rPr>
        <w:t>Recent advances in large language models (LLMs) and retrieval-augmented generation (RAG) create an opportunity to address this fragmentation. RAG systems combine the factual precision of structured databases with the reasoning and synthesis capabilities of LLMs, enabling evidence-based answers grounded in real trial data, regulatory guidance, and clinical outcomes.</w:t>
      </w:r>
    </w:p>
    <w:p>
      <w:pPr>
        <w:spacing w:before="80" w:after="80"/>
        <w:pBdr>
          <w:bottom w:val="single" w:sz="6" w:color="1AAFCC"/>
        </w:pBdr>
      </w:pPr>
    </w:p>
    <w:p>
      <w:pPr>
        <w:pStyle w:val="Heading1"/>
        <w:spacing w:before="400" w:after="160"/>
      </w:pPr>
      <w:r>
        <w:rPr>
          <w:rFonts w:ascii="Calibri" w:hAnsi="Calibri"/>
          <w:b/>
          <w:color w:val="1B2333"/>
          <w:sz w:val="32"/>
        </w:rPr>
        <w:t>2. System Architecture</w:t>
      </w:r>
    </w:p>
    <w:p>
      <w:pPr>
        <w:pStyle w:val="Heading2"/>
        <w:spacing w:before="280" w:after="120"/>
      </w:pPr>
      <w:r>
        <w:rPr>
          <w:rFonts w:ascii="Calibri" w:hAnsi="Calibri"/>
          <w:b/>
          <w:color w:val="1AAFCC"/>
          <w:sz w:val="26"/>
        </w:rPr>
        <w:t>2.1 Design Philosophy</w:t>
      </w:r>
    </w:p>
    <w:p>
      <w:pPr>
        <w:spacing w:before="0" w:after="120"/>
      </w:pPr>
      <w:r>
        <w:rPr>
          <w:rFonts w:ascii="Calibri" w:hAnsi="Calibri"/>
          <w:color w:val="333333"/>
          <w:sz w:val="20"/>
        </w:rPr>
        <w:t>The Clinical Trial Intelligence Agent follows three core design principles:</w:t>
      </w:r>
    </w:p>
    <w:p>
      <w:pPr>
        <w:spacing w:before="40" w:after="40"/>
        <w:ind w:left="504" w:hanging="288"/>
      </w:pPr>
      <w:r>
        <w:rPr>
          <w:rFonts w:ascii="Calibri" w:hAnsi="Calibri"/>
          <w:b/>
          <w:color w:val="333333"/>
          <w:sz w:val="20"/>
        </w:rPr>
        <w:t xml:space="preserve">1.  </w:t>
      </w:r>
      <w:r>
        <w:rPr>
          <w:rFonts w:ascii="Calibri" w:hAnsi="Calibri"/>
          <w:b/>
          <w:color w:val="333333"/>
          <w:sz w:val="20"/>
        </w:rPr>
        <w:t>Evidence-first:</w:t>
      </w:r>
      <w:r>
        <w:rPr>
          <w:rFonts w:ascii="Calibri" w:hAnsi="Calibri"/>
          <w:color w:val="333333"/>
          <w:sz w:val="20"/>
        </w:rPr>
        <w:t xml:space="preserve"> Every recommendation is grounded in retrievable evidence from 14 specialized vector collections, not hallucinated by the LLM</w:t>
      </w:r>
    </w:p>
    <w:p>
      <w:pPr>
        <w:spacing w:before="40" w:after="40"/>
        <w:ind w:left="504" w:hanging="288"/>
      </w:pPr>
      <w:r>
        <w:rPr>
          <w:rFonts w:ascii="Calibri" w:hAnsi="Calibri"/>
          <w:b/>
          <w:color w:val="333333"/>
          <w:sz w:val="20"/>
        </w:rPr>
        <w:t xml:space="preserve">2.  </w:t>
      </w:r>
      <w:r>
        <w:rPr>
          <w:rFonts w:ascii="Calibri" w:hAnsi="Calibri"/>
          <w:b/>
          <w:color w:val="333333"/>
          <w:sz w:val="20"/>
        </w:rPr>
        <w:t>Graceful degradation:</w:t>
      </w:r>
      <w:r>
        <w:rPr>
          <w:rFonts w:ascii="Calibri" w:hAnsi="Calibri"/>
          <w:color w:val="333333"/>
          <w:sz w:val="20"/>
        </w:rPr>
        <w:t xml:space="preserve"> The system provides value at every connectivity level -- full RAG with LLM synthesis, search-only mode, workflow-only mode, or knowledge-base-only mode</w:t>
      </w:r>
    </w:p>
    <w:p>
      <w:pPr>
        <w:spacing w:before="40" w:after="40"/>
        <w:ind w:left="504" w:hanging="288"/>
      </w:pPr>
      <w:r>
        <w:rPr>
          <w:rFonts w:ascii="Calibri" w:hAnsi="Calibri"/>
          <w:b/>
          <w:color w:val="333333"/>
          <w:sz w:val="20"/>
        </w:rPr>
        <w:t xml:space="preserve">3.  </w:t>
      </w:r>
      <w:r>
        <w:rPr>
          <w:rFonts w:ascii="Calibri" w:hAnsi="Calibri"/>
          <w:b/>
          <w:color w:val="333333"/>
          <w:sz w:val="20"/>
        </w:rPr>
        <w:t>Domain calibration:</w:t>
      </w:r>
      <w:r>
        <w:rPr>
          <w:rFonts w:ascii="Calibri" w:hAnsi="Calibri"/>
          <w:color w:val="333333"/>
          <w:sz w:val="20"/>
        </w:rPr>
        <w:t xml:space="preserve"> Confidence scores are calibrated using a multi-factor model incorporating evidence level, document count, and cross-agent agreement, rather than raw LLM confidence</w:t>
      </w:r>
    </w:p>
    <w:p>
      <w:pPr>
        <w:pStyle w:val="Heading2"/>
        <w:spacing w:before="280" w:after="120"/>
      </w:pPr>
      <w:r>
        <w:rPr>
          <w:rFonts w:ascii="Calibri" w:hAnsi="Calibri"/>
          <w:b/>
          <w:color w:val="1AAFCC"/>
          <w:sz w:val="26"/>
        </w:rPr>
        <w:t>2.2 Three-Tier Architecture</w:t>
      </w:r>
    </w:p>
    <w:p>
      <w:pPr>
        <w:spacing w:before="0" w:after="120"/>
      </w:pPr>
      <w:r>
        <w:rPr>
          <w:rFonts w:ascii="Calibri" w:hAnsi="Calibri"/>
          <w:color w:val="333333"/>
          <w:sz w:val="20"/>
        </w:rPr>
        <w:t>The system is organized into presentation (Streamlit UI, port 8128), application (FastAPI REST API, port 8538), and data (Milvus vector store, port 19530) tiers. The application tier contains the core intelligence: 10 clinical workflows, 5 decision support engines, a multi-collection RAG engine, an autonomous agent pipeline, and a query expansion system with 140 entity aliases and 33 drug synonym mappings.</w:t>
      </w:r>
    </w:p>
    <w:p>
      <w:pPr>
        <w:pStyle w:val="Heading2"/>
        <w:spacing w:before="280" w:after="120"/>
      </w:pPr>
      <w:r>
        <w:rPr>
          <w:rFonts w:ascii="Calibri" w:hAnsi="Calibri"/>
          <w:b/>
          <w:color w:val="1AAFCC"/>
          <w:sz w:val="26"/>
        </w:rPr>
        <w:t>2.3 Hardware Platform</w:t>
      </w:r>
    </w:p>
    <w:p>
      <w:pPr>
        <w:spacing w:before="0" w:after="120"/>
      </w:pPr>
      <w:r>
        <w:rPr>
          <w:rFonts w:ascii="Calibri" w:hAnsi="Calibri"/>
          <w:color w:val="333333"/>
          <w:sz w:val="20"/>
        </w:rPr>
        <w:t>The system runs on NVIDIA DGX Spark as part of the HCLS AI Factory precision medicine platform. While the RAG engine and workflows have minimal compute requirements (2-4 CPU cores, 2-4 GB RAM), the DGX Spark platform provides GPU acceleration for embedding generation and co-location with the genomics pipeline, drug discovery pipeline, and four peer intelligence agents for cross-modal integration.</w:t>
      </w:r>
    </w:p>
    <w:p>
      <w:pPr>
        <w:spacing w:before="80" w:after="80"/>
        <w:pBdr>
          <w:bottom w:val="single" w:sz="6" w:color="1AAFCC"/>
        </w:pBdr>
      </w:pPr>
    </w:p>
    <w:p>
      <w:pPr>
        <w:pStyle w:val="Heading1"/>
        <w:spacing w:before="400" w:after="160"/>
      </w:pPr>
      <w:r>
        <w:rPr>
          <w:rFonts w:ascii="Calibri" w:hAnsi="Calibri"/>
          <w:b/>
          <w:color w:val="1B2333"/>
          <w:sz w:val="32"/>
        </w:rPr>
        <w:t>3. Knowledge Architecture</w:t>
      </w:r>
    </w:p>
    <w:p>
      <w:pPr>
        <w:pStyle w:val="Heading2"/>
        <w:spacing w:before="280" w:after="120"/>
      </w:pPr>
      <w:r>
        <w:rPr>
          <w:rFonts w:ascii="Calibri" w:hAnsi="Calibri"/>
          <w:b/>
          <w:color w:val="1AAFCC"/>
          <w:sz w:val="26"/>
        </w:rPr>
        <w:t>3.1 Fourteen Domain-Specific Collections</w:t>
      </w:r>
    </w:p>
    <w:p>
      <w:pPr>
        <w:spacing w:before="0" w:after="120"/>
      </w:pPr>
      <w:r>
        <w:rPr>
          <w:rFonts w:ascii="Calibri" w:hAnsi="Calibri"/>
          <w:color w:val="333333"/>
          <w:sz w:val="20"/>
        </w:rPr>
        <w:t>Unlike general-purpose RAG systems that use a single document collection, the Clinical Trial Intelligence Agent distributes knowledge across 14 specialized Milvus vector collections, each with domain-specific metadata fields: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Collection</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Purpose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Metadata</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trial_protocols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Protocol documents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status, sponsor, therapeutic_area</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trial_eligibility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Inclusion/exclusion criteria</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criterion_type, logic_operator, population_impact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trial_endpoints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Outcome measures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endpoint_type, time_frame, statistical_method</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trial_sites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Investigational sites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facility, city, country, enrollment_count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trial_investigators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Principal investigators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h_index, publication_count, specialty</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trial_results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Published outcomes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p_value, effect_size, confidence_interval</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trial_regulatory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Regulatory decisions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agency, decision, document_type, indication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trial_literature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Research publications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journal, mesh_terms, study_type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trial_biomarkers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Biomarker data</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assay, threshold, validated</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trial_safety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Adverse events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severity, frequency, soc_term</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trial_rwe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Real-world evidence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source, study_design, sample_size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trial_adaptive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Adaptive designs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design_type, decision_rule, trigger_criteria</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trial_guidelines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Regulatory guidelines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organization, version, evidence_class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genomic_evidence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Genomic variants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gene, variant, clinical_significance</w:t>
            </w:r>
          </w:p>
        </w:tc>
      </w:tr>
    </w:tbl>
    <w:p>
      <w:pPr>
        <w:spacing w:before="40" w:after="80"/>
      </w:pPr>
    </w:p>
    <w:p>
      <w:pPr>
        <w:spacing w:before="0" w:after="120"/>
      </w:pPr>
      <w:r>
        <w:rPr>
          <w:rFonts w:ascii="Calibri" w:hAnsi="Calibri"/>
          <w:color w:val="333333"/>
          <w:sz w:val="20"/>
        </w:rPr>
        <w:t xml:space="preserve">This multi-collection architecture enables workflow-specific weight boosting: when a user asks about safety signals, the </w:t>
      </w:r>
      <w:r>
        <w:rPr>
          <w:rFonts w:ascii="Courier New" w:hAnsi="Courier New"/>
          <w:color w:val="444444"/>
          <w:sz w:val="18"/>
        </w:rPr>
        <w:t>trial_safety</w:t>
      </w:r>
      <w:r>
        <w:rPr>
          <w:rFonts w:ascii="Calibri" w:hAnsi="Calibri"/>
          <w:color w:val="333333"/>
          <w:sz w:val="20"/>
        </w:rPr>
        <w:t xml:space="preserve"> collection receives 3x its default weight, ensuring adverse event data surfaces before protocol documents.</w:t>
      </w:r>
    </w:p>
    <w:p>
      <w:pPr>
        <w:pStyle w:val="Heading2"/>
        <w:spacing w:before="280" w:after="120"/>
      </w:pPr>
      <w:r>
        <w:rPr>
          <w:rFonts w:ascii="Calibri" w:hAnsi="Calibri"/>
          <w:b/>
          <w:color w:val="1AAFCC"/>
          <w:sz w:val="26"/>
        </w:rPr>
        <w:t>3.2 Knowledge Base</w:t>
      </w:r>
    </w:p>
    <w:p>
      <w:pPr>
        <w:spacing w:before="0" w:after="120"/>
      </w:pPr>
      <w:r>
        <w:rPr>
          <w:rFonts w:ascii="Calibri" w:hAnsi="Calibri"/>
          <w:color w:val="333333"/>
          <w:sz w:val="20"/>
        </w:rPr>
        <w:t>The agent's static knowledge base contains 40 landmark clinical trials (KEYNOTE-024, RECOVERY, PARADIGM-HF, DESTINY-Breast04, CLARITY-AD, etc.), 13 therapeutic areas with phase-specific success rates, 9 regulatory agencies with approval pathways and expedited programs, 9 endpoint types from primary through ctDNA clearance, 9 adaptive trial designs with regulatory guidance, 9 biomarker strategies, and 9 decentralized trial components. This knowledge operates independently of the vector store, ensuring the system provides value even without Milvus connectivity.</w:t>
      </w:r>
    </w:p>
    <w:p>
      <w:pPr>
        <w:spacing w:before="80" w:after="80"/>
        <w:pBdr>
          <w:bottom w:val="single" w:sz="6" w:color="1AAFCC"/>
        </w:pBdr>
      </w:pPr>
    </w:p>
    <w:p>
      <w:pPr>
        <w:pStyle w:val="Heading1"/>
        <w:spacing w:before="400" w:after="160"/>
      </w:pPr>
      <w:r>
        <w:rPr>
          <w:rFonts w:ascii="Calibri" w:hAnsi="Calibri"/>
          <w:b/>
          <w:color w:val="1B2333"/>
          <w:sz w:val="32"/>
        </w:rPr>
        <w:t>4. Clinical Workflows</w:t>
      </w:r>
    </w:p>
    <w:p>
      <w:pPr>
        <w:pStyle w:val="Heading2"/>
        <w:spacing w:before="280" w:after="120"/>
      </w:pPr>
      <w:r>
        <w:rPr>
          <w:rFonts w:ascii="Calibri" w:hAnsi="Calibri"/>
          <w:b/>
          <w:color w:val="1AAFCC"/>
          <w:sz w:val="26"/>
        </w:rPr>
        <w:t>4.1 Workflow Architecture</w:t>
      </w:r>
    </w:p>
    <w:p>
      <w:pPr>
        <w:spacing w:before="0" w:after="120"/>
      </w:pPr>
      <w:r>
        <w:rPr>
          <w:rFonts w:ascii="Calibri" w:hAnsi="Calibri"/>
          <w:color w:val="333333"/>
          <w:sz w:val="20"/>
        </w:rPr>
        <w:t xml:space="preserve">All 10 workflows follow a template method pattern (preprocess/execute/postprocess) that enforces input validation, core logic execution, and result enrichment. Each workflow produces a typed </w:t>
      </w:r>
      <w:r>
        <w:rPr>
          <w:rFonts w:ascii="Courier New" w:hAnsi="Courier New"/>
          <w:color w:val="444444"/>
          <w:sz w:val="18"/>
        </w:rPr>
        <w:t>WorkflowResult</w:t>
      </w:r>
      <w:r>
        <w:rPr>
          <w:rFonts w:ascii="Calibri" w:hAnsi="Calibri"/>
          <w:color w:val="333333"/>
          <w:sz w:val="20"/>
        </w:rPr>
        <w:t xml:space="preserve"> with findings, recommendations, guideline references, severity classification, cross-agent triggers, and a calibrated confidence score.</w:t>
      </w:r>
    </w:p>
    <w:p>
      <w:pPr>
        <w:pStyle w:val="Heading2"/>
        <w:spacing w:before="280" w:after="120"/>
      </w:pPr>
      <w:r>
        <w:rPr>
          <w:rFonts w:ascii="Calibri" w:hAnsi="Calibri"/>
          <w:b/>
          <w:color w:val="1AAFCC"/>
          <w:sz w:val="26"/>
        </w:rPr>
        <w:t>4.2 Protocol Design Workflow</w:t>
      </w:r>
    </w:p>
    <w:p>
      <w:pPr>
        <w:spacing w:before="0" w:after="120"/>
      </w:pPr>
      <w:r>
        <w:rPr>
          <w:rFonts w:ascii="Calibri" w:hAnsi="Calibri"/>
          <w:color w:val="333333"/>
          <w:sz w:val="20"/>
        </w:rPr>
        <w:t>The protocol design workflow generates evidence-based protocol blueprints by analyzing historical success rates across 6 therapeutic categories, recommending primary and secondary endpoints based on indication-specific benchmarks, estimating sample size requirements, and identifying appropriate comparator strategies. It references landmark trials in the same indication as design precedents.</w:t>
      </w:r>
    </w:p>
    <w:p>
      <w:pPr>
        <w:pStyle w:val="Heading2"/>
        <w:spacing w:before="280" w:after="120"/>
      </w:pPr>
      <w:r>
        <w:rPr>
          <w:rFonts w:ascii="Calibri" w:hAnsi="Calibri"/>
          <w:b/>
          <w:color w:val="1AAFCC"/>
          <w:sz w:val="26"/>
        </w:rPr>
        <w:t>4.3 Patient-Trial Matching</w:t>
      </w:r>
    </w:p>
    <w:p>
      <w:pPr>
        <w:spacing w:before="0" w:after="120"/>
      </w:pPr>
      <w:r>
        <w:rPr>
          <w:rFonts w:ascii="Calibri" w:hAnsi="Calibri"/>
          <w:color w:val="333333"/>
          <w:sz w:val="20"/>
        </w:rPr>
        <w:t>Patient-trial matching evaluates a patient profile (age, diagnosis, biomarkers, genomic variants, medications, comorbidities) against trial eligibility criteria, producing per-criterion match scores with confidence estimates and an overall match score. The system identifies nearby trial sites based on geographic location.</w:t>
      </w:r>
    </w:p>
    <w:p>
      <w:pPr>
        <w:pStyle w:val="Heading2"/>
        <w:spacing w:before="280" w:after="120"/>
      </w:pPr>
      <w:r>
        <w:rPr>
          <w:rFonts w:ascii="Calibri" w:hAnsi="Calibri"/>
          <w:b/>
          <w:color w:val="1AAFCC"/>
          <w:sz w:val="26"/>
        </w:rPr>
        <w:t>4.4 Eligibility Optimization</w:t>
      </w:r>
    </w:p>
    <w:p>
      <w:pPr>
        <w:spacing w:before="0" w:after="120"/>
      </w:pPr>
      <w:r>
        <w:rPr>
          <w:rFonts w:ascii="Calibri" w:hAnsi="Calibri"/>
          <w:color w:val="333333"/>
          <w:sz w:val="20"/>
        </w:rPr>
        <w:t>The eligibility optimization workflow analyzes each criterion against 29 population impact patterns (e.g., "ECOG 0" excludes ~40% of patients, "prior CAR-T" excludes ~85%) and evaluates the strength of scientific justification. Criteria with high population impact and weak justification receive BROADEN recommendations; those with strong justification receive RETAIN WITH MONITORING recommendations.</w:t>
      </w:r>
    </w:p>
    <w:p>
      <w:pPr>
        <w:pStyle w:val="Heading2"/>
        <w:spacing w:before="280" w:after="120"/>
      </w:pPr>
      <w:r>
        <w:rPr>
          <w:rFonts w:ascii="Calibri" w:hAnsi="Calibri"/>
          <w:b/>
          <w:color w:val="1AAFCC"/>
          <w:sz w:val="26"/>
        </w:rPr>
        <w:t>4.5 Adaptive Design Evaluation</w:t>
      </w:r>
    </w:p>
    <w:p>
      <w:pPr>
        <w:spacing w:before="0" w:after="120"/>
      </w:pPr>
      <w:r>
        <w:rPr>
          <w:rFonts w:ascii="Calibri" w:hAnsi="Calibri"/>
          <w:color w:val="333333"/>
          <w:sz w:val="20"/>
        </w:rPr>
        <w:t>This workflow recommends appropriate adaptive trial designs (group sequential, seamless phase, platform, biomarker adaptive, etc.) based on trial parameters, uncertainty profile, and regulatory precedent. It references specific FDA and EMA guidance documents and landmark trials that successfully used each design.</w:t>
      </w:r>
    </w:p>
    <w:p>
      <w:pPr>
        <w:spacing w:before="80" w:after="80"/>
        <w:pBdr>
          <w:bottom w:val="single" w:sz="6" w:color="1AAFCC"/>
        </w:pBdr>
      </w:pPr>
    </w:p>
    <w:p>
      <w:pPr>
        <w:pStyle w:val="Heading1"/>
        <w:spacing w:before="400" w:after="160"/>
      </w:pPr>
      <w:r>
        <w:rPr>
          <w:rFonts w:ascii="Calibri" w:hAnsi="Calibri"/>
          <w:b/>
          <w:color w:val="1B2333"/>
          <w:sz w:val="32"/>
        </w:rPr>
        <w:t>5. Decision Support Engines</w:t>
      </w:r>
    </w:p>
    <w:p>
      <w:pPr>
        <w:pStyle w:val="Heading2"/>
        <w:spacing w:before="280" w:after="120"/>
      </w:pPr>
      <w:r>
        <w:rPr>
          <w:rFonts w:ascii="Calibri" w:hAnsi="Calibri"/>
          <w:b/>
          <w:color w:val="1AAFCC"/>
          <w:sz w:val="26"/>
        </w:rPr>
        <w:t>5.1 Calibrated Confidence Scoring</w:t>
      </w:r>
    </w:p>
    <w:p>
      <w:pPr>
        <w:spacing w:before="0" w:after="120"/>
      </w:pPr>
      <w:r>
        <w:rPr>
          <w:rFonts w:ascii="Calibri" w:hAnsi="Calibri"/>
          <w:color w:val="333333"/>
          <w:sz w:val="20"/>
        </w:rPr>
        <w:t>Raw confidence scores from LLMs are notoriously miscalibrated. The Clinical Trial Intelligence Agent addresses this with a multi-factor calibration model:</w:t>
      </w:r>
    </w:p>
    <w:p>
      <w:pPr>
        <w:spacing w:before="0" w:after="0" w:line="240" w:lineRule="auto"/>
        <w:ind w:left="288"/>
        <w:shd w:val="clear" w:fill="F0F0F0"/>
      </w:pPr>
      <w:r>
        <w:rPr>
          <w:rFonts w:ascii="Courier New" w:hAnsi="Courier New"/>
          <w:color w:val="444444"/>
          <w:sz w:val="18"/>
        </w:rPr>
        <w:t>calibrated = 0.30 * raw_confidence</w:t>
      </w:r>
    </w:p>
    <w:p>
      <w:pPr>
        <w:spacing w:before="0" w:after="0" w:line="240" w:lineRule="auto"/>
        <w:ind w:left="288"/>
        <w:shd w:val="clear" w:fill="F0F0F0"/>
      </w:pPr>
      <w:r>
        <w:rPr>
          <w:rFonts w:ascii="Courier New" w:hAnsi="Courier New"/>
          <w:color w:val="444444"/>
          <w:sz w:val="18"/>
        </w:rPr>
        <w:t xml:space="preserve">           + 0.30 * evidence_base (A1=1.0 ... E=0.15)</w:t>
      </w:r>
    </w:p>
    <w:p>
      <w:pPr>
        <w:spacing w:before="0" w:after="0" w:line="240" w:lineRule="auto"/>
        <w:ind w:left="288"/>
        <w:shd w:val="clear" w:fill="F0F0F0"/>
      </w:pPr>
      <w:r>
        <w:rPr>
          <w:rFonts w:ascii="Courier New" w:hAnsi="Courier New"/>
          <w:color w:val="444444"/>
          <w:sz w:val="18"/>
        </w:rPr>
        <w:t xml:space="preserve">           + 0.20 * doc_factor (log-scaled document count)</w:t>
      </w:r>
    </w:p>
    <w:p>
      <w:pPr>
        <w:spacing w:before="0" w:after="0" w:line="240" w:lineRule="auto"/>
        <w:ind w:left="288"/>
        <w:shd w:val="clear" w:fill="F0F0F0"/>
      </w:pPr>
      <w:r>
        <w:rPr>
          <w:rFonts w:ascii="Courier New" w:hAnsi="Courier New"/>
          <w:color w:val="444444"/>
          <w:sz w:val="18"/>
        </w:rPr>
        <w:t xml:space="preserve">           + 0.20 * cross_agent_agreement</w:t>
      </w:r>
    </w:p>
    <w:p>
      <w:pPr>
        <w:spacing w:before="0" w:after="120"/>
      </w:pPr>
      <w:r>
        <w:rPr>
          <w:rFonts w:ascii="Calibri" w:hAnsi="Calibri"/>
          <w:color w:val="333333"/>
          <w:sz w:val="20"/>
        </w:rPr>
        <w:t>This ensures that high-confidence recommendations are backed by high-quality evidence, not just fluent language model output.</w:t>
      </w:r>
    </w:p>
    <w:p>
      <w:pPr>
        <w:pStyle w:val="Heading2"/>
        <w:spacing w:before="280" w:after="120"/>
      </w:pPr>
      <w:r>
        <w:rPr>
          <w:rFonts w:ascii="Calibri" w:hAnsi="Calibri"/>
          <w:b/>
          <w:color w:val="1AAFCC"/>
          <w:sz w:val="26"/>
        </w:rPr>
        <w:t>5.2 Protocol Complexity Assessment</w:t>
      </w:r>
    </w:p>
    <w:p>
      <w:pPr>
        <w:spacing w:before="0" w:after="120"/>
      </w:pPr>
      <w:r>
        <w:rPr>
          <w:rFonts w:ascii="Calibri" w:hAnsi="Calibri"/>
          <w:color w:val="333333"/>
          <w:sz w:val="20"/>
        </w:rPr>
        <w:t>The Protocol Complexity Scorer evaluates protocols against Tufts CSDD industry benchmarks across five dimensions: procedure count, visit frequency, endpoint count, eligibility criteria count, and amendment history. It produces a normalized complexity score and percentile rank, enabling sponsors to identify and simplify overly complex protocols before they cause enrollment delays and protocol amendments.</w:t>
      </w:r>
    </w:p>
    <w:p>
      <w:pPr>
        <w:pStyle w:val="Heading2"/>
        <w:spacing w:before="280" w:after="120"/>
      </w:pPr>
      <w:r>
        <w:rPr>
          <w:rFonts w:ascii="Calibri" w:hAnsi="Calibri"/>
          <w:b/>
          <w:color w:val="1AAFCC"/>
          <w:sz w:val="26"/>
        </w:rPr>
        <w:t>5.3 Enrollment Prediction</w:t>
      </w:r>
    </w:p>
    <w:p>
      <w:pPr>
        <w:spacing w:before="0" w:after="120"/>
      </w:pPr>
      <w:r>
        <w:rPr>
          <w:rFonts w:ascii="Calibri" w:hAnsi="Calibri"/>
          <w:color w:val="333333"/>
          <w:sz w:val="20"/>
        </w:rPr>
        <w:t>The Enrollment Predictor estimates monthly enrollment rates using a multiplicative model incorporating historical site performance, disease prevalence, competing trial density, site capacity, phase difficulty, and eligibility stringency. Phase I trials receive a 0.6 factor (reflecting healthy volunteer enrollment challenges), while Phase IV trials receive 1.1 (reflecting broader eligibility and post-market enrollment patterns).</w:t>
      </w:r>
    </w:p>
    <w:p>
      <w:pPr>
        <w:pStyle w:val="Heading2"/>
        <w:spacing w:before="280" w:after="120"/>
      </w:pPr>
      <w:r>
        <w:rPr>
          <w:rFonts w:ascii="Calibri" w:hAnsi="Calibri"/>
          <w:b/>
          <w:color w:val="1AAFCC"/>
          <w:sz w:val="26"/>
        </w:rPr>
        <w:t>5.4 Competitive Threat Analysis</w:t>
      </w:r>
    </w:p>
    <w:p>
      <w:pPr>
        <w:spacing w:before="0" w:after="120"/>
      </w:pPr>
      <w:r>
        <w:rPr>
          <w:rFonts w:ascii="Calibri" w:hAnsi="Calibri"/>
          <w:color w:val="333333"/>
          <w:sz w:val="20"/>
        </w:rPr>
        <w:t>The Competitive Threat Scorer quantifies threat from rival trials using a four-factor model: phase advancement (how close to approval?), enrollment progress (how far along?), sponsor resources (large pharma vs. biotech vs. academic), and mechanism differentiation (how similar to your drug?). Threats are classified from minimal (&lt;0.20) through critical (&gt;=0.80).</w:t>
      </w:r>
    </w:p>
    <w:p>
      <w:pPr>
        <w:spacing w:before="80" w:after="80"/>
        <w:pBdr>
          <w:bottom w:val="single" w:sz="6" w:color="1AAFCC"/>
        </w:pBdr>
      </w:pPr>
    </w:p>
    <w:p>
      <w:pPr>
        <w:pStyle w:val="Heading1"/>
        <w:spacing w:before="400" w:after="160"/>
      </w:pPr>
      <w:r>
        <w:rPr>
          <w:rFonts w:ascii="Calibri" w:hAnsi="Calibri"/>
          <w:b/>
          <w:color w:val="1B2333"/>
          <w:sz w:val="32"/>
        </w:rPr>
        <w:t>6. Query Expansion and Retrieval</w:t>
      </w:r>
    </w:p>
    <w:p>
      <w:pPr>
        <w:pStyle w:val="Heading2"/>
        <w:spacing w:before="280" w:after="120"/>
      </w:pPr>
      <w:r>
        <w:rPr>
          <w:rFonts w:ascii="Calibri" w:hAnsi="Calibri"/>
          <w:b/>
          <w:color w:val="1AAFCC"/>
          <w:sz w:val="26"/>
        </w:rPr>
        <w:t>6.1 Domain-Specific Query Expansion</w:t>
      </w:r>
    </w:p>
    <w:p>
      <w:pPr>
        <w:spacing w:before="0" w:after="120"/>
      </w:pPr>
      <w:r>
        <w:rPr>
          <w:rFonts w:ascii="Calibri" w:hAnsi="Calibri"/>
          <w:color w:val="333333"/>
          <w:sz w:val="20"/>
        </w:rPr>
        <w:t>Clinical trial queries are dense with abbreviations, brand names, and technical jargon. The query expansion system resolves 140 entity aliases (NSCLC, HFrEF, TMB-H), expands 33 drug synonym mappings (Keytruda/pembrolizumab/MK-3475), maps 22 biomarker entries to their assay names and scoring systems, and resolves endpoint, regulatory, design, population, and safety terminology. This expansion dramatically improves recall without sacrificing precision.</w:t>
      </w:r>
    </w:p>
    <w:p>
      <w:pPr>
        <w:pStyle w:val="Heading2"/>
        <w:spacing w:before="280" w:after="120"/>
      </w:pPr>
      <w:r>
        <w:rPr>
          <w:rFonts w:ascii="Calibri" w:hAnsi="Calibri"/>
          <w:b/>
          <w:color w:val="1AAFCC"/>
          <w:sz w:val="26"/>
        </w:rPr>
        <w:t>6.2 Workflow-Aware Retrieval</w:t>
      </w:r>
    </w:p>
    <w:p>
      <w:pPr>
        <w:spacing w:before="0" w:after="120"/>
      </w:pPr>
      <w:r>
        <w:rPr>
          <w:rFonts w:ascii="Calibri" w:hAnsi="Calibri"/>
          <w:color w:val="333333"/>
          <w:sz w:val="20"/>
        </w:rPr>
        <w:t xml:space="preserve">The RAG engine applies workflow-specific collection weights, boosting the most relevant collections for each query type. A patient matching query boosts </w:t>
      </w:r>
      <w:r>
        <w:rPr>
          <w:rFonts w:ascii="Courier New" w:hAnsi="Courier New"/>
          <w:color w:val="444444"/>
          <w:sz w:val="18"/>
        </w:rPr>
        <w:t>trial_eligibility</w:t>
      </w:r>
      <w:r>
        <w:rPr>
          <w:rFonts w:ascii="Calibri" w:hAnsi="Calibri"/>
          <w:color w:val="333333"/>
          <w:sz w:val="20"/>
        </w:rPr>
        <w:t xml:space="preserve"> to 0.25 (vs. default 0.09), while a safety signal query boosts </w:t>
      </w:r>
      <w:r>
        <w:rPr>
          <w:rFonts w:ascii="Courier New" w:hAnsi="Courier New"/>
          <w:color w:val="444444"/>
          <w:sz w:val="18"/>
        </w:rPr>
        <w:t>trial_safety</w:t>
      </w:r>
      <w:r>
        <w:rPr>
          <w:rFonts w:ascii="Calibri" w:hAnsi="Calibri"/>
          <w:color w:val="333333"/>
          <w:sz w:val="20"/>
        </w:rPr>
        <w:t xml:space="preserve"> to 0.25 (vs. default 0.08). All 14 collections are searched for every query, ensuring comprehensive evidence retrieval.</w:t>
      </w:r>
    </w:p>
    <w:p>
      <w:pPr>
        <w:spacing w:before="80" w:after="80"/>
        <w:pBdr>
          <w:bottom w:val="single" w:sz="6" w:color="1AAFCC"/>
        </w:pBdr>
      </w:pPr>
    </w:p>
    <w:p>
      <w:pPr>
        <w:pStyle w:val="Heading1"/>
        <w:spacing w:before="400" w:after="160"/>
      </w:pPr>
      <w:r>
        <w:rPr>
          <w:rFonts w:ascii="Calibri" w:hAnsi="Calibri"/>
          <w:b/>
          <w:color w:val="1B2333"/>
          <w:sz w:val="32"/>
        </w:rPr>
        <w:t>7. Validation and Performance</w:t>
      </w:r>
    </w:p>
    <w:p>
      <w:pPr>
        <w:pStyle w:val="Heading2"/>
        <w:spacing w:before="280" w:after="120"/>
      </w:pPr>
      <w:r>
        <w:rPr>
          <w:rFonts w:ascii="Calibri" w:hAnsi="Calibri"/>
          <w:b/>
          <w:color w:val="1AAFCC"/>
          <w:sz w:val="26"/>
        </w:rPr>
        <w:t>7.1 Test Suite</w:t>
      </w:r>
    </w:p>
    <w:p>
      <w:pPr>
        <w:spacing w:before="0" w:after="120"/>
      </w:pPr>
      <w:r>
        <w:rPr>
          <w:rFonts w:ascii="Calibri" w:hAnsi="Calibri"/>
          <w:color w:val="333333"/>
          <w:sz w:val="20"/>
        </w:rPr>
        <w:t>The agent includes 769 automated tests covering all 10 workflows, 5 decision support engines, 14 collection schemas, 10 synonym maps, 26 API endpoints, and the agent pipeline. All tests pass in 0.47 seconds, enabling rapid development iteration.</w:t>
      </w:r>
    </w:p>
    <w:p>
      <w:pPr>
        <w:pStyle w:val="Heading2"/>
        <w:spacing w:before="280" w:after="120"/>
      </w:pPr>
      <w:r>
        <w:rPr>
          <w:rFonts w:ascii="Calibri" w:hAnsi="Calibri"/>
          <w:b/>
          <w:color w:val="1AAFCC"/>
          <w:sz w:val="26"/>
        </w:rPr>
        <w:t>7.2 Performance Characteristics</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Metric</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Query response (without LLM)</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&lt;500ms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Query response (with LLM synthesis)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2-5s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Vector search per collection</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&lt;50ms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Test suite execution</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0.47s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API startup time</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&lt;2s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Memory footprint (API)</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~200 MB</w:t>
            </w:r>
          </w:p>
        </w:tc>
      </w:tr>
    </w:tbl>
    <w:p>
      <w:pPr>
        <w:spacing w:before="40" w:after="80"/>
      </w:pPr>
    </w:p>
    <w:p>
      <w:pPr>
        <w:pStyle w:val="Heading2"/>
        <w:spacing w:before="280" w:after="120"/>
      </w:pPr>
      <w:r>
        <w:rPr>
          <w:rFonts w:ascii="Calibri" w:hAnsi="Calibri"/>
          <w:b/>
          <w:color w:val="1AAFCC"/>
          <w:sz w:val="26"/>
        </w:rPr>
        <w:t>7.3 Knowledge Coverage Validation</w:t>
      </w:r>
    </w:p>
    <w:p>
      <w:pPr>
        <w:spacing w:before="0" w:after="120"/>
      </w:pPr>
      <w:r>
        <w:rPr>
          <w:rFonts w:ascii="Calibri" w:hAnsi="Calibri"/>
          <w:color w:val="333333"/>
          <w:sz w:val="20"/>
        </w:rPr>
        <w:t>The test suite validates knowledge base completeness: all 40 landmark trials have required fields (name, NCT ID, phase, indication, intervention, primary endpoint, key finding, enrollment, impact), all 13 therapeutic areas have success rates and biomarkers, and all 9 regulatory agencies have approval pathways and expedited programs.</w:t>
      </w:r>
    </w:p>
    <w:p>
      <w:pPr>
        <w:spacing w:before="80" w:after="80"/>
        <w:pBdr>
          <w:bottom w:val="single" w:sz="6" w:color="1AAFCC"/>
        </w:pBdr>
      </w:pPr>
    </w:p>
    <w:p>
      <w:pPr>
        <w:pStyle w:val="Heading1"/>
        <w:spacing w:before="400" w:after="160"/>
      </w:pPr>
      <w:r>
        <w:rPr>
          <w:rFonts w:ascii="Calibri" w:hAnsi="Calibri"/>
          <w:b/>
          <w:color w:val="1B2333"/>
          <w:sz w:val="32"/>
        </w:rPr>
        <w:t>8. DGX Spark Platform Integration</w:t>
      </w:r>
    </w:p>
    <w:p>
      <w:pPr>
        <w:pStyle w:val="Heading2"/>
        <w:spacing w:before="280" w:after="120"/>
      </w:pPr>
      <w:r>
        <w:rPr>
          <w:rFonts w:ascii="Calibri" w:hAnsi="Calibri"/>
          <w:b/>
          <w:color w:val="1AAFCC"/>
          <w:sz w:val="26"/>
        </w:rPr>
        <w:t>8.1 HCLS AI Factory Ecosystem</w:t>
      </w:r>
    </w:p>
    <w:p>
      <w:pPr>
        <w:spacing w:before="0" w:after="120"/>
      </w:pPr>
      <w:r>
        <w:rPr>
          <w:rFonts w:ascii="Calibri" w:hAnsi="Calibri"/>
          <w:color w:val="333333"/>
          <w:sz w:val="20"/>
        </w:rPr>
        <w:t>The Clinical Trial Intelligence Agent operates within the HCLS AI Factory ecosystem on DGX Spark, alongside:</w:t>
      </w:r>
    </w:p>
    <w:p>
      <w:pPr>
        <w:spacing w:before="40" w:after="40"/>
        <w:ind w:left="504" w:hanging="216"/>
      </w:pPr>
      <w:r>
        <w:rPr>
          <w:rFonts w:ascii="Calibri" w:hAnsi="Calibri"/>
          <w:color w:val="1AAFCC"/>
          <w:sz w:val="20"/>
        </w:rPr>
        <w:t xml:space="preserve">•  </w:t>
      </w:r>
      <w:r>
        <w:rPr>
          <w:rFonts w:ascii="Calibri" w:hAnsi="Calibri"/>
          <w:b/>
          <w:color w:val="333333"/>
          <w:sz w:val="20"/>
        </w:rPr>
        <w:t>Genomics Pipeline:</w:t>
      </w:r>
      <w:r>
        <w:rPr>
          <w:rFonts w:ascii="Calibri" w:hAnsi="Calibri"/>
          <w:color w:val="333333"/>
          <w:sz w:val="20"/>
        </w:rPr>
        <w:t xml:space="preserve"> Parabricks/DeepVariant for FASTQ-to-VCF variant calling</w:t>
      </w:r>
    </w:p>
    <w:p>
      <w:pPr>
        <w:spacing w:before="40" w:after="40"/>
        <w:ind w:left="504" w:hanging="216"/>
      </w:pPr>
      <w:r>
        <w:rPr>
          <w:rFonts w:ascii="Calibri" w:hAnsi="Calibri"/>
          <w:color w:val="1AAFCC"/>
          <w:sz w:val="20"/>
        </w:rPr>
        <w:t xml:space="preserve">•  </w:t>
      </w:r>
      <w:r>
        <w:rPr>
          <w:rFonts w:ascii="Calibri" w:hAnsi="Calibri"/>
          <w:b/>
          <w:color w:val="333333"/>
          <w:sz w:val="20"/>
        </w:rPr>
        <w:t>RAG/Chat Pipeline:</w:t>
      </w:r>
      <w:r>
        <w:rPr>
          <w:rFonts w:ascii="Calibri" w:hAnsi="Calibri"/>
          <w:color w:val="333333"/>
          <w:sz w:val="20"/>
        </w:rPr>
        <w:t xml:space="preserve"> Milvus + Claude for variant interpretation</w:t>
      </w:r>
    </w:p>
    <w:p>
      <w:pPr>
        <w:spacing w:before="40" w:after="40"/>
        <w:ind w:left="504" w:hanging="216"/>
      </w:pPr>
      <w:r>
        <w:rPr>
          <w:rFonts w:ascii="Calibri" w:hAnsi="Calibri"/>
          <w:color w:val="1AAFCC"/>
          <w:sz w:val="20"/>
        </w:rPr>
        <w:t xml:space="preserve">•  </w:t>
      </w:r>
      <w:r>
        <w:rPr>
          <w:rFonts w:ascii="Calibri" w:hAnsi="Calibri"/>
          <w:b/>
          <w:color w:val="333333"/>
          <w:sz w:val="20"/>
        </w:rPr>
        <w:t>Drug Discovery Pipeline:</w:t>
      </w:r>
      <w:r>
        <w:rPr>
          <w:rFonts w:ascii="Calibri" w:hAnsi="Calibri"/>
          <w:color w:val="333333"/>
          <w:sz w:val="20"/>
        </w:rPr>
        <w:t xml:space="preserve"> BioNeMo MolMIM/DiffDock/RDKit for lead optimization</w:t>
      </w:r>
    </w:p>
    <w:p>
      <w:pPr>
        <w:spacing w:before="40" w:after="40"/>
        <w:ind w:left="504" w:hanging="216"/>
      </w:pPr>
      <w:r>
        <w:rPr>
          <w:rFonts w:ascii="Calibri" w:hAnsi="Calibri"/>
          <w:color w:val="1AAFCC"/>
          <w:sz w:val="20"/>
        </w:rPr>
        <w:t xml:space="preserve">•  </w:t>
      </w:r>
      <w:r>
        <w:rPr>
          <w:rFonts w:ascii="Calibri" w:hAnsi="Calibri"/>
          <w:b/>
          <w:color w:val="333333"/>
          <w:sz w:val="20"/>
        </w:rPr>
        <w:t>Peer Agents:</w:t>
      </w:r>
      <w:r>
        <w:rPr>
          <w:rFonts w:ascii="Calibri" w:hAnsi="Calibri"/>
          <w:color w:val="333333"/>
          <w:sz w:val="20"/>
        </w:rPr>
        <w:t xml:space="preserve"> Oncology, Pharmacogenomics, Cardiology, Biomarker intelligence agents</w:t>
      </w:r>
    </w:p>
    <w:p>
      <w:pPr>
        <w:pStyle w:val="Heading2"/>
        <w:spacing w:before="280" w:after="120"/>
      </w:pPr>
      <w:r>
        <w:rPr>
          <w:rFonts w:ascii="Calibri" w:hAnsi="Calibri"/>
          <w:b/>
          <w:color w:val="1AAFCC"/>
          <w:sz w:val="26"/>
        </w:rPr>
        <w:t>8.2 Cross-Agent Integration</w:t>
      </w:r>
    </w:p>
    <w:p>
      <w:pPr>
        <w:spacing w:before="0" w:after="120"/>
      </w:pPr>
      <w:r>
        <w:rPr>
          <w:rFonts w:ascii="Calibri" w:hAnsi="Calibri"/>
          <w:color w:val="333333"/>
          <w:sz w:val="20"/>
        </w:rPr>
        <w:t>The agent queries four peer agents for specialized analysis: the oncology agent for molecular trial matches, the pharmacogenomics agent for metabolism screening, the cardiology agent for cardiac safety assessment, and the biomarker agent for enrichment strategy evaluation. All integrations use graceful degradation with 30-second timeouts.</w:t>
      </w:r>
    </w:p>
    <w:p>
      <w:pPr>
        <w:spacing w:before="80" w:after="80"/>
        <w:pBdr>
          <w:bottom w:val="single" w:sz="6" w:color="1AAFCC"/>
        </w:pBdr>
      </w:pPr>
    </w:p>
    <w:p>
      <w:pPr>
        <w:pStyle w:val="Heading1"/>
        <w:spacing w:before="400" w:after="160"/>
      </w:pPr>
      <w:r>
        <w:rPr>
          <w:rFonts w:ascii="Calibri" w:hAnsi="Calibri"/>
          <w:b/>
          <w:color w:val="1B2333"/>
          <w:sz w:val="32"/>
        </w:rPr>
        <w:t>9. Regulatory Considerations</w:t>
      </w:r>
    </w:p>
    <w:p>
      <w:pPr>
        <w:pStyle w:val="Heading2"/>
        <w:spacing w:before="280" w:after="120"/>
      </w:pPr>
      <w:r>
        <w:rPr>
          <w:rFonts w:ascii="Calibri" w:hAnsi="Calibri"/>
          <w:b/>
          <w:color w:val="1AAFCC"/>
          <w:sz w:val="26"/>
        </w:rPr>
        <w:t>9.1 Intended Use</w:t>
      </w:r>
    </w:p>
    <w:p>
      <w:pPr>
        <w:spacing w:before="0" w:after="120"/>
      </w:pPr>
      <w:r>
        <w:rPr>
          <w:rFonts w:ascii="Calibri" w:hAnsi="Calibri"/>
          <w:color w:val="333333"/>
          <w:sz w:val="20"/>
        </w:rPr>
        <w:t>The Clinical Trial Intelligence Agent is designed as a decision support tool for clinical trial professionals, not as an autonomous decision-making system. All recommendations should be reviewed by qualified clinical, regulatory, and statistical professionals before implementation. The system does not make regulatory submissions, approve protocols, or enroll patients.</w:t>
      </w:r>
    </w:p>
    <w:p>
      <w:pPr>
        <w:pStyle w:val="Heading2"/>
        <w:spacing w:before="280" w:after="120"/>
      </w:pPr>
      <w:r>
        <w:rPr>
          <w:rFonts w:ascii="Calibri" w:hAnsi="Calibri"/>
          <w:b/>
          <w:color w:val="1AAFCC"/>
          <w:sz w:val="26"/>
        </w:rPr>
        <w:t>9.2 Evidence Transparency</w:t>
      </w:r>
    </w:p>
    <w:p>
      <w:pPr>
        <w:spacing w:before="0" w:after="120"/>
      </w:pPr>
      <w:r>
        <w:rPr>
          <w:rFonts w:ascii="Calibri" w:hAnsi="Calibri"/>
          <w:color w:val="333333"/>
          <w:sz w:val="20"/>
        </w:rPr>
        <w:t>Every recommendation includes source citations with collection name, document ID, and relevance score. Evidence levels are explicitly classified (A1 through E), and calibrated confidence scores distinguish well-supported recommendations from those based on limited evidence.</w:t>
      </w:r>
    </w:p>
    <w:p>
      <w:pPr>
        <w:pStyle w:val="Heading2"/>
        <w:spacing w:before="280" w:after="120"/>
      </w:pPr>
      <w:r>
        <w:rPr>
          <w:rFonts w:ascii="Calibri" w:hAnsi="Calibri"/>
          <w:b/>
          <w:color w:val="1AAFCC"/>
          <w:sz w:val="26"/>
        </w:rPr>
        <w:t>9.3 Bias Mitigation</w:t>
      </w:r>
    </w:p>
    <w:p>
      <w:pPr>
        <w:spacing w:before="0" w:after="120"/>
      </w:pPr>
      <w:r>
        <w:rPr>
          <w:rFonts w:ascii="Calibri" w:hAnsi="Calibri"/>
          <w:color w:val="333333"/>
          <w:sz w:val="20"/>
        </w:rPr>
        <w:t>The diversity assessment workflow explicitly evaluates trial diversity against FDA FDORA requirements, identifies geographic and demographic gaps in site networks, and recommends strategies to improve enrollment representativeness.</w:t>
      </w:r>
    </w:p>
    <w:p>
      <w:pPr>
        <w:spacing w:before="80" w:after="80"/>
        <w:pBdr>
          <w:bottom w:val="single" w:sz="6" w:color="1AAFCC"/>
        </w:pBdr>
      </w:pPr>
    </w:p>
    <w:p>
      <w:pPr>
        <w:pStyle w:val="Heading1"/>
        <w:spacing w:before="400" w:after="160"/>
      </w:pPr>
      <w:r>
        <w:rPr>
          <w:rFonts w:ascii="Calibri" w:hAnsi="Calibri"/>
          <w:b/>
          <w:color w:val="1B2333"/>
          <w:sz w:val="32"/>
        </w:rPr>
        <w:t>10. Future Directions</w:t>
      </w:r>
    </w:p>
    <w:p>
      <w:pPr>
        <w:pStyle w:val="Heading2"/>
        <w:spacing w:before="280" w:after="120"/>
      </w:pPr>
      <w:r>
        <w:rPr>
          <w:rFonts w:ascii="Calibri" w:hAnsi="Calibri"/>
          <w:b/>
          <w:color w:val="1AAFCC"/>
          <w:sz w:val="26"/>
        </w:rPr>
        <w:t>10.1 Planned Enhancements</w:t>
      </w:r>
    </w:p>
    <w:p>
      <w:pPr>
        <w:spacing w:before="40" w:after="40"/>
        <w:ind w:left="504" w:hanging="216"/>
      </w:pPr>
      <w:r>
        <w:rPr>
          <w:rFonts w:ascii="Calibri" w:hAnsi="Calibri"/>
          <w:color w:val="1AAFCC"/>
          <w:sz w:val="20"/>
        </w:rPr>
        <w:t xml:space="preserve">•  </w:t>
      </w:r>
      <w:r>
        <w:rPr>
          <w:rFonts w:ascii="Calibri" w:hAnsi="Calibri"/>
          <w:b/>
          <w:color w:val="333333"/>
          <w:sz w:val="20"/>
        </w:rPr>
        <w:t>Real-time ClinicalTrials.gov integration:</w:t>
      </w:r>
      <w:r>
        <w:rPr>
          <w:rFonts w:ascii="Calibri" w:hAnsi="Calibri"/>
          <w:color w:val="333333"/>
          <w:sz w:val="20"/>
        </w:rPr>
        <w:t xml:space="preserve"> Live API connection for up-to-the-minute trial status and enrollment data</w:t>
      </w:r>
    </w:p>
    <w:p>
      <w:pPr>
        <w:spacing w:before="40" w:after="40"/>
        <w:ind w:left="504" w:hanging="216"/>
      </w:pPr>
      <w:r>
        <w:rPr>
          <w:rFonts w:ascii="Calibri" w:hAnsi="Calibri"/>
          <w:color w:val="1AAFCC"/>
          <w:sz w:val="20"/>
        </w:rPr>
        <w:t xml:space="preserve">•  </w:t>
      </w:r>
      <w:r>
        <w:rPr>
          <w:rFonts w:ascii="Calibri" w:hAnsi="Calibri"/>
          <w:b/>
          <w:color w:val="333333"/>
          <w:sz w:val="20"/>
        </w:rPr>
        <w:t>FHIR R4 export:</w:t>
      </w:r>
      <w:r>
        <w:rPr>
          <w:rFonts w:ascii="Calibri" w:hAnsi="Calibri"/>
          <w:color w:val="333333"/>
          <w:sz w:val="20"/>
        </w:rPr>
        <w:t xml:space="preserve"> Integration with EHR systems for patient-trial matching at the point of care</w:t>
      </w:r>
    </w:p>
    <w:p>
      <w:pPr>
        <w:spacing w:before="40" w:after="40"/>
        <w:ind w:left="504" w:hanging="216"/>
      </w:pPr>
      <w:r>
        <w:rPr>
          <w:rFonts w:ascii="Calibri" w:hAnsi="Calibri"/>
          <w:color w:val="1AAFCC"/>
          <w:sz w:val="20"/>
        </w:rPr>
        <w:t xml:space="preserve">•  </w:t>
      </w:r>
      <w:r>
        <w:rPr>
          <w:rFonts w:ascii="Calibri" w:hAnsi="Calibri"/>
          <w:b/>
          <w:color w:val="333333"/>
          <w:sz w:val="20"/>
        </w:rPr>
        <w:t>Multi-language support:</w:t>
      </w:r>
      <w:r>
        <w:rPr>
          <w:rFonts w:ascii="Calibri" w:hAnsi="Calibri"/>
          <w:color w:val="333333"/>
          <w:sz w:val="20"/>
        </w:rPr>
        <w:t xml:space="preserve"> Expansion beyond English to support multinational trial operations</w:t>
      </w:r>
    </w:p>
    <w:p>
      <w:pPr>
        <w:spacing w:before="40" w:after="40"/>
        <w:ind w:left="504" w:hanging="216"/>
      </w:pPr>
      <w:r>
        <w:rPr>
          <w:rFonts w:ascii="Calibri" w:hAnsi="Calibri"/>
          <w:color w:val="1AAFCC"/>
          <w:sz w:val="20"/>
        </w:rPr>
        <w:t xml:space="preserve">•  </w:t>
      </w:r>
      <w:r>
        <w:rPr>
          <w:rFonts w:ascii="Calibri" w:hAnsi="Calibri"/>
          <w:b/>
          <w:color w:val="333333"/>
          <w:sz w:val="20"/>
        </w:rPr>
        <w:t>Causal inference for safety:</w:t>
      </w:r>
      <w:r>
        <w:rPr>
          <w:rFonts w:ascii="Calibri" w:hAnsi="Calibri"/>
          <w:color w:val="333333"/>
          <w:sz w:val="20"/>
        </w:rPr>
        <w:t xml:space="preserve"> Moving beyond PRR/ROR to causal models for safety signal evaluation</w:t>
      </w:r>
    </w:p>
    <w:p>
      <w:pPr>
        <w:spacing w:before="40" w:after="40"/>
        <w:ind w:left="504" w:hanging="216"/>
      </w:pPr>
      <w:r>
        <w:rPr>
          <w:rFonts w:ascii="Calibri" w:hAnsi="Calibri"/>
          <w:color w:val="1AAFCC"/>
          <w:sz w:val="20"/>
        </w:rPr>
        <w:t xml:space="preserve">•  </w:t>
      </w:r>
      <w:r>
        <w:rPr>
          <w:rFonts w:ascii="Calibri" w:hAnsi="Calibri"/>
          <w:b/>
          <w:color w:val="333333"/>
          <w:sz w:val="20"/>
        </w:rPr>
        <w:t>FDA CBER integration:</w:t>
      </w:r>
      <w:r>
        <w:rPr>
          <w:rFonts w:ascii="Calibri" w:hAnsi="Calibri"/>
          <w:color w:val="333333"/>
          <w:sz w:val="20"/>
        </w:rPr>
        <w:t xml:space="preserve"> Gene and cell therapy regulatory pathway support</w:t>
      </w:r>
    </w:p>
    <w:p>
      <w:pPr>
        <w:spacing w:before="40" w:after="40"/>
        <w:ind w:left="504" w:hanging="216"/>
      </w:pPr>
      <w:r>
        <w:rPr>
          <w:rFonts w:ascii="Calibri" w:hAnsi="Calibri"/>
          <w:color w:val="1AAFCC"/>
          <w:sz w:val="20"/>
        </w:rPr>
        <w:t xml:space="preserve">•  </w:t>
      </w:r>
      <w:r>
        <w:rPr>
          <w:rFonts w:ascii="Calibri" w:hAnsi="Calibri"/>
          <w:b/>
          <w:color w:val="333333"/>
          <w:sz w:val="20"/>
        </w:rPr>
        <w:t>Protocol amendment prediction:</w:t>
      </w:r>
      <w:r>
        <w:rPr>
          <w:rFonts w:ascii="Calibri" w:hAnsi="Calibri"/>
          <w:color w:val="333333"/>
          <w:sz w:val="20"/>
        </w:rPr>
        <w:t xml:space="preserve"> Machine learning models to predict amendment probability from protocol features</w:t>
      </w:r>
    </w:p>
    <w:p>
      <w:pPr>
        <w:pStyle w:val="Heading2"/>
        <w:spacing w:before="280" w:after="120"/>
      </w:pPr>
      <w:r>
        <w:rPr>
          <w:rFonts w:ascii="Calibri" w:hAnsi="Calibri"/>
          <w:b/>
          <w:color w:val="1AAFCC"/>
          <w:sz w:val="26"/>
        </w:rPr>
        <w:t>10.2 Scalability</w:t>
      </w:r>
    </w:p>
    <w:p>
      <w:pPr>
        <w:spacing w:before="0" w:after="120"/>
      </w:pPr>
      <w:r>
        <w:rPr>
          <w:rFonts w:ascii="Calibri" w:hAnsi="Calibri"/>
          <w:color w:val="333333"/>
          <w:sz w:val="20"/>
        </w:rPr>
        <w:t>The Milvus vector store can scale from standalone (demo) to distributed cluster (production) without application changes. The FastAPI server supports horizontal scaling behind a load balancer. The embedding model can be GPU-accelerated on DGX Spark for high-throughput ingest.</w:t>
      </w:r>
    </w:p>
    <w:p>
      <w:pPr>
        <w:spacing w:before="80" w:after="80"/>
        <w:pBdr>
          <w:bottom w:val="single" w:sz="6" w:color="1AAFCC"/>
        </w:pBdr>
      </w:pPr>
    </w:p>
    <w:p>
      <w:pPr>
        <w:pStyle w:val="Heading1"/>
        <w:spacing w:before="400" w:after="160"/>
      </w:pPr>
      <w:r>
        <w:rPr>
          <w:rFonts w:ascii="Calibri" w:hAnsi="Calibri"/>
          <w:b/>
          <w:color w:val="1B2333"/>
          <w:sz w:val="32"/>
        </w:rPr>
        <w:t>11. Conclusion</w:t>
      </w:r>
    </w:p>
    <w:p>
      <w:pPr>
        <w:spacing w:before="0" w:after="120"/>
      </w:pPr>
      <w:r>
        <w:rPr>
          <w:rFonts w:ascii="Calibri" w:hAnsi="Calibri"/>
          <w:color w:val="333333"/>
          <w:sz w:val="20"/>
        </w:rPr>
        <w:t>The Clinical Trial Intelligence Agent demonstrates that RAG-based systems can provide practical, evidence-grounded decision support for clinical trial design and execution. By distributing knowledge across 14 specialized collections, applying calibrated confidence scoring, and implementing 10 domain-specific workflows with 5 quantitative decision engines, the system addresses the information fragmentation that contributes to trial inefficiency. Deployed on NVIDIA DGX Spark as part of the HCLS AI Factory, it integrates with genomics, drug discovery, and peer intelligence agents to deliver comprehensive trial intelligence in under 5 seconds.</w:t>
      </w:r>
    </w:p>
    <w:p>
      <w:pPr>
        <w:spacing w:before="80" w:after="80"/>
        <w:pBdr>
          <w:bottom w:val="single" w:sz="6" w:color="1AAFCC"/>
        </w:pBdr>
      </w:pPr>
    </w:p>
    <w:p>
      <w:pPr>
        <w:pStyle w:val="Heading1"/>
        <w:spacing w:before="400" w:after="160"/>
      </w:pPr>
      <w:r>
        <w:rPr>
          <w:rFonts w:ascii="Calibri" w:hAnsi="Calibri"/>
          <w:b/>
          <w:color w:val="1B2333"/>
          <w:sz w:val="32"/>
        </w:rPr>
        <w:t>References</w:t>
      </w:r>
    </w:p>
    <w:p>
      <w:pPr>
        <w:spacing w:before="40" w:after="40"/>
        <w:ind w:left="504" w:hanging="288"/>
      </w:pPr>
      <w:r>
        <w:rPr>
          <w:rFonts w:ascii="Calibri" w:hAnsi="Calibri"/>
          <w:b/>
          <w:color w:val="333333"/>
          <w:sz w:val="20"/>
        </w:rPr>
        <w:t xml:space="preserve">1.  </w:t>
      </w:r>
      <w:r>
        <w:rPr>
          <w:rFonts w:ascii="Calibri" w:hAnsi="Calibri"/>
          <w:color w:val="333333"/>
          <w:sz w:val="20"/>
        </w:rPr>
        <w:t>DiMasi JA, Grabowski HG, Hansen RW. Innovation in the pharmaceutical industry: New estimates of R&amp;D costs. J Health Econ. 2016;47:20-33.</w:t>
      </w:r>
    </w:p>
    <w:p>
      <w:pPr>
        <w:spacing w:before="40" w:after="40"/>
        <w:ind w:left="504" w:hanging="288"/>
      </w:pPr>
      <w:r>
        <w:rPr>
          <w:rFonts w:ascii="Calibri" w:hAnsi="Calibri"/>
          <w:b/>
          <w:color w:val="333333"/>
          <w:sz w:val="20"/>
        </w:rPr>
        <w:t xml:space="preserve">2.  </w:t>
      </w:r>
      <w:r>
        <w:rPr>
          <w:rFonts w:ascii="Calibri" w:hAnsi="Calibri"/>
          <w:color w:val="333333"/>
          <w:sz w:val="20"/>
        </w:rPr>
        <w:t>Getz KA, Campo RA. New benchmarks for protocol design complexity. Ther Innov Regul Sci. 2018;52(1):9-16.</w:t>
      </w:r>
    </w:p>
    <w:p>
      <w:pPr>
        <w:spacing w:before="40" w:after="40"/>
        <w:ind w:left="504" w:hanging="288"/>
      </w:pPr>
      <w:r>
        <w:rPr>
          <w:rFonts w:ascii="Calibri" w:hAnsi="Calibri"/>
          <w:b/>
          <w:color w:val="333333"/>
          <w:sz w:val="20"/>
        </w:rPr>
        <w:t xml:space="preserve">3.  </w:t>
      </w:r>
      <w:r>
        <w:rPr>
          <w:rFonts w:ascii="Calibri" w:hAnsi="Calibri"/>
          <w:color w:val="333333"/>
          <w:sz w:val="20"/>
        </w:rPr>
        <w:t>BIO/QLS Advisors/Informa Pharma Intelligence. Clinical Development Success Rates and Contributing Factors 2011-2020.</w:t>
      </w:r>
    </w:p>
    <w:p>
      <w:pPr>
        <w:spacing w:before="40" w:after="40"/>
        <w:ind w:left="504" w:hanging="288"/>
      </w:pPr>
      <w:r>
        <w:rPr>
          <w:rFonts w:ascii="Calibri" w:hAnsi="Calibri"/>
          <w:b/>
          <w:color w:val="333333"/>
          <w:sz w:val="20"/>
        </w:rPr>
        <w:t xml:space="preserve">4.  </w:t>
      </w:r>
      <w:r>
        <w:rPr>
          <w:rFonts w:ascii="Calibri" w:hAnsi="Calibri"/>
          <w:color w:val="333333"/>
          <w:sz w:val="20"/>
        </w:rPr>
        <w:t>FDA Guidance for Industry: Adaptive Designs for Clinical Trials of Drugs and Biologics. November 2019.</w:t>
      </w:r>
    </w:p>
    <w:p>
      <w:pPr>
        <w:spacing w:before="40" w:after="40"/>
        <w:ind w:left="504" w:hanging="288"/>
      </w:pPr>
      <w:r>
        <w:rPr>
          <w:rFonts w:ascii="Calibri" w:hAnsi="Calibri"/>
          <w:b/>
          <w:color w:val="333333"/>
          <w:sz w:val="20"/>
        </w:rPr>
        <w:t xml:space="preserve">5.  </w:t>
      </w:r>
      <w:r>
        <w:rPr>
          <w:rFonts w:ascii="Calibri" w:hAnsi="Calibri"/>
          <w:color w:val="333333"/>
          <w:sz w:val="20"/>
        </w:rPr>
        <w:t>FDA Guidance: Decentralized Clinical Trials for Drugs, Biological Products, and Devices. May 2023.</w:t>
      </w:r>
    </w:p>
    <w:p>
      <w:pPr>
        <w:spacing w:before="40" w:after="40"/>
        <w:ind w:left="504" w:hanging="288"/>
      </w:pPr>
      <w:r>
        <w:rPr>
          <w:rFonts w:ascii="Calibri" w:hAnsi="Calibri"/>
          <w:b/>
          <w:color w:val="333333"/>
          <w:sz w:val="20"/>
        </w:rPr>
        <w:t xml:space="preserve">6.  </w:t>
      </w:r>
      <w:r>
        <w:rPr>
          <w:rFonts w:ascii="Calibri" w:hAnsi="Calibri"/>
          <w:color w:val="333333"/>
          <w:sz w:val="20"/>
        </w:rPr>
        <w:t>ICH E6(R2) Guideline for Good Clinical Practice. November 2016.</w:t>
      </w:r>
    </w:p>
    <w:p>
      <w:pPr>
        <w:spacing w:before="40" w:after="40"/>
        <w:ind w:left="504" w:hanging="288"/>
      </w:pPr>
      <w:r>
        <w:rPr>
          <w:rFonts w:ascii="Calibri" w:hAnsi="Calibri"/>
          <w:b/>
          <w:color w:val="333333"/>
          <w:sz w:val="20"/>
        </w:rPr>
        <w:t xml:space="preserve">7.  </w:t>
      </w:r>
      <w:r>
        <w:rPr>
          <w:rFonts w:ascii="Calibri" w:hAnsi="Calibri"/>
          <w:color w:val="333333"/>
          <w:sz w:val="20"/>
        </w:rPr>
        <w:t>ICH E9(R1) Addendum on Estimands and Sensitivity Analysis. November 2019.</w:t>
      </w:r>
    </w:p>
    <w:p>
      <w:pPr>
        <w:spacing w:before="40" w:after="40"/>
        <w:ind w:left="504" w:hanging="288"/>
      </w:pPr>
      <w:r>
        <w:rPr>
          <w:rFonts w:ascii="Calibri" w:hAnsi="Calibri"/>
          <w:b/>
          <w:color w:val="333333"/>
          <w:sz w:val="20"/>
        </w:rPr>
        <w:t xml:space="preserve">8.  </w:t>
      </w:r>
      <w:r>
        <w:rPr>
          <w:rFonts w:ascii="Calibri" w:hAnsi="Calibri"/>
          <w:color w:val="333333"/>
          <w:sz w:val="20"/>
        </w:rPr>
        <w:t>ICH E8(R1) General Considerations for Clinical Studies. October 2021.</w:t>
      </w:r>
    </w:p>
    <w:p>
      <w:pPr>
        <w:spacing w:before="40" w:after="40"/>
        <w:ind w:left="504" w:hanging="288"/>
      </w:pPr>
      <w:r>
        <w:rPr>
          <w:rFonts w:ascii="Calibri" w:hAnsi="Calibri"/>
          <w:b/>
          <w:color w:val="333333"/>
          <w:sz w:val="20"/>
        </w:rPr>
        <w:t xml:space="preserve">9.  </w:t>
      </w:r>
      <w:r>
        <w:rPr>
          <w:rFonts w:ascii="Calibri" w:hAnsi="Calibri"/>
          <w:color w:val="333333"/>
          <w:sz w:val="20"/>
        </w:rPr>
        <w:t>Tufts Center for the Study of Drug Development (CSDD). Impact Reports 2020-2025.</w:t>
      </w:r>
    </w:p>
    <w:p>
      <w:pPr>
        <w:spacing w:before="40" w:after="40"/>
        <w:ind w:left="504" w:hanging="288"/>
      </w:pPr>
      <w:r>
        <w:rPr>
          <w:rFonts w:ascii="Calibri" w:hAnsi="Calibri"/>
          <w:b/>
          <w:color w:val="333333"/>
          <w:sz w:val="20"/>
        </w:rPr>
        <w:t xml:space="preserve">10.  </w:t>
      </w:r>
      <w:r>
        <w:rPr>
          <w:rFonts w:ascii="Calibri" w:hAnsi="Calibri"/>
          <w:color w:val="333333"/>
          <w:sz w:val="20"/>
        </w:rPr>
        <w:t>FDA CDER Drug Approval Reports. 2015-2025.</w:t>
      </w:r>
    </w:p>
    <w:p>
      <w:pPr>
        <w:spacing w:before="80" w:after="80"/>
        <w:pBdr>
          <w:bottom w:val="single" w:sz="6" w:color="1AAFCC"/>
        </w:pBdr>
      </w:pPr>
    </w:p>
    <w:p>
      <w:pPr>
        <w:spacing w:before="0" w:after="120"/>
      </w:pPr>
      <w:r>
        <w:rPr>
          <w:rFonts w:ascii="Calibri" w:hAnsi="Calibri"/>
          <w:i/>
          <w:color w:val="333333"/>
          <w:sz w:val="20"/>
        </w:rPr>
        <w:t>Clinical Trial Intelligence Agent v2.0.0 -- HCLS AI Factory -- March 2026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Confidential — For Internal Use    |    Page </w:t>
    </w:r>
    <w:fldSimple w:instr=" PAGE \* MERGEFORMAT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66666"/>
        <w:sz w:val="16"/>
      </w:rPr>
      <w:t>HCLS AI Factory — Clinical Trial Intelligence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