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240"/>
        <w:jc w:val="left"/>
      </w:pPr>
      <w:r>
        <w:rPr>
          <w:rFonts w:ascii="Calibri" w:hAnsi="Calibri"/>
          <w:b/>
          <w:color w:val="1B2333"/>
          <w:sz w:val="48"/>
        </w:rPr>
        <w:t>Democratizing Cardiovascular AI: Multi-Collection RAG Architecture for Integrated Cardiac Decision Support</w:t>
      </w:r>
    </w:p>
    <w:p>
      <w:pPr>
        <w:spacing w:before="0" w:after="120"/>
      </w:pPr>
      <w:r>
        <w:rPr>
          <w:rFonts w:ascii="Calibri" w:hAnsi="Calibri"/>
          <w:b/>
          <w:color w:val="333333"/>
          <w:sz w:val="20"/>
        </w:rPr>
        <w:t>Author:</w:t>
      </w:r>
      <w:r>
        <w:rPr>
          <w:rFonts w:ascii="Calibri" w:hAnsi="Calibri"/>
          <w:color w:val="333333"/>
          <w:sz w:val="20"/>
        </w:rPr>
        <w:t xml:space="preserve"> Adam Jones</w:t>
      </w:r>
    </w:p>
    <w:p>
      <w:pPr>
        <w:spacing w:before="0" w:after="120"/>
      </w:pPr>
      <w:r>
        <w:rPr>
          <w:rFonts w:ascii="Calibri" w:hAnsi="Calibri"/>
          <w:b/>
          <w:color w:val="333333"/>
          <w:sz w:val="20"/>
        </w:rPr>
        <w:t>Date:</w:t>
      </w:r>
      <w:r>
        <w:rPr>
          <w:rFonts w:ascii="Calibri" w:hAnsi="Calibri"/>
          <w:color w:val="333333"/>
          <w:sz w:val="20"/>
        </w:rPr>
        <w:t xml:space="preserve"> March 2026</w:t>
      </w:r>
    </w:p>
    <w:p>
      <w:pPr>
        <w:spacing w:before="0" w:after="120"/>
      </w:pPr>
      <w:r>
        <w:rPr>
          <w:rFonts w:ascii="Calibri" w:hAnsi="Calibri"/>
          <w:b/>
          <w:color w:val="333333"/>
          <w:sz w:val="20"/>
        </w:rPr>
        <w:t>Version:</w:t>
      </w:r>
      <w:r>
        <w:rPr>
          <w:rFonts w:ascii="Calibri" w:hAnsi="Calibri"/>
          <w:color w:val="333333"/>
          <w:sz w:val="20"/>
        </w:rPr>
        <w:t xml:space="preserve"> 1.0.0</w:t>
      </w:r>
    </w:p>
    <w:p>
      <w:pPr>
        <w:spacing w:before="0" w:after="120"/>
      </w:pPr>
      <w:r>
        <w:rPr>
          <w:rFonts w:ascii="Calibri" w:hAnsi="Calibri"/>
          <w:b/>
          <w:color w:val="333333"/>
          <w:sz w:val="20"/>
        </w:rPr>
        <w:t>License:</w:t>
      </w:r>
      <w:r>
        <w:rPr>
          <w:rFonts w:ascii="Calibri" w:hAnsi="Calibri"/>
          <w:color w:val="333333"/>
          <w:sz w:val="20"/>
        </w:rPr>
        <w:t xml:space="preserve"> Apache 2.0</w:t>
      </w:r>
    </w:p>
    <w:p>
      <w:pPr>
        <w:spacing w:before="0" w:after="120"/>
      </w:pPr>
      <w:r>
        <w:rPr>
          <w:rFonts w:ascii="Calibri" w:hAnsi="Calibri"/>
          <w:color w:val="333333"/>
          <w:sz w:val="20"/>
        </w:rPr>
        <w:t>Part of the HCLS AI Factory -- an end-to-end precision medicine platform.</w:t>
      </w:r>
    </w:p>
    <w:p>
      <w:pPr>
        <w:spacing w:before="80" w:after="80"/>
        <w:pBdr>
          <w:bottom w:val="single" w:sz="6" w:color="1AAFCC"/>
        </w:pBdr>
      </w:pPr>
    </w:p>
    <w:p>
      <w:pPr>
        <w:pStyle w:val="Heading1"/>
        <w:spacing w:before="400" w:after="160"/>
      </w:pPr>
      <w:r>
        <w:rPr>
          <w:rFonts w:ascii="Calibri" w:hAnsi="Calibri"/>
          <w:b/>
          <w:color w:val="1B2333"/>
          <w:sz w:val="32"/>
        </w:rPr>
        <w:t>Abstract</w:t>
      </w:r>
    </w:p>
    <w:p>
      <w:pPr>
        <w:spacing w:before="0" w:after="120"/>
      </w:pPr>
      <w:r>
        <w:rPr>
          <w:rFonts w:ascii="Calibri" w:hAnsi="Calibri"/>
          <w:color w:val="333333"/>
          <w:sz w:val="20"/>
        </w:rPr>
        <w:t>Cardiovascular disease (CVD) remains the leading cause of death globally, claiming approximately 17.9 million lives annually -- representing 32% of all deaths worldwide. Despite the availability of robust clinical guidelines from ACC/AHA/ESC and exponential growth in cardiovascular AI research (over 4,500 publications in 2025 alone), critical barriers persist in clinical translation: fragmented evidence across modalities, siloed data systems, lack of integrated genomic-imaging correlation, and prohibitive infrastructure costs that limit advanced cardiac AI to elite academic centers.</w:t>
      </w:r>
    </w:p>
    <w:p>
      <w:pPr>
        <w:spacing w:before="0" w:after="120"/>
      </w:pPr>
      <w:r>
        <w:rPr>
          <w:rFonts w:ascii="Calibri" w:hAnsi="Calibri"/>
          <w:color w:val="333333"/>
          <w:sz w:val="20"/>
        </w:rPr>
        <w:t>This paper presents the Cardiology Intelligence Agent, a multi-collection retrieval-augmented generation (RAG) system purpose-built for cardiovascular medicine. The agent unifies 12 specialized Milvus vector collections spanning cardiac imaging, electrophysiology, hemodynamics, heart failure management, valvular heart disease, preventive cardiology, interventional cardiology, and cardio-oncology -- alongside a shared genomic_evidence collection containing 3.5 million variant vectors. The system implements 6 validated cardiovascular risk calculators (ASCVD Pooled Cohort Equations, HEART Score, CHA2DS2-VASc, HAS-BLED, MAGGIC, EuroSCORE II), optimizes guideline-directed medical therapy (GDMT) for heart failure with 7 therapy classes (including finerenone, omecamtiv, and sotagliflozin), and provides 11 clinical workflows covering the highest-impact cardiovascular use cases.</w:t>
      </w:r>
    </w:p>
    <w:p>
      <w:pPr>
        <w:spacing w:before="0" w:after="120"/>
      </w:pPr>
      <w:r>
        <w:rPr>
          <w:rFonts w:ascii="Calibri" w:hAnsi="Calibri"/>
          <w:color w:val="333333"/>
          <w:sz w:val="20"/>
        </w:rPr>
        <w:t>Deployed on a single NVIDIA DGX Spark ($3,999) using BGE-small-en-v1.5 embeddings (384-dimensional, IVF_FLAT, COSINE) and Claude Sonnet 4.6 for evidence synthesis, the platform democratizes access to integrated cardiovascular intelligence that currently requires multi-million-dollar institutional investments.</w:t>
      </w:r>
    </w:p>
    <w:p>
      <w:pPr>
        <w:spacing w:before="80" w:after="80"/>
        <w:pBdr>
          <w:bottom w:val="single" w:sz="6" w:color="1AAFCC"/>
        </w:pBdr>
      </w:pPr>
    </w:p>
    <w:p>
      <w:pPr>
        <w:pStyle w:val="Heading1"/>
        <w:spacing w:before="400" w:after="160"/>
      </w:pPr>
      <w:r>
        <w:rPr>
          <w:rFonts w:ascii="Calibri" w:hAnsi="Calibri"/>
          <w:b/>
          <w:color w:val="1B2333"/>
          <w:sz w:val="32"/>
        </w:rPr>
        <w:t>Table of Contents</w:t>
      </w:r>
    </w:p>
    <w:p>
      <w:pPr>
        <w:spacing w:before="40" w:after="40"/>
        <w:ind w:left="504" w:hanging="288"/>
      </w:pPr>
      <w:r>
        <w:rPr>
          <w:rFonts w:ascii="Calibri" w:hAnsi="Calibri"/>
          <w:b/>
          <w:color w:val="333333"/>
          <w:sz w:val="20"/>
        </w:rPr>
        <w:t xml:space="preserve">1.  </w:t>
      </w:r>
      <w:r>
        <w:rPr>
          <w:rFonts w:ascii="Calibri" w:hAnsi="Calibri"/>
          <w:color w:val="1AAFCC"/>
          <w:sz w:val="20"/>
        </w:rPr>
        <w:t>Introduction</w:t>
      </w:r>
    </w:p>
    <w:p>
      <w:pPr>
        <w:spacing w:before="40" w:after="40"/>
        <w:ind w:left="504" w:hanging="288"/>
      </w:pPr>
      <w:r>
        <w:rPr>
          <w:rFonts w:ascii="Calibri" w:hAnsi="Calibri"/>
          <w:b/>
          <w:color w:val="333333"/>
          <w:sz w:val="20"/>
        </w:rPr>
        <w:t xml:space="preserve">2.  </w:t>
      </w:r>
      <w:r>
        <w:rPr>
          <w:rFonts w:ascii="Calibri" w:hAnsi="Calibri"/>
          <w:color w:val="1AAFCC"/>
          <w:sz w:val="20"/>
        </w:rPr>
        <w:t>Clinical Rationale</w:t>
      </w:r>
    </w:p>
    <w:p>
      <w:pPr>
        <w:spacing w:before="40" w:after="40"/>
        <w:ind w:left="504" w:hanging="288"/>
      </w:pPr>
      <w:r>
        <w:rPr>
          <w:rFonts w:ascii="Calibri" w:hAnsi="Calibri"/>
          <w:b/>
          <w:color w:val="333333"/>
          <w:sz w:val="20"/>
        </w:rPr>
        <w:t xml:space="preserve">3.  </w:t>
      </w:r>
      <w:r>
        <w:rPr>
          <w:rFonts w:ascii="Calibri" w:hAnsi="Calibri"/>
          <w:color w:val="1AAFCC"/>
          <w:sz w:val="20"/>
        </w:rPr>
        <w:t>Architecture</w:t>
      </w:r>
    </w:p>
    <w:p>
      <w:pPr>
        <w:spacing w:before="40" w:after="40"/>
        <w:ind w:left="504" w:hanging="288"/>
      </w:pPr>
      <w:r>
        <w:rPr>
          <w:rFonts w:ascii="Calibri" w:hAnsi="Calibri"/>
          <w:b/>
          <w:color w:val="333333"/>
          <w:sz w:val="20"/>
        </w:rPr>
        <w:t xml:space="preserve">4.  </w:t>
      </w:r>
      <w:r>
        <w:rPr>
          <w:rFonts w:ascii="Calibri" w:hAnsi="Calibri"/>
          <w:color w:val="1AAFCC"/>
          <w:sz w:val="20"/>
        </w:rPr>
        <w:t>Multi-Collection RAG Approach</w:t>
      </w:r>
    </w:p>
    <w:p>
      <w:pPr>
        <w:spacing w:before="40" w:after="40"/>
        <w:ind w:left="504" w:hanging="288"/>
      </w:pPr>
      <w:r>
        <w:rPr>
          <w:rFonts w:ascii="Calibri" w:hAnsi="Calibri"/>
          <w:b/>
          <w:color w:val="333333"/>
          <w:sz w:val="20"/>
        </w:rPr>
        <w:t xml:space="preserve">5.  </w:t>
      </w:r>
      <w:r>
        <w:rPr>
          <w:rFonts w:ascii="Calibri" w:hAnsi="Calibri"/>
          <w:color w:val="1AAFCC"/>
          <w:sz w:val="20"/>
        </w:rPr>
        <w:t>Risk Calculators</w:t>
      </w:r>
    </w:p>
    <w:p>
      <w:pPr>
        <w:spacing w:before="40" w:after="40"/>
        <w:ind w:left="504" w:hanging="288"/>
      </w:pPr>
      <w:r>
        <w:rPr>
          <w:rFonts w:ascii="Calibri" w:hAnsi="Calibri"/>
          <w:b/>
          <w:color w:val="333333"/>
          <w:sz w:val="20"/>
        </w:rPr>
        <w:t xml:space="preserve">6.  </w:t>
      </w:r>
      <w:r>
        <w:rPr>
          <w:rFonts w:ascii="Calibri" w:hAnsi="Calibri"/>
          <w:color w:val="1AAFCC"/>
          <w:sz w:val="20"/>
        </w:rPr>
        <w:t>GDMT Framework</w:t>
      </w:r>
    </w:p>
    <w:p>
      <w:pPr>
        <w:spacing w:before="40" w:after="40"/>
        <w:ind w:left="504" w:hanging="288"/>
      </w:pPr>
      <w:r>
        <w:rPr>
          <w:rFonts w:ascii="Calibri" w:hAnsi="Calibri"/>
          <w:b/>
          <w:color w:val="333333"/>
          <w:sz w:val="20"/>
        </w:rPr>
        <w:t xml:space="preserve">7.  </w:t>
      </w:r>
      <w:r>
        <w:rPr>
          <w:rFonts w:ascii="Calibri" w:hAnsi="Calibri"/>
          <w:color w:val="1AAFCC"/>
          <w:sz w:val="20"/>
        </w:rPr>
        <w:t>Cross-Modal Genomic Integration</w:t>
      </w:r>
    </w:p>
    <w:p>
      <w:pPr>
        <w:spacing w:before="40" w:after="40"/>
        <w:ind w:left="504" w:hanging="288"/>
      </w:pPr>
      <w:r>
        <w:rPr>
          <w:rFonts w:ascii="Calibri" w:hAnsi="Calibri"/>
          <w:b/>
          <w:color w:val="333333"/>
          <w:sz w:val="20"/>
        </w:rPr>
        <w:t xml:space="preserve">8.  </w:t>
      </w:r>
      <w:r>
        <w:rPr>
          <w:rFonts w:ascii="Calibri" w:hAnsi="Calibri"/>
          <w:color w:val="1AAFCC"/>
          <w:sz w:val="20"/>
        </w:rPr>
        <w:t>Knowledge Graph Design</w:t>
      </w:r>
    </w:p>
    <w:p>
      <w:pPr>
        <w:spacing w:before="40" w:after="40"/>
        <w:ind w:left="504" w:hanging="288"/>
      </w:pPr>
      <w:r>
        <w:rPr>
          <w:rFonts w:ascii="Calibri" w:hAnsi="Calibri"/>
          <w:b/>
          <w:color w:val="333333"/>
          <w:sz w:val="20"/>
        </w:rPr>
        <w:t xml:space="preserve">9.  </w:t>
      </w:r>
      <w:r>
        <w:rPr>
          <w:rFonts w:ascii="Calibri" w:hAnsi="Calibri"/>
          <w:color w:val="1AAFCC"/>
          <w:sz w:val="20"/>
        </w:rPr>
        <w:t>Clinical Validation Approach</w:t>
      </w:r>
    </w:p>
    <w:p>
      <w:pPr>
        <w:spacing w:before="40" w:after="40"/>
        <w:ind w:left="504" w:hanging="288"/>
      </w:pPr>
      <w:r>
        <w:rPr>
          <w:rFonts w:ascii="Calibri" w:hAnsi="Calibri"/>
          <w:b/>
          <w:color w:val="333333"/>
          <w:sz w:val="20"/>
        </w:rPr>
        <w:t xml:space="preserve">10.  </w:t>
      </w:r>
      <w:r>
        <w:rPr>
          <w:rFonts w:ascii="Calibri" w:hAnsi="Calibri"/>
          <w:color w:val="1AAFCC"/>
          <w:sz w:val="20"/>
        </w:rPr>
        <w:t>Comparison with Existing Solutions</w:t>
      </w:r>
    </w:p>
    <w:p>
      <w:pPr>
        <w:spacing w:before="40" w:after="40"/>
        <w:ind w:left="504" w:hanging="288"/>
      </w:pPr>
      <w:r>
        <w:rPr>
          <w:rFonts w:ascii="Calibri" w:hAnsi="Calibri"/>
          <w:b/>
          <w:color w:val="333333"/>
          <w:sz w:val="20"/>
        </w:rPr>
        <w:t xml:space="preserve">11.  </w:t>
      </w:r>
      <w:r>
        <w:rPr>
          <w:rFonts w:ascii="Calibri" w:hAnsi="Calibri"/>
          <w:color w:val="1AAFCC"/>
          <w:sz w:val="20"/>
        </w:rPr>
        <w:t>Performance on DGX Spark</w:t>
      </w:r>
    </w:p>
    <w:p>
      <w:pPr>
        <w:spacing w:before="40" w:after="40"/>
        <w:ind w:left="504" w:hanging="288"/>
      </w:pPr>
      <w:r>
        <w:rPr>
          <w:rFonts w:ascii="Calibri" w:hAnsi="Calibri"/>
          <w:b/>
          <w:color w:val="333333"/>
          <w:sz w:val="20"/>
        </w:rPr>
        <w:t xml:space="preserve">12.  </w:t>
      </w:r>
      <w:r>
        <w:rPr>
          <w:rFonts w:ascii="Calibri" w:hAnsi="Calibri"/>
          <w:color w:val="1AAFCC"/>
          <w:sz w:val="20"/>
        </w:rPr>
        <w:t>Limitations and Future Work</w:t>
      </w:r>
    </w:p>
    <w:p>
      <w:pPr>
        <w:spacing w:before="40" w:after="40"/>
        <w:ind w:left="504" w:hanging="288"/>
      </w:pPr>
      <w:r>
        <w:rPr>
          <w:rFonts w:ascii="Calibri" w:hAnsi="Calibri"/>
          <w:b/>
          <w:color w:val="333333"/>
          <w:sz w:val="20"/>
        </w:rPr>
        <w:t xml:space="preserve">13.  </w:t>
      </w:r>
      <w:r>
        <w:rPr>
          <w:rFonts w:ascii="Calibri" w:hAnsi="Calibri"/>
          <w:color w:val="1AAFCC"/>
          <w:sz w:val="20"/>
        </w:rPr>
        <w:t>Conclusion</w:t>
      </w:r>
    </w:p>
    <w:p>
      <w:pPr>
        <w:spacing w:before="40" w:after="40"/>
        <w:ind w:left="504" w:hanging="288"/>
      </w:pPr>
      <w:r>
        <w:rPr>
          <w:rFonts w:ascii="Calibri" w:hAnsi="Calibri"/>
          <w:b/>
          <w:color w:val="333333"/>
          <w:sz w:val="20"/>
        </w:rPr>
        <w:t xml:space="preserve">14.  </w:t>
      </w:r>
      <w:r>
        <w:rPr>
          <w:rFonts w:ascii="Calibri" w:hAnsi="Calibri"/>
          <w:color w:val="1AAFCC"/>
          <w:sz w:val="20"/>
        </w:rPr>
        <w:t>References</w:t>
      </w:r>
    </w:p>
    <w:p>
      <w:pPr>
        <w:spacing w:before="80" w:after="80"/>
        <w:pBdr>
          <w:bottom w:val="single" w:sz="6" w:color="1AAFCC"/>
        </w:pBdr>
      </w:pPr>
    </w:p>
    <w:p>
      <w:pPr>
        <w:pStyle w:val="Heading1"/>
        <w:spacing w:before="400" w:after="160"/>
      </w:pPr>
      <w:r>
        <w:rPr>
          <w:rFonts w:ascii="Calibri" w:hAnsi="Calibri"/>
          <w:b/>
          <w:color w:val="1B2333"/>
          <w:sz w:val="32"/>
        </w:rPr>
        <w:t>1. Introduction</w:t>
      </w:r>
    </w:p>
    <w:p>
      <w:pPr>
        <w:pStyle w:val="Heading2"/>
        <w:spacing w:before="280" w:after="120"/>
      </w:pPr>
      <w:r>
        <w:rPr>
          <w:rFonts w:ascii="Calibri" w:hAnsi="Calibri"/>
          <w:b/>
          <w:color w:val="1AAFCC"/>
          <w:sz w:val="26"/>
        </w:rPr>
        <w:t>1.1 The Cardiovascular Disease Burden</w:t>
      </w:r>
    </w:p>
    <w:p>
      <w:pPr>
        <w:spacing w:before="0" w:after="120"/>
      </w:pPr>
      <w:r>
        <w:rPr>
          <w:rFonts w:ascii="Calibri" w:hAnsi="Calibri"/>
          <w:color w:val="333333"/>
          <w:sz w:val="20"/>
        </w:rPr>
        <w:t>Cardiovascular disease represents the single largest cause of mortality and morbidity worldwide. According to the World Health Organization and the American Heart Association (AHA) 2025 Heart Disease and Stroke Statistics Update:</w:t>
      </w:r>
    </w:p>
    <w:p>
      <w:pPr>
        <w:spacing w:before="40" w:after="40"/>
        <w:ind w:left="504" w:hanging="216"/>
      </w:pPr>
      <w:r>
        <w:rPr>
          <w:rFonts w:ascii="Calibri" w:hAnsi="Calibri"/>
          <w:color w:val="1AAFCC"/>
          <w:sz w:val="20"/>
        </w:rPr>
        <w:t xml:space="preserve">•  </w:t>
      </w:r>
      <w:r>
        <w:rPr>
          <w:rFonts w:ascii="Calibri" w:hAnsi="Calibri"/>
          <w:b/>
          <w:color w:val="333333"/>
          <w:sz w:val="20"/>
        </w:rPr>
        <w:t>17.9 million deaths annually</w:t>
      </w:r>
      <w:r>
        <w:rPr>
          <w:rFonts w:ascii="Calibri" w:hAnsi="Calibri"/>
          <w:color w:val="333333"/>
          <w:sz w:val="20"/>
        </w:rPr>
        <w:t xml:space="preserve"> -- 32% of all global deaths</w:t>
      </w:r>
    </w:p>
    <w:p>
      <w:pPr>
        <w:spacing w:before="40" w:after="40"/>
        <w:ind w:left="504" w:hanging="216"/>
      </w:pPr>
      <w:r>
        <w:rPr>
          <w:rFonts w:ascii="Calibri" w:hAnsi="Calibri"/>
          <w:color w:val="1AAFCC"/>
          <w:sz w:val="20"/>
        </w:rPr>
        <w:t xml:space="preserve">•  </w:t>
      </w:r>
      <w:r>
        <w:rPr>
          <w:rFonts w:ascii="Calibri" w:hAnsi="Calibri"/>
          <w:b/>
          <w:color w:val="333333"/>
          <w:sz w:val="20"/>
        </w:rPr>
        <w:t>523 million people</w:t>
      </w:r>
      <w:r>
        <w:rPr>
          <w:rFonts w:ascii="Calibri" w:hAnsi="Calibri"/>
          <w:color w:val="333333"/>
          <w:sz w:val="20"/>
        </w:rPr>
        <w:t xml:space="preserve"> currently living with cardiovascular disease</w:t>
      </w:r>
    </w:p>
    <w:p>
      <w:pPr>
        <w:spacing w:before="40" w:after="40"/>
        <w:ind w:left="504" w:hanging="216"/>
      </w:pPr>
      <w:r>
        <w:rPr>
          <w:rFonts w:ascii="Calibri" w:hAnsi="Calibri"/>
          <w:color w:val="1AAFCC"/>
          <w:sz w:val="20"/>
        </w:rPr>
        <w:t xml:space="preserve">•  </w:t>
      </w:r>
      <w:r>
        <w:rPr>
          <w:rFonts w:ascii="Calibri" w:hAnsi="Calibri"/>
          <w:b/>
          <w:color w:val="333333"/>
          <w:sz w:val="20"/>
        </w:rPr>
        <w:t>$407 billion</w:t>
      </w:r>
      <w:r>
        <w:rPr>
          <w:rFonts w:ascii="Calibri" w:hAnsi="Calibri"/>
          <w:color w:val="333333"/>
          <w:sz w:val="20"/>
        </w:rPr>
        <w:t xml:space="preserve"> in direct and indirect costs in the United States alone (2024)</w:t>
      </w:r>
    </w:p>
    <w:p>
      <w:pPr>
        <w:spacing w:before="40" w:after="40"/>
        <w:ind w:left="504" w:hanging="216"/>
      </w:pPr>
      <w:r>
        <w:rPr>
          <w:rFonts w:ascii="Calibri" w:hAnsi="Calibri"/>
          <w:color w:val="1AAFCC"/>
          <w:sz w:val="20"/>
        </w:rPr>
        <w:t xml:space="preserve">•  </w:t>
      </w:r>
      <w:r>
        <w:rPr>
          <w:rFonts w:ascii="Calibri" w:hAnsi="Calibri"/>
          <w:b/>
          <w:color w:val="333333"/>
          <w:sz w:val="20"/>
        </w:rPr>
        <w:t>Heart failure</w:t>
      </w:r>
      <w:r>
        <w:rPr>
          <w:rFonts w:ascii="Calibri" w:hAnsi="Calibri"/>
          <w:color w:val="333333"/>
          <w:sz w:val="20"/>
        </w:rPr>
        <w:t xml:space="preserve"> affects 64.3 million people globally, with 5-year mortality rates exceeding 50%</w:t>
      </w:r>
    </w:p>
    <w:p>
      <w:pPr>
        <w:spacing w:before="40" w:after="40"/>
        <w:ind w:left="504" w:hanging="216"/>
      </w:pPr>
      <w:r>
        <w:rPr>
          <w:rFonts w:ascii="Calibri" w:hAnsi="Calibri"/>
          <w:color w:val="1AAFCC"/>
          <w:sz w:val="20"/>
        </w:rPr>
        <w:t xml:space="preserve">•  </w:t>
      </w:r>
      <w:r>
        <w:rPr>
          <w:rFonts w:ascii="Calibri" w:hAnsi="Calibri"/>
          <w:b/>
          <w:color w:val="333333"/>
          <w:sz w:val="20"/>
        </w:rPr>
        <w:t>Atrial fibrillation</w:t>
      </w:r>
      <w:r>
        <w:rPr>
          <w:rFonts w:ascii="Calibri" w:hAnsi="Calibri"/>
          <w:color w:val="333333"/>
          <w:sz w:val="20"/>
        </w:rPr>
        <w:t xml:space="preserve"> prevalence has reached 59 million cases worldwide, with a projected 72 million by 2030</w:t>
      </w:r>
    </w:p>
    <w:p>
      <w:pPr>
        <w:spacing w:before="0" w:after="120"/>
      </w:pPr>
      <w:r>
        <w:rPr>
          <w:rFonts w:ascii="Calibri" w:hAnsi="Calibri"/>
          <w:color w:val="333333"/>
          <w:sz w:val="20"/>
        </w:rPr>
        <w:t>Despite these numbers, cardiovascular AI adoption in clinical practice remains in early stages. A 2025 ACC survey found that while 89% of cardiologists believe AI will transform their practice, only 23% currently use AI-assisted tools in routine clinical decision-making.</w:t>
      </w:r>
    </w:p>
    <w:p>
      <w:pPr>
        <w:pStyle w:val="Heading2"/>
        <w:spacing w:before="280" w:after="120"/>
      </w:pPr>
      <w:r>
        <w:rPr>
          <w:rFonts w:ascii="Calibri" w:hAnsi="Calibri"/>
          <w:b/>
          <w:color w:val="1AAFCC"/>
          <w:sz w:val="26"/>
        </w:rPr>
        <w:t>1.2 The Opportunity for Integrated Intelligence</w:t>
      </w:r>
    </w:p>
    <w:p>
      <w:pPr>
        <w:spacing w:before="0" w:after="120"/>
      </w:pPr>
      <w:r>
        <w:rPr>
          <w:rFonts w:ascii="Calibri" w:hAnsi="Calibri"/>
          <w:color w:val="333333"/>
          <w:sz w:val="20"/>
        </w:rPr>
        <w:t>The cardiovascular domain is uniquely suited for an integrated AI intelligence agent because:</w:t>
      </w:r>
    </w:p>
    <w:p>
      <w:pPr>
        <w:spacing w:before="40" w:after="40"/>
        <w:ind w:left="504" w:hanging="288"/>
      </w:pPr>
      <w:r>
        <w:rPr>
          <w:rFonts w:ascii="Calibri" w:hAnsi="Calibri"/>
          <w:b/>
          <w:color w:val="333333"/>
          <w:sz w:val="20"/>
        </w:rPr>
        <w:t xml:space="preserve">1.  </w:t>
      </w:r>
      <w:r>
        <w:rPr>
          <w:rFonts w:ascii="Calibri" w:hAnsi="Calibri"/>
          <w:b/>
          <w:color w:val="333333"/>
          <w:sz w:val="20"/>
        </w:rPr>
        <w:t>Multi-modal data convergence</w:t>
      </w:r>
      <w:r>
        <w:rPr>
          <w:rFonts w:ascii="Calibri" w:hAnsi="Calibri"/>
          <w:color w:val="333333"/>
          <w:sz w:val="20"/>
        </w:rPr>
        <w:t>: Cardiology routinely integrates imaging (echo, CT, MRI, nuclear), electrophysiology (ECG, Holter), hemodynamics (catheterization), biomarkers (troponin, BNP, lipids), genomics (familial cardiomyopathy, channelopathies), and clinical risk scores.</w:t>
      </w:r>
    </w:p>
    <w:p>
      <w:pPr>
        <w:spacing w:before="40" w:after="40"/>
        <w:ind w:left="504" w:hanging="288"/>
      </w:pPr>
      <w:r>
        <w:rPr>
          <w:rFonts w:ascii="Calibri" w:hAnsi="Calibri"/>
          <w:b/>
          <w:color w:val="333333"/>
          <w:sz w:val="20"/>
        </w:rPr>
        <w:t xml:space="preserve">2.  </w:t>
      </w:r>
      <w:r>
        <w:rPr>
          <w:rFonts w:ascii="Calibri" w:hAnsi="Calibri"/>
          <w:b/>
          <w:color w:val="333333"/>
          <w:sz w:val="20"/>
        </w:rPr>
        <w:t>Established clinical guidelines</w:t>
      </w:r>
      <w:r>
        <w:rPr>
          <w:rFonts w:ascii="Calibri" w:hAnsi="Calibri"/>
          <w:color w:val="333333"/>
          <w:sz w:val="20"/>
        </w:rPr>
        <w:t>: ACC/AHA guidelines provide structured frameworks for risk stratification, treatment decisions, and follow-up protocols that can be encoded into decision support logic.</w:t>
      </w:r>
    </w:p>
    <w:p>
      <w:pPr>
        <w:spacing w:before="40" w:after="40"/>
        <w:ind w:left="504" w:hanging="288"/>
      </w:pPr>
      <w:r>
        <w:rPr>
          <w:rFonts w:ascii="Calibri" w:hAnsi="Calibri"/>
          <w:b/>
          <w:color w:val="333333"/>
          <w:sz w:val="20"/>
        </w:rPr>
        <w:t xml:space="preserve">3.  </w:t>
      </w:r>
      <w:r>
        <w:rPr>
          <w:rFonts w:ascii="Calibri" w:hAnsi="Calibri"/>
          <w:b/>
          <w:color w:val="333333"/>
          <w:sz w:val="20"/>
        </w:rPr>
        <w:t>Quantitative measurement-rich</w:t>
      </w:r>
      <w:r>
        <w:rPr>
          <w:rFonts w:ascii="Calibri" w:hAnsi="Calibri"/>
          <w:color w:val="333333"/>
          <w:sz w:val="20"/>
        </w:rPr>
        <w:t>: Cardiology generates highly quantitative data (ejection fraction percentages, valve gradients in mmHg, calcium scores in Agatston units, QTc intervals in milliseconds) well-suited for structured RAG retrieval.</w:t>
      </w:r>
    </w:p>
    <w:p>
      <w:pPr>
        <w:spacing w:before="40" w:after="40"/>
        <w:ind w:left="504" w:hanging="288"/>
      </w:pPr>
      <w:r>
        <w:rPr>
          <w:rFonts w:ascii="Calibri" w:hAnsi="Calibri"/>
          <w:b/>
          <w:color w:val="333333"/>
          <w:sz w:val="20"/>
        </w:rPr>
        <w:t xml:space="preserve">4.  </w:t>
      </w:r>
      <w:r>
        <w:rPr>
          <w:rFonts w:ascii="Calibri" w:hAnsi="Calibri"/>
          <w:b/>
          <w:color w:val="333333"/>
          <w:sz w:val="20"/>
        </w:rPr>
        <w:t>Strong cross-modal triggers</w:t>
      </w:r>
      <w:r>
        <w:rPr>
          <w:rFonts w:ascii="Calibri" w:hAnsi="Calibri"/>
          <w:color w:val="333333"/>
          <w:sz w:val="20"/>
        </w:rPr>
        <w:t>: Cardiac imaging findings (e.g., unexplained left ventricular hypertrophy) frequently trigger genomic workup (hypertrophic cardiomyopathy gene panel), which may lead to drug therapy optimization.</w:t>
      </w:r>
    </w:p>
    <w:p>
      <w:pPr>
        <w:pStyle w:val="Heading2"/>
        <w:spacing w:before="280" w:after="120"/>
      </w:pPr>
      <w:r>
        <w:rPr>
          <w:rFonts w:ascii="Calibri" w:hAnsi="Calibri"/>
          <w:b/>
          <w:color w:val="1AAFCC"/>
          <w:sz w:val="26"/>
        </w:rPr>
        <w:t>1.3 Our Contribution</w:t>
      </w:r>
    </w:p>
    <w:p>
      <w:pPr>
        <w:spacing w:before="0" w:after="120"/>
      </w:pPr>
      <w:r>
        <w:rPr>
          <w:rFonts w:ascii="Calibri" w:hAnsi="Calibri"/>
          <w:color w:val="333333"/>
          <w:sz w:val="20"/>
        </w:rPr>
        <w:t>This paper presents the sixth domain-specific intelligence agent in the HCLS AI Factory platform, following the Precision Biomarker, Precision Oncology, CAR-T, Imaging, and Autoimmune agents. Our contributions include:</w:t>
      </w:r>
    </w:p>
    <w:p>
      <w:pPr>
        <w:spacing w:before="40" w:after="40"/>
        <w:ind w:left="504" w:hanging="216"/>
      </w:pPr>
      <w:r>
        <w:rPr>
          <w:rFonts w:ascii="Calibri" w:hAnsi="Calibri"/>
          <w:color w:val="1AAFCC"/>
          <w:sz w:val="20"/>
        </w:rPr>
        <w:t xml:space="preserve">•  </w:t>
      </w:r>
      <w:r>
        <w:rPr>
          <w:rFonts w:ascii="Calibri" w:hAnsi="Calibri"/>
          <w:color w:val="333333"/>
          <w:sz w:val="20"/>
        </w:rPr>
        <w:t xml:space="preserve">A </w:t>
      </w:r>
      <w:r>
        <w:rPr>
          <w:rFonts w:ascii="Calibri" w:hAnsi="Calibri"/>
          <w:b/>
          <w:color w:val="333333"/>
          <w:sz w:val="20"/>
        </w:rPr>
        <w:t>12-collection Milvus vector schema</w:t>
      </w:r>
      <w:r>
        <w:rPr>
          <w:rFonts w:ascii="Calibri" w:hAnsi="Calibri"/>
          <w:color w:val="333333"/>
          <w:sz w:val="20"/>
        </w:rPr>
        <w:t xml:space="preserve"> spanning the full cardiovascular data spectrum</w:t>
      </w:r>
    </w:p>
    <w:p>
      <w:pPr>
        <w:spacing w:before="40" w:after="40"/>
        <w:ind w:left="504" w:hanging="216"/>
      </w:pPr>
      <w:r>
        <w:rPr>
          <w:rFonts w:ascii="Calibri" w:hAnsi="Calibri"/>
          <w:color w:val="1AAFCC"/>
          <w:sz w:val="20"/>
        </w:rPr>
        <w:t xml:space="preserve">•  </w:t>
      </w:r>
      <w:r>
        <w:rPr>
          <w:rFonts w:ascii="Calibri" w:hAnsi="Calibri"/>
          <w:b/>
          <w:color w:val="333333"/>
          <w:sz w:val="20"/>
        </w:rPr>
        <w:t>Eleven clinical workflows</w:t>
      </w:r>
      <w:r>
        <w:rPr>
          <w:rFonts w:ascii="Calibri" w:hAnsi="Calibri"/>
          <w:color w:val="333333"/>
          <w:sz w:val="20"/>
        </w:rPr>
        <w:t xml:space="preserve"> covering coronary artery disease, heart failure, valvular disease, arrhythmia, cardiac MRI, stress testing, preventive risk stratification, cardio-oncology, acute decompensated HF, post-MI, and myocarditis/pericarditis</w:t>
      </w:r>
    </w:p>
    <w:p>
      <w:pPr>
        <w:spacing w:before="40" w:after="40"/>
        <w:ind w:left="504" w:hanging="216"/>
      </w:pPr>
      <w:r>
        <w:rPr>
          <w:rFonts w:ascii="Calibri" w:hAnsi="Calibri"/>
          <w:color w:val="1AAFCC"/>
          <w:sz w:val="20"/>
        </w:rPr>
        <w:t xml:space="preserve">•  </w:t>
      </w:r>
      <w:r>
        <w:rPr>
          <w:rFonts w:ascii="Calibri" w:hAnsi="Calibri"/>
          <w:color w:val="333333"/>
          <w:sz w:val="20"/>
        </w:rPr>
        <w:t xml:space="preserve">A </w:t>
      </w:r>
      <w:r>
        <w:rPr>
          <w:rFonts w:ascii="Calibri" w:hAnsi="Calibri"/>
          <w:b/>
          <w:color w:val="333333"/>
          <w:sz w:val="20"/>
        </w:rPr>
        <w:t>cardiovascular knowledge graph</w:t>
      </w:r>
      <w:r>
        <w:rPr>
          <w:rFonts w:ascii="Calibri" w:hAnsi="Calibri"/>
          <w:color w:val="333333"/>
          <w:sz w:val="20"/>
        </w:rPr>
        <w:t xml:space="preserve"> with 45 conditions, 29 biomarkers, 32 drug classes, 56 genes, 27 imaging protocols, and 63 guideline recommendations across 20 guideline documents</w:t>
      </w:r>
    </w:p>
    <w:p>
      <w:pPr>
        <w:spacing w:before="40" w:after="40"/>
        <w:ind w:left="504" w:hanging="216"/>
      </w:pPr>
      <w:r>
        <w:rPr>
          <w:rFonts w:ascii="Calibri" w:hAnsi="Calibri"/>
          <w:color w:val="1AAFCC"/>
          <w:sz w:val="20"/>
        </w:rPr>
        <w:t xml:space="preserve">•  </w:t>
      </w:r>
      <w:r>
        <w:rPr>
          <w:rFonts w:ascii="Calibri" w:hAnsi="Calibri"/>
          <w:b/>
          <w:color w:val="333333"/>
          <w:sz w:val="20"/>
        </w:rPr>
        <w:t>Six validated risk calculators</w:t>
      </w:r>
      <w:r>
        <w:rPr>
          <w:rFonts w:ascii="Calibri" w:hAnsi="Calibri"/>
          <w:color w:val="333333"/>
          <w:sz w:val="20"/>
        </w:rPr>
        <w:t xml:space="preserve"> with published coefficients and lookup tables</w:t>
      </w:r>
    </w:p>
    <w:p>
      <w:pPr>
        <w:spacing w:before="40" w:after="40"/>
        <w:ind w:left="504" w:hanging="216"/>
      </w:pPr>
      <w:r>
        <w:rPr>
          <w:rFonts w:ascii="Calibri" w:hAnsi="Calibri"/>
          <w:color w:val="1AAFCC"/>
          <w:sz w:val="20"/>
        </w:rPr>
        <w:t xml:space="preserve">•  </w:t>
      </w:r>
      <w:r>
        <w:rPr>
          <w:rFonts w:ascii="Calibri" w:hAnsi="Calibri"/>
          <w:color w:val="333333"/>
          <w:sz w:val="20"/>
        </w:rPr>
        <w:t xml:space="preserve">A </w:t>
      </w:r>
      <w:r>
        <w:rPr>
          <w:rFonts w:ascii="Calibri" w:hAnsi="Calibri"/>
          <w:b/>
          <w:color w:val="333333"/>
          <w:sz w:val="20"/>
        </w:rPr>
        <w:t>GDMT optimizer</w:t>
      </w:r>
      <w:r>
        <w:rPr>
          <w:rFonts w:ascii="Calibri" w:hAnsi="Calibri"/>
          <w:color w:val="333333"/>
          <w:sz w:val="20"/>
        </w:rPr>
        <w:t xml:space="preserve"> supporting 7 therapy classes for evidence-based heart failure medication management</w:t>
      </w:r>
    </w:p>
    <w:p>
      <w:pPr>
        <w:spacing w:before="40" w:after="40"/>
        <w:ind w:left="504" w:hanging="216"/>
      </w:pPr>
      <w:r>
        <w:rPr>
          <w:rFonts w:ascii="Calibri" w:hAnsi="Calibri"/>
          <w:color w:val="1AAFCC"/>
          <w:sz w:val="20"/>
        </w:rPr>
        <w:t xml:space="preserve">•  </w:t>
      </w:r>
      <w:r>
        <w:rPr>
          <w:rFonts w:ascii="Calibri" w:hAnsi="Calibri"/>
          <w:b/>
          <w:color w:val="333333"/>
          <w:sz w:val="20"/>
        </w:rPr>
        <w:t>Cross-modal triggers</w:t>
      </w:r>
      <w:r>
        <w:rPr>
          <w:rFonts w:ascii="Calibri" w:hAnsi="Calibri"/>
          <w:color w:val="333333"/>
          <w:sz w:val="20"/>
        </w:rPr>
        <w:t xml:space="preserve"> with 18 genomic trigger patterns linking imaging findings to genomic workup panels</w:t>
      </w:r>
    </w:p>
    <w:p>
      <w:pPr>
        <w:spacing w:before="40" w:after="40"/>
        <w:ind w:left="504" w:hanging="216"/>
      </w:pPr>
      <w:r>
        <w:rPr>
          <w:rFonts w:ascii="Calibri" w:hAnsi="Calibri"/>
          <w:color w:val="1AAFCC"/>
          <w:sz w:val="20"/>
        </w:rPr>
        <w:t xml:space="preserve">•  </w:t>
      </w:r>
      <w:r>
        <w:rPr>
          <w:rFonts w:ascii="Calibri" w:hAnsi="Calibri"/>
          <w:b/>
          <w:color w:val="333333"/>
          <w:sz w:val="20"/>
        </w:rPr>
        <w:t>Deployment on a single NVIDIA DGX Spark</w:t>
      </w:r>
      <w:r>
        <w:rPr>
          <w:rFonts w:ascii="Calibri" w:hAnsi="Calibri"/>
          <w:color w:val="333333"/>
          <w:sz w:val="20"/>
        </w:rPr>
        <w:t xml:space="preserve"> ($3,999)</w:t>
      </w:r>
    </w:p>
    <w:p>
      <w:pPr>
        <w:spacing w:before="80" w:after="80"/>
        <w:pBdr>
          <w:bottom w:val="single" w:sz="6" w:color="1AAFCC"/>
        </w:pBdr>
      </w:pPr>
    </w:p>
    <w:p>
      <w:pPr>
        <w:pStyle w:val="Heading1"/>
        <w:spacing w:before="400" w:after="160"/>
      </w:pPr>
      <w:r>
        <w:rPr>
          <w:rFonts w:ascii="Calibri" w:hAnsi="Calibri"/>
          <w:b/>
          <w:color w:val="1B2333"/>
          <w:sz w:val="32"/>
        </w:rPr>
        <w:t>2. Clinical Rationale</w:t>
      </w:r>
    </w:p>
    <w:p>
      <w:pPr>
        <w:pStyle w:val="Heading2"/>
        <w:spacing w:before="280" w:after="120"/>
      </w:pPr>
      <w:r>
        <w:rPr>
          <w:rFonts w:ascii="Calibri" w:hAnsi="Calibri"/>
          <w:b/>
          <w:color w:val="1AAFCC"/>
          <w:sz w:val="26"/>
        </w:rPr>
        <w:t>2.1 Why Cardiology Needs Integrated AI</w:t>
      </w:r>
    </w:p>
    <w:p>
      <w:pPr>
        <w:spacing w:before="0" w:after="120"/>
      </w:pPr>
      <w:r>
        <w:rPr>
          <w:rFonts w:ascii="Calibri" w:hAnsi="Calibri"/>
          <w:color w:val="333333"/>
          <w:sz w:val="20"/>
        </w:rPr>
        <w:t>Cardiovascular clinical practice generates data across at least fifteen distinct categories, each with its own structure, vocabulary, source systems, and update cadences. A cardiologist evaluating a patient with dyspnea must synthesize:</w:t>
      </w:r>
    </w:p>
    <w:p>
      <w:pPr>
        <w:spacing w:before="40" w:after="40"/>
        <w:ind w:left="504" w:hanging="216"/>
      </w:pPr>
      <w:r>
        <w:rPr>
          <w:rFonts w:ascii="Calibri" w:hAnsi="Calibri"/>
          <w:color w:val="1AAFCC"/>
          <w:sz w:val="20"/>
        </w:rPr>
        <w:t xml:space="preserve">•  </w:t>
      </w:r>
      <w:r>
        <w:rPr>
          <w:rFonts w:ascii="Calibri" w:hAnsi="Calibri"/>
          <w:b/>
          <w:color w:val="333333"/>
          <w:sz w:val="20"/>
        </w:rPr>
        <w:t>Echocardiographic data</w:t>
      </w:r>
      <w:r>
        <w:rPr>
          <w:rFonts w:ascii="Calibri" w:hAnsi="Calibri"/>
          <w:color w:val="333333"/>
          <w:sz w:val="20"/>
        </w:rPr>
        <w:t>: LVEF, diastolic parameters (E/e', LA volume), valve function, GLS</w:t>
      </w:r>
    </w:p>
    <w:p>
      <w:pPr>
        <w:spacing w:before="40" w:after="40"/>
        <w:ind w:left="504" w:hanging="216"/>
      </w:pPr>
      <w:r>
        <w:rPr>
          <w:rFonts w:ascii="Calibri" w:hAnsi="Calibri"/>
          <w:color w:val="1AAFCC"/>
          <w:sz w:val="20"/>
        </w:rPr>
        <w:t xml:space="preserve">•  </w:t>
      </w:r>
      <w:r>
        <w:rPr>
          <w:rFonts w:ascii="Calibri" w:hAnsi="Calibri"/>
          <w:b/>
          <w:color w:val="333333"/>
          <w:sz w:val="20"/>
        </w:rPr>
        <w:t>Biomarkers</w:t>
      </w:r>
      <w:r>
        <w:rPr>
          <w:rFonts w:ascii="Calibri" w:hAnsi="Calibri"/>
          <w:color w:val="333333"/>
          <w:sz w:val="20"/>
        </w:rPr>
        <w:t>: NT-proBNP, troponin, lipid panel, creatinine, potassium</w:t>
      </w:r>
    </w:p>
    <w:p>
      <w:pPr>
        <w:spacing w:before="40" w:after="40"/>
        <w:ind w:left="504" w:hanging="216"/>
      </w:pPr>
      <w:r>
        <w:rPr>
          <w:rFonts w:ascii="Calibri" w:hAnsi="Calibri"/>
          <w:color w:val="1AAFCC"/>
          <w:sz w:val="20"/>
        </w:rPr>
        <w:t xml:space="preserve">•  </w:t>
      </w:r>
      <w:r>
        <w:rPr>
          <w:rFonts w:ascii="Calibri" w:hAnsi="Calibri"/>
          <w:b/>
          <w:color w:val="333333"/>
          <w:sz w:val="20"/>
        </w:rPr>
        <w:t>ECG findings</w:t>
      </w:r>
      <w:r>
        <w:rPr>
          <w:rFonts w:ascii="Calibri" w:hAnsi="Calibri"/>
          <w:color w:val="333333"/>
          <w:sz w:val="20"/>
        </w:rPr>
        <w:t>: Rhythm, intervals (PR, QRS, QTc), axis, ST/T changes</w:t>
      </w:r>
    </w:p>
    <w:p>
      <w:pPr>
        <w:spacing w:before="40" w:after="40"/>
        <w:ind w:left="504" w:hanging="216"/>
      </w:pPr>
      <w:r>
        <w:rPr>
          <w:rFonts w:ascii="Calibri" w:hAnsi="Calibri"/>
          <w:color w:val="1AAFCC"/>
          <w:sz w:val="20"/>
        </w:rPr>
        <w:t xml:space="preserve">•  </w:t>
      </w:r>
      <w:r>
        <w:rPr>
          <w:rFonts w:ascii="Calibri" w:hAnsi="Calibri"/>
          <w:b/>
          <w:color w:val="333333"/>
          <w:sz w:val="20"/>
        </w:rPr>
        <w:t>Clinical risk scores</w:t>
      </w:r>
      <w:r>
        <w:rPr>
          <w:rFonts w:ascii="Calibri" w:hAnsi="Calibri"/>
          <w:color w:val="333333"/>
          <w:sz w:val="20"/>
        </w:rPr>
        <w:t>: CHA2DS2-VASc for AF, ASCVD for prevention, MAGGIC for HF prognosis</w:t>
      </w:r>
    </w:p>
    <w:p>
      <w:pPr>
        <w:spacing w:before="40" w:after="40"/>
        <w:ind w:left="504" w:hanging="216"/>
      </w:pPr>
      <w:r>
        <w:rPr>
          <w:rFonts w:ascii="Calibri" w:hAnsi="Calibri"/>
          <w:color w:val="1AAFCC"/>
          <w:sz w:val="20"/>
        </w:rPr>
        <w:t xml:space="preserve">•  </w:t>
      </w:r>
      <w:r>
        <w:rPr>
          <w:rFonts w:ascii="Calibri" w:hAnsi="Calibri"/>
          <w:b/>
          <w:color w:val="333333"/>
          <w:sz w:val="20"/>
        </w:rPr>
        <w:t>Medication review</w:t>
      </w:r>
      <w:r>
        <w:rPr>
          <w:rFonts w:ascii="Calibri" w:hAnsi="Calibri"/>
          <w:color w:val="333333"/>
          <w:sz w:val="20"/>
        </w:rPr>
        <w:t>: GDMT status for each of the four pillars</w:t>
      </w:r>
    </w:p>
    <w:p>
      <w:pPr>
        <w:spacing w:before="40" w:after="40"/>
        <w:ind w:left="504" w:hanging="216"/>
      </w:pPr>
      <w:r>
        <w:rPr>
          <w:rFonts w:ascii="Calibri" w:hAnsi="Calibri"/>
          <w:color w:val="1AAFCC"/>
          <w:sz w:val="20"/>
        </w:rPr>
        <w:t xml:space="preserve">•  </w:t>
      </w:r>
      <w:r>
        <w:rPr>
          <w:rFonts w:ascii="Calibri" w:hAnsi="Calibri"/>
          <w:b/>
          <w:color w:val="333333"/>
          <w:sz w:val="20"/>
        </w:rPr>
        <w:t>Imaging history</w:t>
      </w:r>
      <w:r>
        <w:rPr>
          <w:rFonts w:ascii="Calibri" w:hAnsi="Calibri"/>
          <w:color w:val="333333"/>
          <w:sz w:val="20"/>
        </w:rPr>
        <w:t>: Prior cardiac MRI tissue characterization, stress test results</w:t>
      </w:r>
    </w:p>
    <w:p>
      <w:pPr>
        <w:spacing w:before="40" w:after="40"/>
        <w:ind w:left="504" w:hanging="216"/>
      </w:pPr>
      <w:r>
        <w:rPr>
          <w:rFonts w:ascii="Calibri" w:hAnsi="Calibri"/>
          <w:color w:val="1AAFCC"/>
          <w:sz w:val="20"/>
        </w:rPr>
        <w:t xml:space="preserve">•  </w:t>
      </w:r>
      <w:r>
        <w:rPr>
          <w:rFonts w:ascii="Calibri" w:hAnsi="Calibri"/>
          <w:b/>
          <w:color w:val="333333"/>
          <w:sz w:val="20"/>
        </w:rPr>
        <w:t>Genomic data</w:t>
      </w:r>
      <w:r>
        <w:rPr>
          <w:rFonts w:ascii="Calibri" w:hAnsi="Calibri"/>
          <w:color w:val="333333"/>
          <w:sz w:val="20"/>
        </w:rPr>
        <w:t>: Family history suggesting inherited cardiomyopathy</w:t>
      </w:r>
    </w:p>
    <w:p>
      <w:pPr>
        <w:spacing w:before="40" w:after="40"/>
        <w:ind w:left="504" w:hanging="216"/>
      </w:pPr>
      <w:r>
        <w:rPr>
          <w:rFonts w:ascii="Calibri" w:hAnsi="Calibri"/>
          <w:color w:val="1AAFCC"/>
          <w:sz w:val="20"/>
        </w:rPr>
        <w:t xml:space="preserve">•  </w:t>
      </w:r>
      <w:r>
        <w:rPr>
          <w:rFonts w:ascii="Calibri" w:hAnsi="Calibri"/>
          <w:b/>
          <w:color w:val="333333"/>
          <w:sz w:val="20"/>
        </w:rPr>
        <w:t>Guidelines</w:t>
      </w:r>
      <w:r>
        <w:rPr>
          <w:rFonts w:ascii="Calibri" w:hAnsi="Calibri"/>
          <w:color w:val="333333"/>
          <w:sz w:val="20"/>
        </w:rPr>
        <w:t>: Current ACC/AHA/ESC recommendations applicable to the clinical scenario</w:t>
      </w:r>
    </w:p>
    <w:p>
      <w:pPr>
        <w:spacing w:before="0" w:after="120"/>
      </w:pPr>
      <w:r>
        <w:rPr>
          <w:rFonts w:ascii="Calibri" w:hAnsi="Calibri"/>
          <w:color w:val="333333"/>
          <w:sz w:val="20"/>
        </w:rPr>
        <w:t>No existing tool integrates all of these data streams into a unified clinical decision support framework.</w:t>
      </w:r>
    </w:p>
    <w:p>
      <w:pPr>
        <w:pStyle w:val="Heading2"/>
        <w:spacing w:before="280" w:after="120"/>
      </w:pPr>
      <w:r>
        <w:rPr>
          <w:rFonts w:ascii="Calibri" w:hAnsi="Calibri"/>
          <w:b/>
          <w:color w:val="1AAFCC"/>
          <w:sz w:val="26"/>
        </w:rPr>
        <w:t>2.2 The Data Fragmentation Problem</w:t>
      </w:r>
    </w:p>
    <w:tbl>
      <w:tblPr>
        <w:tblW w:type="auto" w:w="0"/>
        <w:jc w:val="center"/>
        <w:tblLayout w:type="autofit"/>
        <w:tblLook w:firstColumn="1" w:firstRow="1" w:lastColumn="0" w:lastRow="0" w:noHBand="0" w:noVBand="1" w:val="04A0"/>
      </w:tblPr>
      <w:tblGrid>
        <w:gridCol w:w="2340"/>
        <w:gridCol w:w="2340"/>
        <w:gridCol w:w="2340"/>
        <w:gridCol w:w="2340"/>
      </w:tblGrid>
      <w:tr>
        <w:tc>
          <w:tcPr>
            <w:tcW w:type="dxa" w:w="2340"/>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Data Source</w:t>
            </w:r>
          </w:p>
        </w:tc>
        <w:tc>
          <w:tcPr>
            <w:tcW w:type="dxa" w:w="2340"/>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Update Frequency</w:t>
            </w:r>
          </w:p>
        </w:tc>
        <w:tc>
          <w:tcPr>
            <w:tcW w:type="dxa" w:w="2340"/>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Format</w:t>
            </w:r>
          </w:p>
        </w:tc>
        <w:tc>
          <w:tcPr>
            <w:tcW w:type="dxa" w:w="2340"/>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Typical Access</w:t>
            </w:r>
          </w:p>
        </w:tc>
      </w:tr>
      <w:tr>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PubMed literature</w:t>
            </w:r>
          </w:p>
        </w:tc>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Daily</w:t>
            </w:r>
          </w:p>
        </w:tc>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Unstructured text</w:t>
            </w:r>
          </w:p>
        </w:tc>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Keyword search</w:t>
            </w:r>
          </w:p>
        </w:tc>
      </w:tr>
      <w:tr>
        <w:tc>
          <w:tcPr>
            <w:tcW w:type="dxa" w:w="234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ACC/AHA guidelines</w:t>
            </w:r>
          </w:p>
        </w:tc>
        <w:tc>
          <w:tcPr>
            <w:tcW w:type="dxa" w:w="234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Every 2-5 years</w:t>
            </w:r>
          </w:p>
        </w:tc>
        <w:tc>
          <w:tcPr>
            <w:tcW w:type="dxa" w:w="234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PDF</w:t>
            </w:r>
          </w:p>
        </w:tc>
        <w:tc>
          <w:tcPr>
            <w:tcW w:type="dxa" w:w="234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Manual review</w:t>
            </w:r>
          </w:p>
        </w:tc>
      </w:tr>
      <w:tr>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Echo reports</w:t>
            </w:r>
          </w:p>
        </w:tc>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Per-study</w:t>
            </w:r>
          </w:p>
        </w:tc>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Semi-structured</w:t>
            </w:r>
          </w:p>
        </w:tc>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EHR</w:t>
            </w:r>
          </w:p>
        </w:tc>
      </w:tr>
      <w:tr>
        <w:tc>
          <w:tcPr>
            <w:tcW w:type="dxa" w:w="234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ECG data</w:t>
            </w:r>
          </w:p>
        </w:tc>
        <w:tc>
          <w:tcPr>
            <w:tcW w:type="dxa" w:w="234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Per-recording</w:t>
            </w:r>
          </w:p>
        </w:tc>
        <w:tc>
          <w:tcPr>
            <w:tcW w:type="dxa" w:w="234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Signal + text</w:t>
            </w:r>
          </w:p>
        </w:tc>
        <w:tc>
          <w:tcPr>
            <w:tcW w:type="dxa" w:w="234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EHR/PACS</w:t>
            </w:r>
          </w:p>
        </w:tc>
      </w:tr>
      <w:tr>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Biomarker results</w:t>
            </w:r>
          </w:p>
        </w:tc>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Per-order</w:t>
            </w:r>
          </w:p>
        </w:tc>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Structured numeric</w:t>
            </w:r>
          </w:p>
        </w:tc>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EHR</w:t>
            </w:r>
          </w:p>
        </w:tc>
      </w:tr>
      <w:tr>
        <w:tc>
          <w:tcPr>
            <w:tcW w:type="dxa" w:w="234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ClinicalTrials.gov</w:t>
            </w:r>
          </w:p>
        </w:tc>
        <w:tc>
          <w:tcPr>
            <w:tcW w:type="dxa" w:w="234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Continuous</w:t>
            </w:r>
          </w:p>
        </w:tc>
        <w:tc>
          <w:tcPr>
            <w:tcW w:type="dxa" w:w="234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Semi-structured</w:t>
            </w:r>
          </w:p>
        </w:tc>
        <w:tc>
          <w:tcPr>
            <w:tcW w:type="dxa" w:w="234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Web search</w:t>
            </w:r>
          </w:p>
        </w:tc>
      </w:tr>
      <w:tr>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FDA device clearances</w:t>
            </w:r>
          </w:p>
        </w:tc>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Continuous</w:t>
            </w:r>
          </w:p>
        </w:tc>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Semi-structured</w:t>
            </w:r>
          </w:p>
        </w:tc>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Web search</w:t>
            </w:r>
          </w:p>
        </w:tc>
      </w:tr>
      <w:tr>
        <w:tc>
          <w:tcPr>
            <w:tcW w:type="dxa" w:w="234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Genomic testing</w:t>
            </w:r>
          </w:p>
        </w:tc>
        <w:tc>
          <w:tcPr>
            <w:tcW w:type="dxa" w:w="234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Per-test</w:t>
            </w:r>
          </w:p>
        </w:tc>
        <w:tc>
          <w:tcPr>
            <w:tcW w:type="dxa" w:w="234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VCF/structured</w:t>
            </w:r>
          </w:p>
        </w:tc>
        <w:tc>
          <w:tcPr>
            <w:tcW w:type="dxa" w:w="234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Separate platform</w:t>
            </w:r>
          </w:p>
        </w:tc>
      </w:tr>
    </w:tbl>
    <w:p>
      <w:pPr>
        <w:spacing w:before="40" w:after="80"/>
      </w:pPr>
    </w:p>
    <w:p>
      <w:pPr>
        <w:spacing w:before="0" w:after="120"/>
      </w:pPr>
      <w:r>
        <w:rPr>
          <w:rFonts w:ascii="Calibri" w:hAnsi="Calibri"/>
          <w:color w:val="333333"/>
          <w:sz w:val="20"/>
        </w:rPr>
        <w:t>The Cardiology Intelligence Agent bridges these silos by embedding all data types into a unified 384-dimensional vector space, enabling semantic search across modalities.</w:t>
      </w:r>
    </w:p>
    <w:p>
      <w:pPr>
        <w:pStyle w:val="Heading2"/>
        <w:spacing w:before="280" w:after="120"/>
      </w:pPr>
      <w:r>
        <w:rPr>
          <w:rFonts w:ascii="Calibri" w:hAnsi="Calibri"/>
          <w:b/>
          <w:color w:val="1AAFCC"/>
          <w:sz w:val="26"/>
        </w:rPr>
        <w:t>2.3 Target Users and Use Cases</w:t>
      </w:r>
    </w:p>
    <w:tbl>
      <w:tblPr>
        <w:tblW w:type="auto" w:w="0"/>
        <w:jc w:val="center"/>
        <w:tblLayout w:type="autofit"/>
        <w:tblLook w:firstColumn="1" w:firstRow="1" w:lastColumn="0" w:lastRow="0" w:noHBand="0" w:noVBand="1" w:val="04A0"/>
      </w:tblPr>
      <w:tblGrid>
        <w:gridCol w:w="4680"/>
        <w:gridCol w:w="4680"/>
      </w:tblGrid>
      <w:tr>
        <w:tc>
          <w:tcPr>
            <w:tcW w:type="dxa" w:w="4680"/>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User</w:t>
            </w:r>
          </w:p>
        </w:tc>
        <w:tc>
          <w:tcPr>
            <w:tcW w:type="dxa" w:w="4680"/>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Primary Use Case</w:t>
            </w:r>
          </w:p>
        </w:tc>
      </w:tr>
      <w:tr>
        <w:tc>
          <w:tcPr>
            <w:tcW w:type="dxa" w:w="468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**General cardiologists**</w:t>
            </w:r>
          </w:p>
        </w:tc>
        <w:tc>
          <w:tcPr>
            <w:tcW w:type="dxa" w:w="468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Evidence lookup, risk calculation, GDMT optimization</w:t>
            </w:r>
          </w:p>
        </w:tc>
      </w:tr>
      <w:tr>
        <w:tc>
          <w:tcPr>
            <w:tcW w:type="dxa" w:w="468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**Interventional cardiologists**</w:t>
            </w:r>
          </w:p>
        </w:tc>
        <w:tc>
          <w:tcPr>
            <w:tcW w:type="dxa" w:w="468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Pre-procedural risk assessment, CAD-RADS interpretation</w:t>
            </w:r>
          </w:p>
        </w:tc>
      </w:tr>
      <w:tr>
        <w:tc>
          <w:tcPr>
            <w:tcW w:type="dxa" w:w="468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**Electrophysiologists**</w:t>
            </w:r>
          </w:p>
        </w:tc>
        <w:tc>
          <w:tcPr>
            <w:tcW w:type="dxa" w:w="468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Arrhythmia classification, anticoagulation decision support</w:t>
            </w:r>
          </w:p>
        </w:tc>
      </w:tr>
      <w:tr>
        <w:tc>
          <w:tcPr>
            <w:tcW w:type="dxa" w:w="468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**HF specialists**</w:t>
            </w:r>
          </w:p>
        </w:tc>
        <w:tc>
          <w:tcPr>
            <w:tcW w:type="dxa" w:w="468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GDMT titration guidance, device eligibility assessment</w:t>
            </w:r>
          </w:p>
        </w:tc>
      </w:tr>
      <w:tr>
        <w:tc>
          <w:tcPr>
            <w:tcW w:type="dxa" w:w="468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**Imaging cardiologists**</w:t>
            </w:r>
          </w:p>
        </w:tc>
        <w:tc>
          <w:tcPr>
            <w:tcW w:type="dxa" w:w="468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Cross-modal trigger identification, tissue characterization reference</w:t>
            </w:r>
          </w:p>
        </w:tc>
      </w:tr>
      <w:tr>
        <w:tc>
          <w:tcPr>
            <w:tcW w:type="dxa" w:w="468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**Cardio-oncologists**</w:t>
            </w:r>
          </w:p>
        </w:tc>
        <w:tc>
          <w:tcPr>
            <w:tcW w:type="dxa" w:w="468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Cardiotoxicity surveillance protocols, CTRCD detection</w:t>
            </w:r>
          </w:p>
        </w:tc>
      </w:tr>
      <w:tr>
        <w:tc>
          <w:tcPr>
            <w:tcW w:type="dxa" w:w="468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**Preventive cardiologists**</w:t>
            </w:r>
          </w:p>
        </w:tc>
        <w:tc>
          <w:tcPr>
            <w:tcW w:type="dxa" w:w="468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ASCVD risk stratification, statin eligibility, CAC interpretation</w:t>
            </w:r>
          </w:p>
        </w:tc>
      </w:tr>
      <w:tr>
        <w:tc>
          <w:tcPr>
            <w:tcW w:type="dxa" w:w="468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**Trainees**</w:t>
            </w:r>
          </w:p>
        </w:tc>
        <w:tc>
          <w:tcPr>
            <w:tcW w:type="dxa" w:w="468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Evidence-based learning, guideline reference</w:t>
            </w:r>
          </w:p>
        </w:tc>
      </w:tr>
    </w:tbl>
    <w:p>
      <w:pPr>
        <w:spacing w:before="40" w:after="80"/>
      </w:pPr>
    </w:p>
    <w:p>
      <w:pPr>
        <w:spacing w:before="80" w:after="80"/>
        <w:pBdr>
          <w:bottom w:val="single" w:sz="6" w:color="1AAFCC"/>
        </w:pBdr>
      </w:pPr>
    </w:p>
    <w:p>
      <w:pPr>
        <w:pStyle w:val="Heading1"/>
        <w:spacing w:before="400" w:after="160"/>
      </w:pPr>
      <w:r>
        <w:rPr>
          <w:rFonts w:ascii="Calibri" w:hAnsi="Calibri"/>
          <w:b/>
          <w:color w:val="1B2333"/>
          <w:sz w:val="32"/>
        </w:rPr>
        <w:t>3. Architecture</w:t>
      </w:r>
    </w:p>
    <w:p>
      <w:pPr>
        <w:pStyle w:val="Heading2"/>
        <w:spacing w:before="280" w:after="120"/>
      </w:pPr>
      <w:r>
        <w:rPr>
          <w:rFonts w:ascii="Calibri" w:hAnsi="Calibri"/>
          <w:b/>
          <w:color w:val="1AAFCC"/>
          <w:sz w:val="26"/>
        </w:rPr>
        <w:t>3.1 System Architecture</w:t>
      </w:r>
    </w:p>
    <w:p>
      <w:pPr>
        <w:spacing w:before="0" w:after="120"/>
      </w:pPr>
      <w:r>
        <w:rPr>
          <w:rFonts w:ascii="Calibri" w:hAnsi="Calibri"/>
          <w:color w:val="333333"/>
          <w:sz w:val="20"/>
        </w:rPr>
        <w:t>The Cardiology Intelligence Agent follows a layered architecture:</w:t>
      </w:r>
    </w:p>
    <w:p>
      <w:pPr>
        <w:spacing w:before="0" w:after="0" w:line="240" w:lineRule="auto"/>
        <w:ind w:left="288"/>
        <w:shd w:val="clear" w:fill="F0F0F0"/>
      </w:pPr>
      <w:r>
        <w:rPr>
          <w:rFonts w:ascii="Courier New" w:hAnsi="Courier New"/>
          <w:color w:val="444444"/>
          <w:sz w:val="18"/>
        </w:rPr>
        <w:t>+------------------------------------------------------------------+</w:t>
      </w:r>
    </w:p>
    <w:p>
      <w:pPr>
        <w:spacing w:before="0" w:after="0" w:line="240" w:lineRule="auto"/>
        <w:ind w:left="288"/>
        <w:shd w:val="clear" w:fill="F0F0F0"/>
      </w:pPr>
      <w:r>
        <w:rPr>
          <w:rFonts w:ascii="Courier New" w:hAnsi="Courier New"/>
          <w:color w:val="444444"/>
          <w:sz w:val="18"/>
        </w:rPr>
        <w:t>|                     Presentation Layer                             |</w:t>
      </w:r>
    </w:p>
    <w:p>
      <w:pPr>
        <w:spacing w:before="0" w:after="0" w:line="240" w:lineRule="auto"/>
        <w:ind w:left="288"/>
        <w:shd w:val="clear" w:fill="F0F0F0"/>
      </w:pPr>
      <w:r>
        <w:rPr>
          <w:rFonts w:ascii="Courier New" w:hAnsi="Courier New"/>
          <w:color w:val="444444"/>
          <w:sz w:val="18"/>
        </w:rPr>
        <w:t>|   Streamlit UI (:8536)  |  FastAPI REST API (:8126)               |</w:t>
      </w:r>
    </w:p>
    <w:p>
      <w:pPr>
        <w:spacing w:before="0" w:after="0" w:line="240" w:lineRule="auto"/>
        <w:ind w:left="288"/>
        <w:shd w:val="clear" w:fill="F0F0F0"/>
      </w:pPr>
      <w:r>
        <w:rPr>
          <w:rFonts w:ascii="Courier New" w:hAnsi="Courier New"/>
          <w:color w:val="444444"/>
          <w:sz w:val="18"/>
        </w:rPr>
        <w:t>+------------------------------------------------------------------+</w:t>
      </w:r>
    </w:p>
    <w:p>
      <w:pPr>
        <w:spacing w:before="0" w:after="0" w:line="240" w:lineRule="auto"/>
        <w:ind w:left="288"/>
        <w:shd w:val="clear" w:fill="F0F0F0"/>
      </w:pPr>
      <w:r>
        <w:rPr>
          <w:rFonts w:ascii="Courier New" w:hAnsi="Courier New"/>
          <w:color w:val="444444"/>
          <w:sz w:val="18"/>
        </w:rPr>
        <w:t>|                     Application Layer                              |</w:t>
      </w:r>
    </w:p>
    <w:p>
      <w:pPr>
        <w:spacing w:before="0" w:after="0" w:line="240" w:lineRule="auto"/>
        <w:ind w:left="288"/>
        <w:shd w:val="clear" w:fill="F0F0F0"/>
      </w:pPr>
      <w:r>
        <w:rPr>
          <w:rFonts w:ascii="Courier New" w:hAnsi="Courier New"/>
          <w:color w:val="444444"/>
          <w:sz w:val="18"/>
        </w:rPr>
        <w:t>|   Agent Orchestrator  |  Workflow Engine  |  Export System         |</w:t>
      </w:r>
    </w:p>
    <w:p>
      <w:pPr>
        <w:spacing w:before="0" w:after="0" w:line="240" w:lineRule="auto"/>
        <w:ind w:left="288"/>
        <w:shd w:val="clear" w:fill="F0F0F0"/>
      </w:pPr>
      <w:r>
        <w:rPr>
          <w:rFonts w:ascii="Courier New" w:hAnsi="Courier New"/>
          <w:color w:val="444444"/>
          <w:sz w:val="18"/>
        </w:rPr>
        <w:t>+------------------------------------------------------------------+</w:t>
      </w:r>
    </w:p>
    <w:p>
      <w:pPr>
        <w:spacing w:before="0" w:after="0" w:line="240" w:lineRule="auto"/>
        <w:ind w:left="288"/>
        <w:shd w:val="clear" w:fill="F0F0F0"/>
      </w:pPr>
      <w:r>
        <w:rPr>
          <w:rFonts w:ascii="Courier New" w:hAnsi="Courier New"/>
          <w:color w:val="444444"/>
          <w:sz w:val="18"/>
        </w:rPr>
        <w:t>|                     Clinical Engine Layer                           |</w:t>
      </w:r>
    </w:p>
    <w:p>
      <w:pPr>
        <w:spacing w:before="0" w:after="0" w:line="240" w:lineRule="auto"/>
        <w:ind w:left="288"/>
        <w:shd w:val="clear" w:fill="F0F0F0"/>
      </w:pPr>
      <w:r>
        <w:rPr>
          <w:rFonts w:ascii="Courier New" w:hAnsi="Courier New"/>
          <w:color w:val="444444"/>
          <w:sz w:val="18"/>
        </w:rPr>
        <w:t>|   Risk Calculators  |  GDMT Optimizer  |  Cross-Modal Engine     |</w:t>
      </w:r>
    </w:p>
    <w:p>
      <w:pPr>
        <w:spacing w:before="0" w:after="0" w:line="240" w:lineRule="auto"/>
        <w:ind w:left="288"/>
        <w:shd w:val="clear" w:fill="F0F0F0"/>
      </w:pPr>
      <w:r>
        <w:rPr>
          <w:rFonts w:ascii="Courier New" w:hAnsi="Courier New"/>
          <w:color w:val="444444"/>
          <w:sz w:val="18"/>
        </w:rPr>
        <w:t>+------------------------------------------------------------------+</w:t>
      </w:r>
    </w:p>
    <w:p>
      <w:pPr>
        <w:spacing w:before="0" w:after="0" w:line="240" w:lineRule="auto"/>
        <w:ind w:left="288"/>
        <w:shd w:val="clear" w:fill="F0F0F0"/>
      </w:pPr>
      <w:r>
        <w:rPr>
          <w:rFonts w:ascii="Courier New" w:hAnsi="Courier New"/>
          <w:color w:val="444444"/>
          <w:sz w:val="18"/>
        </w:rPr>
        <w:t>|                     Intelligence Layer                              |</w:t>
      </w:r>
    </w:p>
    <w:p>
      <w:pPr>
        <w:spacing w:before="0" w:after="0" w:line="240" w:lineRule="auto"/>
        <w:ind w:left="288"/>
        <w:shd w:val="clear" w:fill="F0F0F0"/>
      </w:pPr>
      <w:r>
        <w:rPr>
          <w:rFonts w:ascii="Courier New" w:hAnsi="Courier New"/>
          <w:color w:val="444444"/>
          <w:sz w:val="18"/>
        </w:rPr>
        <w:t>|   RAG Engine  |  Query Expansion  |  Citation Scoring  |  LLM    |</w:t>
      </w:r>
    </w:p>
    <w:p>
      <w:pPr>
        <w:spacing w:before="0" w:after="0" w:line="240" w:lineRule="auto"/>
        <w:ind w:left="288"/>
        <w:shd w:val="clear" w:fill="F0F0F0"/>
      </w:pPr>
      <w:r>
        <w:rPr>
          <w:rFonts w:ascii="Courier New" w:hAnsi="Courier New"/>
          <w:color w:val="444444"/>
          <w:sz w:val="18"/>
        </w:rPr>
        <w:t>+------------------------------------------------------------------+</w:t>
      </w:r>
    </w:p>
    <w:p>
      <w:pPr>
        <w:spacing w:before="0" w:after="0" w:line="240" w:lineRule="auto"/>
        <w:ind w:left="288"/>
        <w:shd w:val="clear" w:fill="F0F0F0"/>
      </w:pPr>
      <w:r>
        <w:rPr>
          <w:rFonts w:ascii="Courier New" w:hAnsi="Courier New"/>
          <w:color w:val="444444"/>
          <w:sz w:val="18"/>
        </w:rPr>
        <w:t>|                     Data Layer                                      |</w:t>
      </w:r>
    </w:p>
    <w:p>
      <w:pPr>
        <w:spacing w:before="0" w:after="0" w:line="240" w:lineRule="auto"/>
        <w:ind w:left="288"/>
        <w:shd w:val="clear" w:fill="F0F0F0"/>
      </w:pPr>
      <w:r>
        <w:rPr>
          <w:rFonts w:ascii="Courier New" w:hAnsi="Courier New"/>
          <w:color w:val="444444"/>
          <w:sz w:val="18"/>
        </w:rPr>
        <w:t>|   Milvus (12+1 collections)  |  Knowledge Graph  |  Cache        |</w:t>
      </w:r>
    </w:p>
    <w:p>
      <w:pPr>
        <w:spacing w:before="0" w:after="0" w:line="240" w:lineRule="auto"/>
        <w:ind w:left="288"/>
        <w:shd w:val="clear" w:fill="F0F0F0"/>
      </w:pPr>
      <w:r>
        <w:rPr>
          <w:rFonts w:ascii="Courier New" w:hAnsi="Courier New"/>
          <w:color w:val="444444"/>
          <w:sz w:val="18"/>
        </w:rPr>
        <w:t>+------------------------------------------------------------------+</w:t>
      </w:r>
    </w:p>
    <w:p>
      <w:pPr>
        <w:spacing w:before="0" w:after="0" w:line="240" w:lineRule="auto"/>
        <w:ind w:left="288"/>
        <w:shd w:val="clear" w:fill="F0F0F0"/>
      </w:pPr>
      <w:r>
        <w:rPr>
          <w:rFonts w:ascii="Courier New" w:hAnsi="Courier New"/>
          <w:color w:val="444444"/>
          <w:sz w:val="18"/>
        </w:rPr>
        <w:t>|                     Infrastructure Layer                            |</w:t>
      </w:r>
    </w:p>
    <w:p>
      <w:pPr>
        <w:spacing w:before="0" w:after="0" w:line="240" w:lineRule="auto"/>
        <w:ind w:left="288"/>
        <w:shd w:val="clear" w:fill="F0F0F0"/>
      </w:pPr>
      <w:r>
        <w:rPr>
          <w:rFonts w:ascii="Courier New" w:hAnsi="Courier New"/>
          <w:color w:val="444444"/>
          <w:sz w:val="18"/>
        </w:rPr>
        <w:t>|   Docker Compose  |  Prometheus  |  APScheduler  |  DGX Spark    |</w:t>
      </w:r>
    </w:p>
    <w:p>
      <w:pPr>
        <w:spacing w:before="0" w:after="0" w:line="240" w:lineRule="auto"/>
        <w:ind w:left="288"/>
        <w:shd w:val="clear" w:fill="F0F0F0"/>
      </w:pPr>
      <w:r>
        <w:rPr>
          <w:rFonts w:ascii="Courier New" w:hAnsi="Courier New"/>
          <w:color w:val="444444"/>
          <w:sz w:val="18"/>
        </w:rPr>
        <w:t>+------------------------------------------------------------------+</w:t>
      </w:r>
    </w:p>
    <w:p>
      <w:pPr>
        <w:pStyle w:val="Heading2"/>
        <w:spacing w:before="280" w:after="120"/>
      </w:pPr>
      <w:r>
        <w:rPr>
          <w:rFonts w:ascii="Calibri" w:hAnsi="Calibri"/>
          <w:b/>
          <w:color w:val="1AAFCC"/>
          <w:sz w:val="26"/>
        </w:rPr>
        <w:t>3.2 Technology Decisions</w:t>
      </w:r>
    </w:p>
    <w:tbl>
      <w:tblPr>
        <w:tblW w:type="auto" w:w="0"/>
        <w:jc w:val="center"/>
        <w:tblLayout w:type="autofit"/>
        <w:tblLook w:firstColumn="1" w:firstRow="1" w:lastColumn="0" w:lastRow="0" w:noHBand="0" w:noVBand="1" w:val="04A0"/>
      </w:tblPr>
      <w:tblGrid>
        <w:gridCol w:w="3120"/>
        <w:gridCol w:w="3120"/>
        <w:gridCol w:w="3120"/>
      </w:tblGrid>
      <w:tr>
        <w:tc>
          <w:tcPr>
            <w:tcW w:type="dxa" w:w="3120"/>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Decision</w:t>
            </w:r>
          </w:p>
        </w:tc>
        <w:tc>
          <w:tcPr>
            <w:tcW w:type="dxa" w:w="3120"/>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Choice</w:t>
            </w:r>
          </w:p>
        </w:tc>
        <w:tc>
          <w:tcPr>
            <w:tcW w:type="dxa" w:w="3120"/>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Rationale</w:t>
            </w:r>
          </w:p>
        </w:tc>
      </w:tr>
      <w:tr>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Vector DB</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Milvus 2.4</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Proven at scale in HCLS AI Factory; IVF_FLAT supports 3.5M+ vectors</w:t>
            </w:r>
          </w:p>
        </w:tc>
      </w:tr>
      <w:tr>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Embeddings</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BGE-small-en-v1.5</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384-dim balances quality and memory; consistent with other agents</w:t>
            </w:r>
          </w:p>
        </w:tc>
      </w:tr>
      <w:tr>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LLM</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Claude Sonnet 4.6</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Strong clinical reasoning; citation adherence; safety guardrails</w:t>
            </w:r>
          </w:p>
        </w:tc>
      </w:tr>
      <w:tr>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Index type</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IVF_FLAT</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High recall for clinical queries; acceptable latency on DGX Spark</w:t>
            </w:r>
          </w:p>
        </w:tc>
      </w:tr>
      <w:tr>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Similarity</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COSINE</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Standard for normalized text embeddings</w:t>
            </w:r>
          </w:p>
        </w:tc>
      </w:tr>
      <w:tr>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API framework</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FastAPI</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Async support, auto-docs, Pydantic integration</w:t>
            </w:r>
          </w:p>
        </w:tc>
      </w:tr>
      <w:tr>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UI framework</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Streamlit</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Rapid prototyping, interactive widgets, clinical dashboard support</w:t>
            </w:r>
          </w:p>
        </w:tc>
      </w:tr>
    </w:tbl>
    <w:p>
      <w:pPr>
        <w:spacing w:before="40" w:after="80"/>
      </w:pPr>
    </w:p>
    <w:p>
      <w:pPr>
        <w:pStyle w:val="Heading2"/>
        <w:spacing w:before="280" w:after="120"/>
      </w:pPr>
      <w:r>
        <w:rPr>
          <w:rFonts w:ascii="Calibri" w:hAnsi="Calibri"/>
          <w:b/>
          <w:color w:val="1AAFCC"/>
          <w:sz w:val="26"/>
        </w:rPr>
        <w:t>3.3 Codebase Statistics</w:t>
      </w:r>
    </w:p>
    <w:p>
      <w:pPr>
        <w:spacing w:before="0" w:after="120"/>
      </w:pPr>
      <w:r>
        <w:rPr>
          <w:rFonts w:ascii="Calibri" w:hAnsi="Calibri"/>
          <w:color w:val="333333"/>
          <w:sz w:val="20"/>
        </w:rPr>
        <w:t>The agent comprises 28,189 lines of Python across 37 source files:</w:t>
      </w:r>
    </w:p>
    <w:tbl>
      <w:tblPr>
        <w:tblW w:type="auto" w:w="0"/>
        <w:jc w:val="center"/>
        <w:tblLayout w:type="autofit"/>
        <w:tblLook w:firstColumn="1" w:firstRow="1" w:lastColumn="0" w:lastRow="0" w:noHBand="0" w:noVBand="1" w:val="04A0"/>
      </w:tblPr>
      <w:tblGrid>
        <w:gridCol w:w="2340"/>
        <w:gridCol w:w="2340"/>
        <w:gridCol w:w="2340"/>
        <w:gridCol w:w="2340"/>
      </w:tblGrid>
      <w:tr>
        <w:tc>
          <w:tcPr>
            <w:tcW w:type="dxa" w:w="2340"/>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Component</w:t>
            </w:r>
          </w:p>
        </w:tc>
        <w:tc>
          <w:tcPr>
            <w:tcW w:type="dxa" w:w="2340"/>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Files</w:t>
            </w:r>
          </w:p>
        </w:tc>
        <w:tc>
          <w:tcPr>
            <w:tcW w:type="dxa" w:w="2340"/>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LOC</w:t>
            </w:r>
          </w:p>
        </w:tc>
        <w:tc>
          <w:tcPr>
            <w:tcW w:type="dxa" w:w="2340"/>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Percentage</w:t>
            </w:r>
          </w:p>
        </w:tc>
      </w:tr>
      <w:tr>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Core engine (src/)</w:t>
            </w:r>
          </w:p>
        </w:tc>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13</w:t>
            </w:r>
          </w:p>
        </w:tc>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20,234</w:t>
            </w:r>
          </w:p>
        </w:tc>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71.8%</w:t>
            </w:r>
          </w:p>
        </w:tc>
      </w:tr>
      <w:tr>
        <w:tc>
          <w:tcPr>
            <w:tcW w:type="dxa" w:w="234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Ingest parsers (src/ingest/)</w:t>
            </w:r>
          </w:p>
        </w:tc>
        <w:tc>
          <w:tcPr>
            <w:tcW w:type="dxa" w:w="234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8</w:t>
            </w:r>
          </w:p>
        </w:tc>
        <w:tc>
          <w:tcPr>
            <w:tcW w:type="dxa" w:w="234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3,742</w:t>
            </w:r>
          </w:p>
        </w:tc>
        <w:tc>
          <w:tcPr>
            <w:tcW w:type="dxa" w:w="234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13.3%</w:t>
            </w:r>
          </w:p>
        </w:tc>
      </w:tr>
      <w:tr>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API layer (api/)</w:t>
            </w:r>
          </w:p>
        </w:tc>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4</w:t>
            </w:r>
          </w:p>
        </w:tc>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1,906</w:t>
            </w:r>
          </w:p>
        </w:tc>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6.8%</w:t>
            </w:r>
          </w:p>
        </w:tc>
      </w:tr>
      <w:tr>
        <w:tc>
          <w:tcPr>
            <w:tcW w:type="dxa" w:w="234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UI (app/)</w:t>
            </w:r>
          </w:p>
        </w:tc>
        <w:tc>
          <w:tcPr>
            <w:tcW w:type="dxa" w:w="234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1</w:t>
            </w:r>
          </w:p>
        </w:tc>
        <w:tc>
          <w:tcPr>
            <w:tcW w:type="dxa" w:w="234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1,182</w:t>
            </w:r>
          </w:p>
        </w:tc>
        <w:tc>
          <w:tcPr>
            <w:tcW w:type="dxa" w:w="234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4.2%</w:t>
            </w:r>
          </w:p>
        </w:tc>
      </w:tr>
      <w:tr>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Scripts</w:t>
            </w:r>
          </w:p>
        </w:tc>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3</w:t>
            </w:r>
          </w:p>
        </w:tc>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918</w:t>
            </w:r>
          </w:p>
        </w:tc>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3.3%</w:t>
            </w:r>
          </w:p>
        </w:tc>
      </w:tr>
      <w:tr>
        <w:tc>
          <w:tcPr>
            <w:tcW w:type="dxa" w:w="234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Config</w:t>
            </w:r>
          </w:p>
        </w:tc>
        <w:tc>
          <w:tcPr>
            <w:tcW w:type="dxa" w:w="234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1</w:t>
            </w:r>
          </w:p>
        </w:tc>
        <w:tc>
          <w:tcPr>
            <w:tcW w:type="dxa" w:w="234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181</w:t>
            </w:r>
          </w:p>
        </w:tc>
        <w:tc>
          <w:tcPr>
            <w:tcW w:type="dxa" w:w="234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0.6%</w:t>
            </w:r>
          </w:p>
        </w:tc>
      </w:tr>
    </w:tbl>
    <w:p>
      <w:pPr>
        <w:spacing w:before="40" w:after="80"/>
      </w:pPr>
    </w:p>
    <w:p>
      <w:pPr>
        <w:spacing w:before="80" w:after="80"/>
        <w:pBdr>
          <w:bottom w:val="single" w:sz="6" w:color="1AAFCC"/>
        </w:pBdr>
      </w:pPr>
    </w:p>
    <w:p>
      <w:pPr>
        <w:pStyle w:val="Heading1"/>
        <w:spacing w:before="400" w:after="160"/>
      </w:pPr>
      <w:r>
        <w:rPr>
          <w:rFonts w:ascii="Calibri" w:hAnsi="Calibri"/>
          <w:b/>
          <w:color w:val="1B2333"/>
          <w:sz w:val="32"/>
        </w:rPr>
        <w:t>4. Multi-Collection RAG Approach</w:t>
      </w:r>
    </w:p>
    <w:p>
      <w:pPr>
        <w:pStyle w:val="Heading2"/>
        <w:spacing w:before="280" w:after="120"/>
      </w:pPr>
      <w:r>
        <w:rPr>
          <w:rFonts w:ascii="Calibri" w:hAnsi="Calibri"/>
          <w:b/>
          <w:color w:val="1AAFCC"/>
          <w:sz w:val="26"/>
        </w:rPr>
        <w:t>4.1 Collection Design Rationale</w:t>
      </w:r>
    </w:p>
    <w:p>
      <w:pPr>
        <w:spacing w:before="0" w:after="120"/>
      </w:pPr>
      <w:r>
        <w:rPr>
          <w:rFonts w:ascii="Calibri" w:hAnsi="Calibri"/>
          <w:color w:val="333333"/>
          <w:sz w:val="20"/>
        </w:rPr>
        <w:t>The cardiovascular domain requires distinct vector collections because:</w:t>
      </w:r>
    </w:p>
    <w:p>
      <w:pPr>
        <w:spacing w:before="40" w:after="40"/>
        <w:ind w:left="504" w:hanging="288"/>
      </w:pPr>
      <w:r>
        <w:rPr>
          <w:rFonts w:ascii="Calibri" w:hAnsi="Calibri"/>
          <w:b/>
          <w:color w:val="333333"/>
          <w:sz w:val="20"/>
        </w:rPr>
        <w:t xml:space="preserve">1.  </w:t>
      </w:r>
      <w:r>
        <w:rPr>
          <w:rFonts w:ascii="Calibri" w:hAnsi="Calibri"/>
          <w:b/>
          <w:color w:val="333333"/>
          <w:sz w:val="20"/>
        </w:rPr>
        <w:t>Semantic boundaries</w:t>
      </w:r>
      <w:r>
        <w:rPr>
          <w:rFonts w:ascii="Calibri" w:hAnsi="Calibri"/>
          <w:color w:val="333333"/>
          <w:sz w:val="20"/>
        </w:rPr>
        <w:t>: The word "gradient" means something entirely different in aortic stenosis (pressure gradient in mmHg) vs. preventive cardiology (risk gradient) vs. cardiac MRI (field gradient). Collection-specific embeddings preserve semantic precision.</w:t>
      </w:r>
    </w:p>
    <w:p>
      <w:pPr>
        <w:spacing w:before="40" w:after="40"/>
        <w:ind w:left="504" w:hanging="288"/>
      </w:pPr>
      <w:r>
        <w:rPr>
          <w:rFonts w:ascii="Calibri" w:hAnsi="Calibri"/>
          <w:b/>
          <w:color w:val="333333"/>
          <w:sz w:val="20"/>
        </w:rPr>
        <w:t xml:space="preserve">2.  </w:t>
      </w:r>
      <w:r>
        <w:rPr>
          <w:rFonts w:ascii="Calibri" w:hAnsi="Calibri"/>
          <w:b/>
          <w:color w:val="333333"/>
          <w:sz w:val="20"/>
        </w:rPr>
        <w:t>Relevance weighting</w:t>
      </w:r>
      <w:r>
        <w:rPr>
          <w:rFonts w:ascii="Calibri" w:hAnsi="Calibri"/>
          <w:color w:val="333333"/>
          <w:sz w:val="20"/>
        </w:rPr>
        <w:t>: A query about GDMT optimization should weight heart failure collection results higher than imaging collection results, while a query about LGE patterns should do the opposite.</w:t>
      </w:r>
    </w:p>
    <w:p>
      <w:pPr>
        <w:spacing w:before="40" w:after="40"/>
        <w:ind w:left="504" w:hanging="288"/>
      </w:pPr>
      <w:r>
        <w:rPr>
          <w:rFonts w:ascii="Calibri" w:hAnsi="Calibri"/>
          <w:b/>
          <w:color w:val="333333"/>
          <w:sz w:val="20"/>
        </w:rPr>
        <w:t xml:space="preserve">3.  </w:t>
      </w:r>
      <w:r>
        <w:rPr>
          <w:rFonts w:ascii="Calibri" w:hAnsi="Calibri"/>
          <w:b/>
          <w:color w:val="333333"/>
          <w:sz w:val="20"/>
        </w:rPr>
        <w:t>Update cadences</w:t>
      </w:r>
      <w:r>
        <w:rPr>
          <w:rFonts w:ascii="Calibri" w:hAnsi="Calibri"/>
          <w:color w:val="333333"/>
          <w:sz w:val="20"/>
        </w:rPr>
        <w:t>: PubMed literature updates daily; guidelines update every 2-5 years. Separate collections allow independent refresh cycles.</w:t>
      </w:r>
    </w:p>
    <w:p>
      <w:pPr>
        <w:spacing w:before="40" w:after="40"/>
        <w:ind w:left="504" w:hanging="288"/>
      </w:pPr>
      <w:r>
        <w:rPr>
          <w:rFonts w:ascii="Calibri" w:hAnsi="Calibri"/>
          <w:b/>
          <w:color w:val="333333"/>
          <w:sz w:val="20"/>
        </w:rPr>
        <w:t xml:space="preserve">4.  </w:t>
      </w:r>
      <w:r>
        <w:rPr>
          <w:rFonts w:ascii="Calibri" w:hAnsi="Calibri"/>
          <w:b/>
          <w:color w:val="333333"/>
          <w:sz w:val="20"/>
        </w:rPr>
        <w:t>Source attribution</w:t>
      </w:r>
      <w:r>
        <w:rPr>
          <w:rFonts w:ascii="Calibri" w:hAnsi="Calibri"/>
          <w:color w:val="333333"/>
          <w:sz w:val="20"/>
        </w:rPr>
        <w:t>: Clinicians need to know whether a citation comes from a randomized trial, a guideline, or an imaging protocol document.</w:t>
      </w:r>
    </w:p>
    <w:p>
      <w:pPr>
        <w:pStyle w:val="Heading2"/>
        <w:spacing w:before="280" w:after="120"/>
      </w:pPr>
      <w:r>
        <w:rPr>
          <w:rFonts w:ascii="Calibri" w:hAnsi="Calibri"/>
          <w:b/>
          <w:color w:val="1AAFCC"/>
          <w:sz w:val="26"/>
        </w:rPr>
        <w:t>4.2 The 12+1 Collection Schema</w:t>
      </w:r>
    </w:p>
    <w:tbl>
      <w:tblPr>
        <w:tblW w:type="auto" w:w="0"/>
        <w:jc w:val="center"/>
        <w:tblLayout w:type="autofit"/>
        <w:tblLook w:firstColumn="1" w:firstRow="1" w:lastColumn="0" w:lastRow="0" w:noHBand="0" w:noVBand="1" w:val="04A0"/>
      </w:tblPr>
      <w:tblGrid>
        <w:gridCol w:w="3120"/>
        <w:gridCol w:w="3120"/>
        <w:gridCol w:w="3120"/>
      </w:tblGrid>
      <w:tr>
        <w:tc>
          <w:tcPr>
            <w:tcW w:type="dxa" w:w="3120"/>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Collection</w:t>
            </w:r>
          </w:p>
        </w:tc>
        <w:tc>
          <w:tcPr>
            <w:tcW w:type="dxa" w:w="3120"/>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Source</w:t>
            </w:r>
          </w:p>
        </w:tc>
        <w:tc>
          <w:tcPr>
            <w:tcW w:type="dxa" w:w="3120"/>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Typical Content</w:t>
            </w:r>
          </w:p>
        </w:tc>
      </w:tr>
      <w:tr>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cardio_literature</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PubMed</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Abstracts, reviews, meta-analyses</w:t>
            </w:r>
          </w:p>
        </w:tc>
      </w:tr>
      <w:tr>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cardio_trials</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ClinicalTrials.gov</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Trial designs, results, endpoints</w:t>
            </w:r>
          </w:p>
        </w:tc>
      </w:tr>
      <w:tr>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cardio_imaging</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Imaging society docs</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Protocols, measurements, reference values</w:t>
            </w:r>
          </w:p>
        </w:tc>
      </w:tr>
      <w:tr>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cardio_electrophysiology</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EP literature/data</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ECG interpretation, arrhythmia algorithms</w:t>
            </w:r>
          </w:p>
        </w:tc>
      </w:tr>
      <w:tr>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cardio_heart_failure</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HF guidelines/trials</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GDMT, staging, biomarker thresholds</w:t>
            </w:r>
          </w:p>
        </w:tc>
      </w:tr>
      <w:tr>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cardio_valvular</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VHD guidelines</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Severity criteria, intervention thresholds</w:t>
            </w:r>
          </w:p>
        </w:tc>
      </w:tr>
      <w:tr>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cardio_prevention</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Prevention guidelines</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Risk calculation, statin criteria, lifestyle</w:t>
            </w:r>
          </w:p>
        </w:tc>
      </w:tr>
      <w:tr>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cardio_interventional</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Interventional data</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PCI, structural, procedural outcomes</w:t>
            </w:r>
          </w:p>
        </w:tc>
      </w:tr>
      <w:tr>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cardio_oncology</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Cardio-onc guidelines</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Cardiotoxicity, surveillance, CTRCD</w:t>
            </w:r>
          </w:p>
        </w:tc>
      </w:tr>
      <w:tr>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cardio_devices</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FDA database</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AI/ML clearances, implantable devices</w:t>
            </w:r>
          </w:p>
        </w:tc>
      </w:tr>
      <w:tr>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cardio_guidelines</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ACC/AHA/ESC</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Structured recommendations with class/LOE</w:t>
            </w:r>
          </w:p>
        </w:tc>
      </w:tr>
      <w:tr>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cardio_hemodynamics</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Cath data</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Pressure tracings, derived calculations</w:t>
            </w:r>
          </w:p>
        </w:tc>
      </w:tr>
      <w:tr>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genomic_evidence</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HCLS AI Factory</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3.5M variant vectors (shared, read-only)</w:t>
            </w:r>
          </w:p>
        </w:tc>
      </w:tr>
    </w:tbl>
    <w:p>
      <w:pPr>
        <w:spacing w:before="40" w:after="80"/>
      </w:pPr>
    </w:p>
    <w:p>
      <w:pPr>
        <w:pStyle w:val="Heading2"/>
        <w:spacing w:before="280" w:after="120"/>
      </w:pPr>
      <w:r>
        <w:rPr>
          <w:rFonts w:ascii="Calibri" w:hAnsi="Calibri"/>
          <w:b/>
          <w:color w:val="1AAFCC"/>
          <w:sz w:val="26"/>
        </w:rPr>
        <w:t>4.3 Weighted Multi-Collection Search</w:t>
      </w:r>
    </w:p>
    <w:p>
      <w:pPr>
        <w:spacing w:before="0" w:after="120"/>
      </w:pPr>
      <w:r>
        <w:rPr>
          <w:rFonts w:ascii="Calibri" w:hAnsi="Calibri"/>
          <w:color w:val="333333"/>
          <w:sz w:val="20"/>
        </w:rPr>
        <w:t>Each query is routed to all relevant collections. Results are scored as:</w:t>
      </w:r>
    </w:p>
    <w:p>
      <w:pPr>
        <w:spacing w:before="0" w:after="0" w:line="240" w:lineRule="auto"/>
        <w:ind w:left="288"/>
        <w:shd w:val="clear" w:fill="F0F0F0"/>
      </w:pPr>
      <w:r>
        <w:rPr>
          <w:rFonts w:ascii="Courier New" w:hAnsi="Courier New"/>
          <w:color w:val="444444"/>
          <w:sz w:val="18"/>
        </w:rPr>
        <w:t>final_score = similarity_score * collection_weight * workflow_boost</w:t>
      </w:r>
    </w:p>
    <w:p>
      <w:pPr>
        <w:spacing w:before="0" w:after="120"/>
      </w:pPr>
      <w:r>
        <w:rPr>
          <w:rFonts w:ascii="Calibri" w:hAnsi="Calibri"/>
          <w:color w:val="333333"/>
          <w:sz w:val="20"/>
        </w:rPr>
        <w:t xml:space="preserve">Collection weights sum to 1.0 and can be dynamically adjusted based on the detected workflow type. For example, a heart failure query boosts </w:t>
      </w:r>
      <w:r>
        <w:rPr>
          <w:rFonts w:ascii="Courier New" w:hAnsi="Courier New"/>
          <w:color w:val="444444"/>
          <w:sz w:val="18"/>
        </w:rPr>
        <w:t>cardio_heart_failure</w:t>
      </w:r>
      <w:r>
        <w:rPr>
          <w:rFonts w:ascii="Calibri" w:hAnsi="Calibri"/>
          <w:color w:val="333333"/>
          <w:sz w:val="20"/>
        </w:rPr>
        <w:t xml:space="preserve"> (0.10 -&gt; 0.25) and </w:t>
      </w:r>
      <w:r>
        <w:rPr>
          <w:rFonts w:ascii="Courier New" w:hAnsi="Courier New"/>
          <w:color w:val="444444"/>
          <w:sz w:val="18"/>
        </w:rPr>
        <w:t>cardio_guidelines</w:t>
      </w:r>
      <w:r>
        <w:rPr>
          <w:rFonts w:ascii="Calibri" w:hAnsi="Calibri"/>
          <w:color w:val="333333"/>
          <w:sz w:val="20"/>
        </w:rPr>
        <w:t xml:space="preserve"> (0.10 -&gt; 0.20) while reducing less relevant collections.</w:t>
      </w:r>
    </w:p>
    <w:p>
      <w:pPr>
        <w:pStyle w:val="Heading2"/>
        <w:spacing w:before="280" w:after="120"/>
      </w:pPr>
      <w:r>
        <w:rPr>
          <w:rFonts w:ascii="Calibri" w:hAnsi="Calibri"/>
          <w:b/>
          <w:color w:val="1AAFCC"/>
          <w:sz w:val="26"/>
        </w:rPr>
        <w:t>4.4 Query Expansion Pipeline</w:t>
      </w:r>
    </w:p>
    <w:p>
      <w:pPr>
        <w:spacing w:before="0" w:after="120"/>
      </w:pPr>
      <w:r>
        <w:rPr>
          <w:rFonts w:ascii="Calibri" w:hAnsi="Calibri"/>
          <w:color w:val="333333"/>
          <w:sz w:val="20"/>
        </w:rPr>
        <w:t>The query expansion module (2,025 lines) implements a multi-stage expansion:</w:t>
      </w:r>
    </w:p>
    <w:p>
      <w:pPr>
        <w:spacing w:before="40" w:after="40"/>
        <w:ind w:left="504" w:hanging="288"/>
      </w:pPr>
      <w:r>
        <w:rPr>
          <w:rFonts w:ascii="Calibri" w:hAnsi="Calibri"/>
          <w:b/>
          <w:color w:val="333333"/>
          <w:sz w:val="20"/>
        </w:rPr>
        <w:t xml:space="preserve">1.  </w:t>
      </w:r>
      <w:r>
        <w:rPr>
          <w:rFonts w:ascii="Calibri" w:hAnsi="Calibri"/>
          <w:b/>
          <w:color w:val="333333"/>
          <w:sz w:val="20"/>
        </w:rPr>
        <w:t>Entity extraction</w:t>
      </w:r>
      <w:r>
        <w:rPr>
          <w:rFonts w:ascii="Calibri" w:hAnsi="Calibri"/>
          <w:color w:val="333333"/>
          <w:sz w:val="20"/>
        </w:rPr>
        <w:t>: Identifies conditions, drugs, imaging modalities, and biomarkers from the query using the knowledge graph (167 entity aliases across 18 synonym maps)</w:t>
      </w:r>
    </w:p>
    <w:p>
      <w:pPr>
        <w:spacing w:before="40" w:after="40"/>
        <w:ind w:left="504" w:hanging="288"/>
      </w:pPr>
      <w:r>
        <w:rPr>
          <w:rFonts w:ascii="Calibri" w:hAnsi="Calibri"/>
          <w:b/>
          <w:color w:val="333333"/>
          <w:sz w:val="20"/>
        </w:rPr>
        <w:t xml:space="preserve">2.  </w:t>
      </w:r>
      <w:r>
        <w:rPr>
          <w:rFonts w:ascii="Calibri" w:hAnsi="Calibri"/>
          <w:b/>
          <w:color w:val="333333"/>
          <w:sz w:val="20"/>
        </w:rPr>
        <w:t>Synonym expansion</w:t>
      </w:r>
      <w:r>
        <w:rPr>
          <w:rFonts w:ascii="Calibri" w:hAnsi="Calibri"/>
          <w:color w:val="333333"/>
          <w:sz w:val="20"/>
        </w:rPr>
        <w:t>: Expands abbreviations (e.g., "HCM" -&gt; "hypertrophic cardiomyopathy, HOCM, IHSS")</w:t>
      </w:r>
    </w:p>
    <w:p>
      <w:pPr>
        <w:spacing w:before="40" w:after="40"/>
        <w:ind w:left="504" w:hanging="288"/>
      </w:pPr>
      <w:r>
        <w:rPr>
          <w:rFonts w:ascii="Calibri" w:hAnsi="Calibri"/>
          <w:b/>
          <w:color w:val="333333"/>
          <w:sz w:val="20"/>
        </w:rPr>
        <w:t xml:space="preserve">3.  </w:t>
      </w:r>
      <w:r>
        <w:rPr>
          <w:rFonts w:ascii="Calibri" w:hAnsi="Calibri"/>
          <w:b/>
          <w:color w:val="333333"/>
          <w:sz w:val="20"/>
        </w:rPr>
        <w:t>Sub-question decomposition</w:t>
      </w:r>
      <w:r>
        <w:rPr>
          <w:rFonts w:ascii="Calibri" w:hAnsi="Calibri"/>
          <w:color w:val="333333"/>
          <w:sz w:val="20"/>
        </w:rPr>
        <w:t>: Breaks complex clinical questions into searchable sub-questions</w:t>
      </w:r>
    </w:p>
    <w:p>
      <w:pPr>
        <w:spacing w:before="40" w:after="40"/>
        <w:ind w:left="504" w:hanging="288"/>
      </w:pPr>
      <w:r>
        <w:rPr>
          <w:rFonts w:ascii="Calibri" w:hAnsi="Calibri"/>
          <w:b/>
          <w:color w:val="333333"/>
          <w:sz w:val="20"/>
        </w:rPr>
        <w:t xml:space="preserve">4.  </w:t>
      </w:r>
      <w:r>
        <w:rPr>
          <w:rFonts w:ascii="Calibri" w:hAnsi="Calibri"/>
          <w:b/>
          <w:color w:val="333333"/>
          <w:sz w:val="20"/>
        </w:rPr>
        <w:t>Strategy selection</w:t>
      </w:r>
      <w:r>
        <w:rPr>
          <w:rFonts w:ascii="Calibri" w:hAnsi="Calibri"/>
          <w:color w:val="333333"/>
          <w:sz w:val="20"/>
        </w:rPr>
        <w:t>: Chooses between broad, targeted, comparative, and clinical search strategies</w:t>
      </w:r>
    </w:p>
    <w:p>
      <w:pPr>
        <w:spacing w:before="40" w:after="40"/>
        <w:ind w:left="504" w:hanging="288"/>
      </w:pPr>
      <w:r>
        <w:rPr>
          <w:rFonts w:ascii="Calibri" w:hAnsi="Calibri"/>
          <w:b/>
          <w:color w:val="333333"/>
          <w:sz w:val="20"/>
        </w:rPr>
        <w:t xml:space="preserve">5.  </w:t>
      </w:r>
      <w:r>
        <w:rPr>
          <w:rFonts w:ascii="Calibri" w:hAnsi="Calibri"/>
          <w:b/>
          <w:color w:val="333333"/>
          <w:sz w:val="20"/>
        </w:rPr>
        <w:t>Collection routing</w:t>
      </w:r>
      <w:r>
        <w:rPr>
          <w:rFonts w:ascii="Calibri" w:hAnsi="Calibri"/>
          <w:color w:val="333333"/>
          <w:sz w:val="20"/>
        </w:rPr>
        <w:t>: Adjusts collection weights based on identified entities and workflow type</w:t>
      </w:r>
    </w:p>
    <w:p>
      <w:pPr>
        <w:spacing w:before="80" w:after="80"/>
        <w:pBdr>
          <w:bottom w:val="single" w:sz="6" w:color="1AAFCC"/>
        </w:pBdr>
      </w:pPr>
    </w:p>
    <w:p>
      <w:pPr>
        <w:pStyle w:val="Heading1"/>
        <w:spacing w:before="400" w:after="160"/>
      </w:pPr>
      <w:r>
        <w:rPr>
          <w:rFonts w:ascii="Calibri" w:hAnsi="Calibri"/>
          <w:b/>
          <w:color w:val="1B2333"/>
          <w:sz w:val="32"/>
        </w:rPr>
        <w:t>5. Risk Calculators</w:t>
      </w:r>
    </w:p>
    <w:p>
      <w:pPr>
        <w:pStyle w:val="Heading2"/>
        <w:spacing w:before="280" w:after="120"/>
      </w:pPr>
      <w:r>
        <w:rPr>
          <w:rFonts w:ascii="Calibri" w:hAnsi="Calibri"/>
          <w:b/>
          <w:color w:val="1AAFCC"/>
          <w:sz w:val="26"/>
        </w:rPr>
        <w:t>5.1 Design Philosophy</w:t>
      </w:r>
    </w:p>
    <w:p>
      <w:pPr>
        <w:spacing w:before="0" w:after="120"/>
      </w:pPr>
      <w:r>
        <w:rPr>
          <w:rFonts w:ascii="Calibri" w:hAnsi="Calibri"/>
          <w:color w:val="333333"/>
          <w:sz w:val="20"/>
        </w:rPr>
        <w:t>The Cardiology Intelligence Agent implements 6 validated cardiovascular risk calculators with the following principles:</w:t>
      </w:r>
    </w:p>
    <w:p>
      <w:pPr>
        <w:spacing w:before="40" w:after="40"/>
        <w:ind w:left="504" w:hanging="288"/>
      </w:pPr>
      <w:r>
        <w:rPr>
          <w:rFonts w:ascii="Calibri" w:hAnsi="Calibri"/>
          <w:b/>
          <w:color w:val="333333"/>
          <w:sz w:val="20"/>
        </w:rPr>
        <w:t xml:space="preserve">1.  </w:t>
      </w:r>
      <w:r>
        <w:rPr>
          <w:rFonts w:ascii="Calibri" w:hAnsi="Calibri"/>
          <w:b/>
          <w:color w:val="333333"/>
          <w:sz w:val="20"/>
        </w:rPr>
        <w:t>Published coefficients</w:t>
      </w:r>
      <w:r>
        <w:rPr>
          <w:rFonts w:ascii="Calibri" w:hAnsi="Calibri"/>
          <w:color w:val="333333"/>
          <w:sz w:val="20"/>
        </w:rPr>
        <w:t>: All calculators use published regression coefficients, not approximations</w:t>
      </w:r>
    </w:p>
    <w:p>
      <w:pPr>
        <w:spacing w:before="40" w:after="40"/>
        <w:ind w:left="504" w:hanging="288"/>
      </w:pPr>
      <w:r>
        <w:rPr>
          <w:rFonts w:ascii="Calibri" w:hAnsi="Calibri"/>
          <w:b/>
          <w:color w:val="333333"/>
          <w:sz w:val="20"/>
        </w:rPr>
        <w:t xml:space="preserve">2.  </w:t>
      </w:r>
      <w:r>
        <w:rPr>
          <w:rFonts w:ascii="Calibri" w:hAnsi="Calibri"/>
          <w:b/>
          <w:color w:val="333333"/>
          <w:sz w:val="20"/>
        </w:rPr>
        <w:t>Input validation</w:t>
      </w:r>
      <w:r>
        <w:rPr>
          <w:rFonts w:ascii="Calibri" w:hAnsi="Calibri"/>
          <w:color w:val="333333"/>
          <w:sz w:val="20"/>
        </w:rPr>
        <w:t>: Each calculator validates required inputs and provides descriptive error messages</w:t>
      </w:r>
    </w:p>
    <w:p>
      <w:pPr>
        <w:spacing w:before="40" w:after="40"/>
        <w:ind w:left="504" w:hanging="288"/>
      </w:pPr>
      <w:r>
        <w:rPr>
          <w:rFonts w:ascii="Calibri" w:hAnsi="Calibri"/>
          <w:b/>
          <w:color w:val="333333"/>
          <w:sz w:val="20"/>
        </w:rPr>
        <w:t xml:space="preserve">3.  </w:t>
      </w:r>
      <w:r>
        <w:rPr>
          <w:rFonts w:ascii="Calibri" w:hAnsi="Calibri"/>
          <w:b/>
          <w:color w:val="333333"/>
          <w:sz w:val="20"/>
        </w:rPr>
        <w:t>Risk stratification</w:t>
      </w:r>
      <w:r>
        <w:rPr>
          <w:rFonts w:ascii="Calibri" w:hAnsi="Calibri"/>
          <w:color w:val="333333"/>
          <w:sz w:val="20"/>
        </w:rPr>
        <w:t>: Output includes numeric score, risk category, clinical interpretation, and actionable recommendations</w:t>
      </w:r>
    </w:p>
    <w:p>
      <w:pPr>
        <w:spacing w:before="40" w:after="40"/>
        <w:ind w:left="504" w:hanging="288"/>
      </w:pPr>
      <w:r>
        <w:rPr>
          <w:rFonts w:ascii="Calibri" w:hAnsi="Calibri"/>
          <w:b/>
          <w:color w:val="333333"/>
          <w:sz w:val="20"/>
        </w:rPr>
        <w:t xml:space="preserve">4.  </w:t>
      </w:r>
      <w:r>
        <w:rPr>
          <w:rFonts w:ascii="Calibri" w:hAnsi="Calibri"/>
          <w:b/>
          <w:color w:val="333333"/>
          <w:sz w:val="20"/>
        </w:rPr>
        <w:t>Guideline references</w:t>
      </w:r>
      <w:r>
        <w:rPr>
          <w:rFonts w:ascii="Calibri" w:hAnsi="Calibri"/>
          <w:color w:val="333333"/>
          <w:sz w:val="20"/>
        </w:rPr>
        <w:t>: Each result cites the source publication and applicable guideline</w:t>
      </w:r>
    </w:p>
    <w:p>
      <w:pPr>
        <w:pStyle w:val="Heading2"/>
        <w:spacing w:before="280" w:after="120"/>
      </w:pPr>
      <w:r>
        <w:rPr>
          <w:rFonts w:ascii="Calibri" w:hAnsi="Calibri"/>
          <w:b/>
          <w:color w:val="1AAFCC"/>
          <w:sz w:val="26"/>
        </w:rPr>
        <w:t>5.2 ASCVD Pooled Cohort Equations</w:t>
      </w:r>
    </w:p>
    <w:p>
      <w:pPr>
        <w:spacing w:before="0" w:after="120"/>
      </w:pPr>
      <w:r>
        <w:rPr>
          <w:rFonts w:ascii="Calibri" w:hAnsi="Calibri"/>
          <w:color w:val="333333"/>
          <w:sz w:val="20"/>
        </w:rPr>
        <w:t>The 10-year ASCVD risk calculator implements the Goff 2013 Pooled Cohort Equations with separate coefficient sets for four sex/race cohorts:</w:t>
      </w:r>
    </w:p>
    <w:tbl>
      <w:tblPr>
        <w:tblW w:type="auto" w:w="0"/>
        <w:jc w:val="center"/>
        <w:tblLayout w:type="autofit"/>
        <w:tblLook w:firstColumn="1" w:firstRow="1" w:lastColumn="0" w:lastRow="0" w:noHBand="0" w:noVBand="1" w:val="04A0"/>
      </w:tblPr>
      <w:tblGrid>
        <w:gridCol w:w="3120"/>
        <w:gridCol w:w="3120"/>
        <w:gridCol w:w="3120"/>
      </w:tblGrid>
      <w:tr>
        <w:tc>
          <w:tcPr>
            <w:tcW w:type="dxa" w:w="3120"/>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Cohort</w:t>
            </w:r>
          </w:p>
        </w:tc>
        <w:tc>
          <w:tcPr>
            <w:tcW w:type="dxa" w:w="3120"/>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Baseline Survival (S0)</w:t>
            </w:r>
          </w:p>
        </w:tc>
        <w:tc>
          <w:tcPr>
            <w:tcW w:type="dxa" w:w="3120"/>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Mean Coefficient</w:t>
            </w:r>
          </w:p>
        </w:tc>
      </w:tr>
      <w:tr>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White female</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0.9665</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-29.18</w:t>
            </w:r>
          </w:p>
        </w:tc>
      </w:tr>
      <w:tr>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African American female</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0.9533</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86.61</w:t>
            </w:r>
          </w:p>
        </w:tc>
      </w:tr>
      <w:tr>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White male</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0.9144</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61.18</w:t>
            </w:r>
          </w:p>
        </w:tc>
      </w:tr>
      <w:tr>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African American male</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0.8954</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19.54</w:t>
            </w:r>
          </w:p>
        </w:tc>
      </w:tr>
    </w:tbl>
    <w:p>
      <w:pPr>
        <w:spacing w:before="40" w:after="80"/>
      </w:pPr>
    </w:p>
    <w:p>
      <w:pPr>
        <w:spacing w:before="0" w:after="120"/>
      </w:pPr>
      <w:r>
        <w:rPr>
          <w:rFonts w:ascii="Calibri" w:hAnsi="Calibri"/>
          <w:color w:val="333333"/>
          <w:sz w:val="20"/>
        </w:rPr>
        <w:t>The individual sum incorporates: ln(age), ln(total cholesterol), ln(HDL), ln(SBP) with treatment interaction, smoking status, and diabetes. The 10-year risk is computed as:</w:t>
      </w:r>
    </w:p>
    <w:p>
      <w:pPr>
        <w:spacing w:before="0" w:after="0" w:line="240" w:lineRule="auto"/>
        <w:ind w:left="288"/>
        <w:shd w:val="clear" w:fill="F0F0F0"/>
      </w:pPr>
      <w:r>
        <w:rPr>
          <w:rFonts w:ascii="Courier New" w:hAnsi="Courier New"/>
          <w:color w:val="444444"/>
          <w:sz w:val="18"/>
        </w:rPr>
        <w:t>risk = 1 - S0^exp(individual_sum - mean_coefficient)</w:t>
      </w:r>
    </w:p>
    <w:p>
      <w:pPr>
        <w:spacing w:before="0" w:after="120"/>
      </w:pPr>
      <w:r>
        <w:rPr>
          <w:rFonts w:ascii="Calibri" w:hAnsi="Calibri"/>
          <w:color w:val="333333"/>
          <w:sz w:val="20"/>
        </w:rPr>
        <w:t>Risk categories: Low (&lt;5%), Borderline (5-7.5%), Intermediate (7.5-20%), High (&gt;=20%)</w:t>
      </w:r>
    </w:p>
    <w:p>
      <w:pPr>
        <w:pStyle w:val="Heading2"/>
        <w:spacing w:before="280" w:after="120"/>
      </w:pPr>
      <w:r>
        <w:rPr>
          <w:rFonts w:ascii="Calibri" w:hAnsi="Calibri"/>
          <w:b/>
          <w:color w:val="1AAFCC"/>
          <w:sz w:val="26"/>
        </w:rPr>
        <w:t>5.3 CHA2DS2-VASc and HAS-BLED</w:t>
      </w:r>
    </w:p>
    <w:p>
      <w:pPr>
        <w:spacing w:before="0" w:after="120"/>
      </w:pPr>
      <w:r>
        <w:rPr>
          <w:rFonts w:ascii="Calibri" w:hAnsi="Calibri"/>
          <w:color w:val="333333"/>
          <w:sz w:val="20"/>
        </w:rPr>
        <w:t>These paired calculators support anticoagulation decision-making in atrial fibrillation:</w:t>
      </w:r>
    </w:p>
    <w:p>
      <w:pPr>
        <w:spacing w:before="0" w:after="120"/>
      </w:pPr>
      <w:r>
        <w:rPr>
          <w:rFonts w:ascii="Calibri" w:hAnsi="Calibri"/>
          <w:b/>
          <w:color w:val="333333"/>
          <w:sz w:val="20"/>
        </w:rPr>
        <w:t>CHA2DS2-VASc</w:t>
      </w:r>
      <w:r>
        <w:rPr>
          <w:rFonts w:ascii="Calibri" w:hAnsi="Calibri"/>
          <w:color w:val="333333"/>
          <w:sz w:val="20"/>
        </w:rPr>
        <w:t xml:space="preserve"> (stroke risk): Uses published annual stroke rate lookup table (Lip 2010) mapping integer scores 0-9 to stroke rates from 0.0% to 15.2%.</w:t>
      </w:r>
    </w:p>
    <w:p>
      <w:pPr>
        <w:spacing w:before="0" w:after="120"/>
      </w:pPr>
      <w:r>
        <w:rPr>
          <w:rFonts w:ascii="Calibri" w:hAnsi="Calibri"/>
          <w:b/>
          <w:color w:val="333333"/>
          <w:sz w:val="20"/>
        </w:rPr>
        <w:t>HAS-BLED</w:t>
      </w:r>
      <w:r>
        <w:rPr>
          <w:rFonts w:ascii="Calibri" w:hAnsi="Calibri"/>
          <w:color w:val="333333"/>
          <w:sz w:val="20"/>
        </w:rPr>
        <w:t xml:space="preserve"> (bleeding risk): Scores 0-9 with risk categories: Low (0-1), Moderate (2), High (&gt;=3). A high HAS-BLED score does not contraindicate anticoagulation but mandates closer monitoring.</w:t>
      </w:r>
    </w:p>
    <w:p>
      <w:pPr>
        <w:pStyle w:val="Heading2"/>
        <w:spacing w:before="280" w:after="120"/>
      </w:pPr>
      <w:r>
        <w:rPr>
          <w:rFonts w:ascii="Calibri" w:hAnsi="Calibri"/>
          <w:b/>
          <w:color w:val="1AAFCC"/>
          <w:sz w:val="26"/>
        </w:rPr>
        <w:t>5.4 MAGGIC Heart Failure Risk Score</w:t>
      </w:r>
    </w:p>
    <w:p>
      <w:pPr>
        <w:spacing w:before="0" w:after="120"/>
      </w:pPr>
      <w:r>
        <w:rPr>
          <w:rFonts w:ascii="Calibri" w:hAnsi="Calibri"/>
          <w:color w:val="333333"/>
          <w:sz w:val="20"/>
        </w:rPr>
        <w:t>The MAGGIC score uses a point-based system incorporating 13 variables to predict 1-year and 3-year mortality. The implementation includes full 51-tier lookup tables (score 0-50) for both timepoints, derived from Pocock et al. (2013).</w:t>
      </w:r>
    </w:p>
    <w:p>
      <w:pPr>
        <w:pStyle w:val="Heading2"/>
        <w:spacing w:before="280" w:after="120"/>
      </w:pPr>
      <w:r>
        <w:rPr>
          <w:rFonts w:ascii="Calibri" w:hAnsi="Calibri"/>
          <w:b/>
          <w:color w:val="1AAFCC"/>
          <w:sz w:val="26"/>
        </w:rPr>
        <w:t>5.5 EuroSCORE II</w:t>
      </w:r>
    </w:p>
    <w:p>
      <w:pPr>
        <w:spacing w:before="0" w:after="120"/>
      </w:pPr>
      <w:r>
        <w:rPr>
          <w:rFonts w:ascii="Calibri" w:hAnsi="Calibri"/>
          <w:color w:val="333333"/>
          <w:sz w:val="20"/>
        </w:rPr>
        <w:t>The EuroSCORE II logistic regression model uses 28 beta coefficients across patient-related, cardiac-related, and operation-related factors. The predicted mortality is:</w:t>
      </w:r>
    </w:p>
    <w:p>
      <w:pPr>
        <w:spacing w:before="0" w:after="0" w:line="240" w:lineRule="auto"/>
        <w:ind w:left="288"/>
        <w:shd w:val="clear" w:fill="F0F0F0"/>
      </w:pPr>
      <w:r>
        <w:rPr>
          <w:rFonts w:ascii="Courier New" w:hAnsi="Courier New"/>
          <w:color w:val="444444"/>
          <w:sz w:val="18"/>
        </w:rPr>
        <w:t>logit = beta0 + sum(beta_i * x_i)</w:t>
      </w:r>
    </w:p>
    <w:p>
      <w:pPr>
        <w:spacing w:before="0" w:after="0" w:line="240" w:lineRule="auto"/>
        <w:ind w:left="288"/>
        <w:shd w:val="clear" w:fill="F0F0F0"/>
      </w:pPr>
      <w:r>
        <w:rPr>
          <w:rFonts w:ascii="Courier New" w:hAnsi="Courier New"/>
          <w:color w:val="444444"/>
          <w:sz w:val="18"/>
        </w:rPr>
        <w:t>predicted_mortality = exp(logit) / (1 + exp(logit))</w:t>
      </w:r>
    </w:p>
    <w:p>
      <w:pPr>
        <w:spacing w:before="0" w:after="120"/>
      </w:pPr>
      <w:r>
        <w:rPr>
          <w:rFonts w:ascii="Calibri" w:hAnsi="Calibri"/>
          <w:color w:val="333333"/>
          <w:sz w:val="20"/>
        </w:rPr>
        <w:t>Where beta0 = -5.324537 (intercept).</w:t>
      </w:r>
    </w:p>
    <w:p>
      <w:pPr>
        <w:spacing w:before="80" w:after="80"/>
        <w:pBdr>
          <w:bottom w:val="single" w:sz="6" w:color="1AAFCC"/>
        </w:pBdr>
      </w:pPr>
    </w:p>
    <w:p>
      <w:pPr>
        <w:pStyle w:val="Heading1"/>
        <w:spacing w:before="400" w:after="160"/>
      </w:pPr>
      <w:r>
        <w:rPr>
          <w:rFonts w:ascii="Calibri" w:hAnsi="Calibri"/>
          <w:b/>
          <w:color w:val="1B2333"/>
          <w:sz w:val="32"/>
        </w:rPr>
        <w:t>6. GDMT Framework</w:t>
      </w:r>
    </w:p>
    <w:p>
      <w:pPr>
        <w:pStyle w:val="Heading2"/>
        <w:spacing w:before="280" w:after="120"/>
      </w:pPr>
      <w:r>
        <w:rPr>
          <w:rFonts w:ascii="Calibri" w:hAnsi="Calibri"/>
          <w:b/>
          <w:color w:val="1AAFCC"/>
          <w:sz w:val="26"/>
        </w:rPr>
        <w:t>6.1 The GDMT Optimization Challenge</w:t>
      </w:r>
    </w:p>
    <w:p>
      <w:pPr>
        <w:spacing w:before="0" w:after="120"/>
      </w:pPr>
      <w:r>
        <w:rPr>
          <w:rFonts w:ascii="Calibri" w:hAnsi="Calibri"/>
          <w:color w:val="333333"/>
          <w:sz w:val="20"/>
        </w:rPr>
        <w:t>Guideline-directed medical therapy for heart failure with reduced ejection fraction involves simultaneous management of four drug pillars, each with specific initiation criteria, uptitration schedules, target doses, contraindications, and monitoring requirements. Studies show that fewer than 25% of eligible HFrEF patients are on target doses of all four GDMT pillars.</w:t>
      </w:r>
    </w:p>
    <w:p>
      <w:pPr>
        <w:pStyle w:val="Heading2"/>
        <w:spacing w:before="280" w:after="120"/>
      </w:pPr>
      <w:r>
        <w:rPr>
          <w:rFonts w:ascii="Calibri" w:hAnsi="Calibri"/>
          <w:b/>
          <w:color w:val="1AAFCC"/>
          <w:sz w:val="26"/>
        </w:rPr>
        <w:t>6.2 Four-Pillar Implementation</w:t>
      </w:r>
    </w:p>
    <w:p>
      <w:pPr>
        <w:spacing w:before="0" w:after="120"/>
      </w:pPr>
      <w:r>
        <w:rPr>
          <w:rFonts w:ascii="Calibri" w:hAnsi="Calibri"/>
          <w:color w:val="333333"/>
          <w:sz w:val="20"/>
        </w:rPr>
        <w:t>The GDMT optimizer (2,457 lines) manages:</w:t>
      </w:r>
    </w:p>
    <w:tbl>
      <w:tblPr>
        <w:tblW w:type="auto" w:w="0"/>
        <w:jc w:val="center"/>
        <w:tblLayout w:type="autofit"/>
        <w:tblLook w:firstColumn="1" w:firstRow="1" w:lastColumn="0" w:lastRow="0" w:noHBand="0" w:noVBand="1" w:val="04A0"/>
      </w:tblPr>
      <w:tblGrid>
        <w:gridCol w:w="2340"/>
        <w:gridCol w:w="2340"/>
        <w:gridCol w:w="2340"/>
        <w:gridCol w:w="2340"/>
      </w:tblGrid>
      <w:tr>
        <w:tc>
          <w:tcPr>
            <w:tcW w:type="dxa" w:w="2340"/>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Pillar</w:t>
            </w:r>
          </w:p>
        </w:tc>
        <w:tc>
          <w:tcPr>
            <w:tcW w:type="dxa" w:w="2340"/>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Initiation Check</w:t>
            </w:r>
          </w:p>
        </w:tc>
        <w:tc>
          <w:tcPr>
            <w:tcW w:type="dxa" w:w="2340"/>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Titration Logic</w:t>
            </w:r>
          </w:p>
        </w:tc>
        <w:tc>
          <w:tcPr>
            <w:tcW w:type="dxa" w:w="2340"/>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Target Dose</w:t>
            </w:r>
          </w:p>
        </w:tc>
      </w:tr>
      <w:tr>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Beta-blocker</w:t>
            </w:r>
          </w:p>
        </w:tc>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HR &gt;60, SBP &gt;90, no acute decompensation</w:t>
            </w:r>
          </w:p>
        </w:tc>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Double dose q2 weeks if tolerated</w:t>
            </w:r>
          </w:p>
        </w:tc>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Carvedilol 25mg BID</w:t>
            </w:r>
          </w:p>
        </w:tc>
      </w:tr>
      <w:tr>
        <w:tc>
          <w:tcPr>
            <w:tcW w:type="dxa" w:w="234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ARNI</w:t>
            </w:r>
          </w:p>
        </w:tc>
        <w:tc>
          <w:tcPr>
            <w:tcW w:type="dxa" w:w="234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SBP &gt;100, K+ &lt;5.0, eGFR &gt;20, 36h ACEi washout</w:t>
            </w:r>
          </w:p>
        </w:tc>
        <w:tc>
          <w:tcPr>
            <w:tcW w:type="dxa" w:w="234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Double dose q2-4 weeks</w:t>
            </w:r>
          </w:p>
        </w:tc>
        <w:tc>
          <w:tcPr>
            <w:tcW w:type="dxa" w:w="234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97/103mg BID</w:t>
            </w:r>
          </w:p>
        </w:tc>
      </w:tr>
      <w:tr>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MRA</w:t>
            </w:r>
          </w:p>
        </w:tc>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K+ &lt;5.0, eGFR &gt;30</w:t>
            </w:r>
          </w:p>
        </w:tc>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Check K+ at 1 week, 4 weeks</w:t>
            </w:r>
          </w:p>
        </w:tc>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Spironolactone 25-50mg</w:t>
            </w:r>
          </w:p>
        </w:tc>
      </w:tr>
      <w:tr>
        <w:tc>
          <w:tcPr>
            <w:tcW w:type="dxa" w:w="234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SGLT2i</w:t>
            </w:r>
          </w:p>
        </w:tc>
        <w:tc>
          <w:tcPr>
            <w:tcW w:type="dxa" w:w="234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eGFR &gt;20 (initiation)</w:t>
            </w:r>
          </w:p>
        </w:tc>
        <w:tc>
          <w:tcPr>
            <w:tcW w:type="dxa" w:w="234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No titration needed</w:t>
            </w:r>
          </w:p>
        </w:tc>
        <w:tc>
          <w:tcPr>
            <w:tcW w:type="dxa" w:w="234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Dapagliflozin 10mg</w:t>
            </w:r>
          </w:p>
        </w:tc>
      </w:tr>
    </w:tbl>
    <w:p>
      <w:pPr>
        <w:spacing w:before="40" w:after="80"/>
      </w:pPr>
    </w:p>
    <w:p>
      <w:pPr>
        <w:pStyle w:val="Heading2"/>
        <w:spacing w:before="280" w:after="120"/>
      </w:pPr>
      <w:r>
        <w:rPr>
          <w:rFonts w:ascii="Calibri" w:hAnsi="Calibri"/>
          <w:b/>
          <w:color w:val="1AAFCC"/>
          <w:sz w:val="26"/>
        </w:rPr>
        <w:t>6.3 EF-Stratified Recommendations</w:t>
      </w:r>
    </w:p>
    <w:tbl>
      <w:tblPr>
        <w:tblW w:type="auto" w:w="0"/>
        <w:jc w:val="center"/>
        <w:tblLayout w:type="autofit"/>
        <w:tblLook w:firstColumn="1" w:firstRow="1" w:lastColumn="0" w:lastRow="0" w:noHBand="0" w:noVBand="1" w:val="04A0"/>
      </w:tblPr>
      <w:tblGrid>
        <w:gridCol w:w="4680"/>
        <w:gridCol w:w="4680"/>
      </w:tblGrid>
      <w:tr>
        <w:tc>
          <w:tcPr>
            <w:tcW w:type="dxa" w:w="4680"/>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EF Category</w:t>
            </w:r>
          </w:p>
        </w:tc>
        <w:tc>
          <w:tcPr>
            <w:tcW w:type="dxa" w:w="4680"/>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GDMT Approach</w:t>
            </w:r>
          </w:p>
        </w:tc>
      </w:tr>
      <w:tr>
        <w:tc>
          <w:tcPr>
            <w:tcW w:type="dxa" w:w="468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HFrEF (LVEF &lt;=40%)</w:t>
            </w:r>
          </w:p>
        </w:tc>
        <w:tc>
          <w:tcPr>
            <w:tcW w:type="dxa" w:w="468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Full 4-pillar GDMT; simultaneous initiation if possible</w:t>
            </w:r>
          </w:p>
        </w:tc>
      </w:tr>
      <w:tr>
        <w:tc>
          <w:tcPr>
            <w:tcW w:type="dxa" w:w="468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HFmrEF (LVEF 41-49%)</w:t>
            </w:r>
          </w:p>
        </w:tc>
        <w:tc>
          <w:tcPr>
            <w:tcW w:type="dxa" w:w="468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SGLT2i (Class I); consider ARNI, beta-blocker, MRA</w:t>
            </w:r>
          </w:p>
        </w:tc>
      </w:tr>
      <w:tr>
        <w:tc>
          <w:tcPr>
            <w:tcW w:type="dxa" w:w="468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HFpEF (LVEF &gt;=50%)</w:t>
            </w:r>
          </w:p>
        </w:tc>
        <w:tc>
          <w:tcPr>
            <w:tcW w:type="dxa" w:w="468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SGLT2i (Class I); diuretics; treat comorbidities; GLP-1 RA if obese</w:t>
            </w:r>
          </w:p>
        </w:tc>
      </w:tr>
      <w:tr>
        <w:tc>
          <w:tcPr>
            <w:tcW w:type="dxa" w:w="468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HFimpEF</w:t>
            </w:r>
          </w:p>
        </w:tc>
        <w:tc>
          <w:tcPr>
            <w:tcW w:type="dxa" w:w="468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Continue all GDMT indefinitely; do not de-escalate based on improved EF</w:t>
            </w:r>
          </w:p>
        </w:tc>
      </w:tr>
    </w:tbl>
    <w:p>
      <w:pPr>
        <w:spacing w:before="40" w:after="80"/>
      </w:pPr>
    </w:p>
    <w:p>
      <w:pPr>
        <w:pStyle w:val="Heading2"/>
        <w:spacing w:before="280" w:after="120"/>
      </w:pPr>
      <w:r>
        <w:rPr>
          <w:rFonts w:ascii="Calibri" w:hAnsi="Calibri"/>
          <w:b/>
          <w:color w:val="1AAFCC"/>
          <w:sz w:val="26"/>
        </w:rPr>
        <w:t>6.4 Additional Therapies</w:t>
      </w:r>
    </w:p>
    <w:p>
      <w:pPr>
        <w:spacing w:before="0" w:after="120"/>
      </w:pPr>
      <w:r>
        <w:rPr>
          <w:rFonts w:ascii="Calibri" w:hAnsi="Calibri"/>
          <w:color w:val="333333"/>
          <w:sz w:val="20"/>
        </w:rPr>
        <w:t>The optimizer also evaluates eligibility for:</w:t>
      </w:r>
    </w:p>
    <w:p>
      <w:pPr>
        <w:spacing w:before="40" w:after="40"/>
        <w:ind w:left="504" w:hanging="216"/>
      </w:pPr>
      <w:r>
        <w:rPr>
          <w:rFonts w:ascii="Calibri" w:hAnsi="Calibri"/>
          <w:color w:val="1AAFCC"/>
          <w:sz w:val="20"/>
        </w:rPr>
        <w:t xml:space="preserve">•  </w:t>
      </w:r>
      <w:r>
        <w:rPr>
          <w:rFonts w:ascii="Calibri" w:hAnsi="Calibri"/>
          <w:b/>
          <w:color w:val="333333"/>
          <w:sz w:val="20"/>
        </w:rPr>
        <w:t>H-ISDN</w:t>
      </w:r>
      <w:r>
        <w:rPr>
          <w:rFonts w:ascii="Calibri" w:hAnsi="Calibri"/>
          <w:color w:val="333333"/>
          <w:sz w:val="20"/>
        </w:rPr>
        <w:t>: For African American patients with NYHA III-IV symptoms</w:t>
      </w:r>
    </w:p>
    <w:p>
      <w:pPr>
        <w:spacing w:before="40" w:after="40"/>
        <w:ind w:left="504" w:hanging="216"/>
      </w:pPr>
      <w:r>
        <w:rPr>
          <w:rFonts w:ascii="Calibri" w:hAnsi="Calibri"/>
          <w:color w:val="1AAFCC"/>
          <w:sz w:val="20"/>
        </w:rPr>
        <w:t xml:space="preserve">•  </w:t>
      </w:r>
      <w:r>
        <w:rPr>
          <w:rFonts w:ascii="Calibri" w:hAnsi="Calibri"/>
          <w:b/>
          <w:color w:val="333333"/>
          <w:sz w:val="20"/>
        </w:rPr>
        <w:t>Ivabradine</w:t>
      </w:r>
      <w:r>
        <w:rPr>
          <w:rFonts w:ascii="Calibri" w:hAnsi="Calibri"/>
          <w:color w:val="333333"/>
          <w:sz w:val="20"/>
        </w:rPr>
        <w:t>: For sinus rhythm, HR &gt;=70, LVEF &lt;=35% on maximally tolerated beta-blocker</w:t>
      </w:r>
    </w:p>
    <w:p>
      <w:pPr>
        <w:spacing w:before="40" w:after="40"/>
        <w:ind w:left="504" w:hanging="216"/>
      </w:pPr>
      <w:r>
        <w:rPr>
          <w:rFonts w:ascii="Calibri" w:hAnsi="Calibri"/>
          <w:color w:val="1AAFCC"/>
          <w:sz w:val="20"/>
        </w:rPr>
        <w:t xml:space="preserve">•  </w:t>
      </w:r>
      <w:r>
        <w:rPr>
          <w:rFonts w:ascii="Calibri" w:hAnsi="Calibri"/>
          <w:b/>
          <w:color w:val="333333"/>
          <w:sz w:val="20"/>
        </w:rPr>
        <w:t>IV iron</w:t>
      </w:r>
      <w:r>
        <w:rPr>
          <w:rFonts w:ascii="Calibri" w:hAnsi="Calibri"/>
          <w:color w:val="333333"/>
          <w:sz w:val="20"/>
        </w:rPr>
        <w:t>: For ferritin &lt;100 or (100-299 with TSAT &lt;20%)</w:t>
      </w:r>
    </w:p>
    <w:p>
      <w:pPr>
        <w:spacing w:before="40" w:after="40"/>
        <w:ind w:left="504" w:hanging="216"/>
      </w:pPr>
      <w:r>
        <w:rPr>
          <w:rFonts w:ascii="Calibri" w:hAnsi="Calibri"/>
          <w:color w:val="1AAFCC"/>
          <w:sz w:val="20"/>
        </w:rPr>
        <w:t xml:space="preserve">•  </w:t>
      </w:r>
      <w:r>
        <w:rPr>
          <w:rFonts w:ascii="Calibri" w:hAnsi="Calibri"/>
          <w:b/>
          <w:color w:val="333333"/>
          <w:sz w:val="20"/>
        </w:rPr>
        <w:t>Device therapy</w:t>
      </w:r>
      <w:r>
        <w:rPr>
          <w:rFonts w:ascii="Calibri" w:hAnsi="Calibri"/>
          <w:color w:val="333333"/>
          <w:sz w:val="20"/>
        </w:rPr>
        <w:t>: ICD (LVEF &lt;=35% on GDMT &gt;=90 days) and CRT (LBBB + QRS &gt;=150ms + LVEF &lt;=35%)</w:t>
      </w:r>
    </w:p>
    <w:p>
      <w:pPr>
        <w:spacing w:before="80" w:after="80"/>
        <w:pBdr>
          <w:bottom w:val="single" w:sz="6" w:color="1AAFCC"/>
        </w:pBdr>
      </w:pPr>
    </w:p>
    <w:p>
      <w:pPr>
        <w:pStyle w:val="Heading1"/>
        <w:spacing w:before="400" w:after="160"/>
      </w:pPr>
      <w:r>
        <w:rPr>
          <w:rFonts w:ascii="Calibri" w:hAnsi="Calibri"/>
          <w:b/>
          <w:color w:val="1B2333"/>
          <w:sz w:val="32"/>
        </w:rPr>
        <w:t>7. Cross-Modal Genomic Integration</w:t>
      </w:r>
    </w:p>
    <w:p>
      <w:pPr>
        <w:pStyle w:val="Heading2"/>
        <w:spacing w:before="280" w:after="120"/>
      </w:pPr>
      <w:r>
        <w:rPr>
          <w:rFonts w:ascii="Calibri" w:hAnsi="Calibri"/>
          <w:b/>
          <w:color w:val="1AAFCC"/>
          <w:sz w:val="26"/>
        </w:rPr>
        <w:t>7.1 The Cross-Modal Paradigm</w:t>
      </w:r>
    </w:p>
    <w:p>
      <w:pPr>
        <w:spacing w:before="0" w:after="120"/>
      </w:pPr>
      <w:r>
        <w:rPr>
          <w:rFonts w:ascii="Calibri" w:hAnsi="Calibri"/>
          <w:color w:val="333333"/>
          <w:sz w:val="20"/>
        </w:rPr>
        <w:t>One of the most clinically valuable features of the Cardiology Intelligence Agent is the automated cross-modal trigger system that links cardiac imaging findings to genomic workup recommendations. This bridges the traditional gap between the imaging lab and the genetics clinic.</w:t>
      </w:r>
    </w:p>
    <w:p>
      <w:pPr>
        <w:pStyle w:val="Heading2"/>
        <w:spacing w:before="280" w:after="120"/>
      </w:pPr>
      <w:r>
        <w:rPr>
          <w:rFonts w:ascii="Calibri" w:hAnsi="Calibri"/>
          <w:b/>
          <w:color w:val="1AAFCC"/>
          <w:sz w:val="26"/>
        </w:rPr>
        <w:t>7.2 Trigger Architecture</w:t>
      </w:r>
    </w:p>
    <w:p>
      <w:pPr>
        <w:spacing w:before="0" w:after="120"/>
      </w:pPr>
      <w:r>
        <w:rPr>
          <w:rFonts w:ascii="Calibri" w:hAnsi="Calibri"/>
          <w:color w:val="333333"/>
          <w:sz w:val="20"/>
        </w:rPr>
        <w:t>The cross-modal engine (1,734 lines) implements a pattern-matching system:</w:t>
      </w:r>
    </w:p>
    <w:p>
      <w:pPr>
        <w:spacing w:before="40" w:after="40"/>
        <w:ind w:left="504" w:hanging="288"/>
      </w:pPr>
      <w:r>
        <w:rPr>
          <w:rFonts w:ascii="Calibri" w:hAnsi="Calibri"/>
          <w:b/>
          <w:color w:val="333333"/>
          <w:sz w:val="20"/>
        </w:rPr>
        <w:t xml:space="preserve">1.  </w:t>
      </w:r>
      <w:r>
        <w:rPr>
          <w:rFonts w:ascii="Calibri" w:hAnsi="Calibri"/>
          <w:b/>
          <w:color w:val="333333"/>
          <w:sz w:val="20"/>
        </w:rPr>
        <w:t>Trigger definition</w:t>
      </w:r>
      <w:r>
        <w:rPr>
          <w:rFonts w:ascii="Calibri" w:hAnsi="Calibri"/>
          <w:color w:val="333333"/>
          <w:sz w:val="20"/>
        </w:rPr>
        <w:t>: Eighteen imaging-to-genomic trigger patterns are defined in the knowledge graph, each mapping an imaging finding to a recommended gene panel and list of suspected conditions.</w:t>
      </w:r>
    </w:p>
    <w:p>
      <w:pPr>
        <w:spacing w:before="40" w:after="40"/>
        <w:ind w:left="504" w:hanging="288"/>
      </w:pPr>
      <w:r>
        <w:rPr>
          <w:rFonts w:ascii="Calibri" w:hAnsi="Calibri"/>
          <w:b/>
          <w:color w:val="333333"/>
          <w:sz w:val="20"/>
        </w:rPr>
        <w:t xml:space="preserve">2.  </w:t>
      </w:r>
      <w:r>
        <w:rPr>
          <w:rFonts w:ascii="Calibri" w:hAnsi="Calibri"/>
          <w:b/>
          <w:color w:val="333333"/>
          <w:sz w:val="20"/>
        </w:rPr>
        <w:t>Pattern matching</w:t>
      </w:r>
      <w:r>
        <w:rPr>
          <w:rFonts w:ascii="Calibri" w:hAnsi="Calibri"/>
          <w:color w:val="333333"/>
          <w:sz w:val="20"/>
        </w:rPr>
        <w:t>: After each workflow execution, the engine scans imaging findings against the trigger definitions using both exact match and semantic similarity.</w:t>
      </w:r>
    </w:p>
    <w:p>
      <w:pPr>
        <w:spacing w:before="40" w:after="40"/>
        <w:ind w:left="504" w:hanging="288"/>
      </w:pPr>
      <w:r>
        <w:rPr>
          <w:rFonts w:ascii="Calibri" w:hAnsi="Calibri"/>
          <w:b/>
          <w:color w:val="333333"/>
          <w:sz w:val="20"/>
        </w:rPr>
        <w:t xml:space="preserve">3.  </w:t>
      </w:r>
      <w:r>
        <w:rPr>
          <w:rFonts w:ascii="Calibri" w:hAnsi="Calibri"/>
          <w:b/>
          <w:color w:val="333333"/>
          <w:sz w:val="20"/>
        </w:rPr>
        <w:t>Genomic evidence retrieval</w:t>
      </w:r>
      <w:r>
        <w:rPr>
          <w:rFonts w:ascii="Calibri" w:hAnsi="Calibri"/>
          <w:color w:val="333333"/>
          <w:sz w:val="20"/>
        </w:rPr>
        <w:t xml:space="preserve">: For matched triggers, the shared </w:t>
      </w:r>
      <w:r>
        <w:rPr>
          <w:rFonts w:ascii="Courier New" w:hAnsi="Courier New"/>
          <w:color w:val="444444"/>
          <w:sz w:val="18"/>
        </w:rPr>
        <w:t>genomic_evidence</w:t>
      </w:r>
      <w:r>
        <w:rPr>
          <w:rFonts w:ascii="Calibri" w:hAnsi="Calibri"/>
          <w:color w:val="333333"/>
          <w:sz w:val="20"/>
        </w:rPr>
        <w:t xml:space="preserve"> collection (3.5M variants) is queried for relevant variant data.</w:t>
      </w:r>
    </w:p>
    <w:p>
      <w:pPr>
        <w:spacing w:before="40" w:after="40"/>
        <w:ind w:left="504" w:hanging="288"/>
      </w:pPr>
      <w:r>
        <w:rPr>
          <w:rFonts w:ascii="Calibri" w:hAnsi="Calibri"/>
          <w:b/>
          <w:color w:val="333333"/>
          <w:sz w:val="20"/>
        </w:rPr>
        <w:t xml:space="preserve">4.  </w:t>
      </w:r>
      <w:r>
        <w:rPr>
          <w:rFonts w:ascii="Calibri" w:hAnsi="Calibri"/>
          <w:b/>
          <w:color w:val="333333"/>
          <w:sz w:val="20"/>
        </w:rPr>
        <w:t>Clinical contextualization</w:t>
      </w:r>
      <w:r>
        <w:rPr>
          <w:rFonts w:ascii="Calibri" w:hAnsi="Calibri"/>
          <w:color w:val="333333"/>
          <w:sz w:val="20"/>
        </w:rPr>
        <w:t>: Each trigger includes a clinical rationale explaining why the imaging finding warrants genetic testing, with guideline references.</w:t>
      </w:r>
    </w:p>
    <w:p>
      <w:pPr>
        <w:pStyle w:val="Heading2"/>
        <w:spacing w:before="280" w:after="120"/>
      </w:pPr>
      <w:r>
        <w:rPr>
          <w:rFonts w:ascii="Calibri" w:hAnsi="Calibri"/>
          <w:b/>
          <w:color w:val="1AAFCC"/>
          <w:sz w:val="26"/>
        </w:rPr>
        <w:t>7.3 Clinical Examples</w:t>
      </w:r>
    </w:p>
    <w:p>
      <w:pPr>
        <w:spacing w:before="0" w:after="120"/>
      </w:pPr>
      <w:r>
        <w:rPr>
          <w:rFonts w:ascii="Calibri" w:hAnsi="Calibri"/>
          <w:b/>
          <w:color w:val="333333"/>
          <w:sz w:val="20"/>
        </w:rPr>
        <w:t>Example 1: Unexplained LVH</w:t>
      </w:r>
    </w:p>
    <w:p>
      <w:pPr>
        <w:spacing w:before="40" w:after="40"/>
        <w:ind w:left="504" w:hanging="216"/>
      </w:pPr>
      <w:r>
        <w:rPr>
          <w:rFonts w:ascii="Calibri" w:hAnsi="Calibri"/>
          <w:color w:val="1AAFCC"/>
          <w:sz w:val="20"/>
        </w:rPr>
        <w:t xml:space="preserve">•  </w:t>
      </w:r>
      <w:r>
        <w:rPr>
          <w:rFonts w:ascii="Calibri" w:hAnsi="Calibri"/>
          <w:color w:val="333333"/>
          <w:sz w:val="20"/>
        </w:rPr>
        <w:t>Echocardiogram shows interventricular septum thickness of 18mm</w:t>
      </w:r>
    </w:p>
    <w:p>
      <w:pPr>
        <w:spacing w:before="40" w:after="40"/>
        <w:ind w:left="504" w:hanging="216"/>
      </w:pPr>
      <w:r>
        <w:rPr>
          <w:rFonts w:ascii="Calibri" w:hAnsi="Calibri"/>
          <w:color w:val="1AAFCC"/>
          <w:sz w:val="20"/>
        </w:rPr>
        <w:t xml:space="preserve">•  </w:t>
      </w:r>
      <w:r>
        <w:rPr>
          <w:rFonts w:ascii="Calibri" w:hAnsi="Calibri"/>
          <w:color w:val="333333"/>
          <w:sz w:val="20"/>
        </w:rPr>
        <w:t>No history of hypertension or aortic stenosis</w:t>
      </w:r>
    </w:p>
    <w:p>
      <w:pPr>
        <w:spacing w:before="40" w:after="40"/>
        <w:ind w:left="504" w:hanging="216"/>
      </w:pPr>
      <w:r>
        <w:rPr>
          <w:rFonts w:ascii="Calibri" w:hAnsi="Calibri"/>
          <w:color w:val="1AAFCC"/>
          <w:sz w:val="20"/>
        </w:rPr>
        <w:t xml:space="preserve">•  </w:t>
      </w:r>
      <w:r>
        <w:rPr>
          <w:rFonts w:ascii="Calibri" w:hAnsi="Calibri"/>
          <w:color w:val="333333"/>
          <w:sz w:val="20"/>
        </w:rPr>
        <w:t>Cross-modal trigger fires: recommend HCM gene panel (MYH7, MYBPC3, TNNT2, TNNI3, TPM1) + Fabry disease testing (GLA) + Danon disease testing (LAMP2)</w:t>
      </w:r>
    </w:p>
    <w:p>
      <w:pPr>
        <w:spacing w:before="40" w:after="40"/>
        <w:ind w:left="504" w:hanging="216"/>
      </w:pPr>
      <w:r>
        <w:rPr>
          <w:rFonts w:ascii="Calibri" w:hAnsi="Calibri"/>
          <w:color w:val="1AAFCC"/>
          <w:sz w:val="20"/>
        </w:rPr>
        <w:t xml:space="preserve">•  </w:t>
      </w:r>
      <w:r>
        <w:rPr>
          <w:rFonts w:ascii="Calibri" w:hAnsi="Calibri"/>
          <w:color w:val="333333"/>
          <w:sz w:val="20"/>
        </w:rPr>
        <w:t>Genomic_evidence collection is queried for known pathogenic variants in these genes</w:t>
      </w:r>
    </w:p>
    <w:p>
      <w:pPr>
        <w:spacing w:before="0" w:after="120"/>
      </w:pPr>
      <w:r>
        <w:rPr>
          <w:rFonts w:ascii="Calibri" w:hAnsi="Calibri"/>
          <w:b/>
          <w:color w:val="333333"/>
          <w:sz w:val="20"/>
        </w:rPr>
        <w:t>Example 2: Aortic Root Dilation in Young Patient</w:t>
      </w:r>
    </w:p>
    <w:p>
      <w:pPr>
        <w:spacing w:before="40" w:after="40"/>
        <w:ind w:left="504" w:hanging="216"/>
      </w:pPr>
      <w:r>
        <w:rPr>
          <w:rFonts w:ascii="Calibri" w:hAnsi="Calibri"/>
          <w:color w:val="1AAFCC"/>
          <w:sz w:val="20"/>
        </w:rPr>
        <w:t xml:space="preserve">•  </w:t>
      </w:r>
      <w:r>
        <w:rPr>
          <w:rFonts w:ascii="Calibri" w:hAnsi="Calibri"/>
          <w:color w:val="333333"/>
          <w:sz w:val="20"/>
        </w:rPr>
        <w:t>Cardiac CT shows aortic root diameter 4.5cm in a 28-year-old</w:t>
      </w:r>
    </w:p>
    <w:p>
      <w:pPr>
        <w:spacing w:before="40" w:after="40"/>
        <w:ind w:left="504" w:hanging="216"/>
      </w:pPr>
      <w:r>
        <w:rPr>
          <w:rFonts w:ascii="Calibri" w:hAnsi="Calibri"/>
          <w:color w:val="1AAFCC"/>
          <w:sz w:val="20"/>
        </w:rPr>
        <w:t xml:space="preserve">•  </w:t>
      </w:r>
      <w:r>
        <w:rPr>
          <w:rFonts w:ascii="Calibri" w:hAnsi="Calibri"/>
          <w:color w:val="333333"/>
          <w:sz w:val="20"/>
        </w:rPr>
        <w:t>Cross-modal trigger fires: recommend aortopathy gene panel (FBN1, TGFBR1, TGFBR2, SMAD3, ACTA2, MYH11, COL3A1)</w:t>
      </w:r>
    </w:p>
    <w:p>
      <w:pPr>
        <w:spacing w:before="40" w:after="40"/>
        <w:ind w:left="504" w:hanging="216"/>
      </w:pPr>
      <w:r>
        <w:rPr>
          <w:rFonts w:ascii="Calibri" w:hAnsi="Calibri"/>
          <w:color w:val="1AAFCC"/>
          <w:sz w:val="20"/>
        </w:rPr>
        <w:t xml:space="preserve">•  </w:t>
      </w:r>
      <w:r>
        <w:rPr>
          <w:rFonts w:ascii="Calibri" w:hAnsi="Calibri"/>
          <w:color w:val="333333"/>
          <w:sz w:val="20"/>
        </w:rPr>
        <w:t>Identifies Marfan syndrome, Loeys-Dietz syndrome, and familial TAAD as diagnostic considerations</w:t>
      </w:r>
    </w:p>
    <w:p>
      <w:pPr>
        <w:spacing w:before="40" w:after="40"/>
        <w:ind w:left="504" w:hanging="216"/>
      </w:pPr>
      <w:r>
        <w:rPr>
          <w:rFonts w:ascii="Calibri" w:hAnsi="Calibri"/>
          <w:color w:val="1AAFCC"/>
          <w:sz w:val="20"/>
        </w:rPr>
        <w:t xml:space="preserve">•  </w:t>
      </w:r>
      <w:r>
        <w:rPr>
          <w:rFonts w:ascii="Calibri" w:hAnsi="Calibri"/>
          <w:color w:val="333333"/>
          <w:sz w:val="20"/>
        </w:rPr>
        <w:t>May influence surgical threshold (5.0cm for Marfan vs 5.5cm for degenerative)</w:t>
      </w:r>
    </w:p>
    <w:p>
      <w:pPr>
        <w:spacing w:before="0" w:after="120"/>
      </w:pPr>
      <w:r>
        <w:rPr>
          <w:rFonts w:ascii="Calibri" w:hAnsi="Calibri"/>
          <w:b/>
          <w:color w:val="333333"/>
          <w:sz w:val="20"/>
        </w:rPr>
        <w:t>Example 3: Premature Coronary Disease</w:t>
      </w:r>
    </w:p>
    <w:p>
      <w:pPr>
        <w:spacing w:before="40" w:after="40"/>
        <w:ind w:left="504" w:hanging="216"/>
      </w:pPr>
      <w:r>
        <w:rPr>
          <w:rFonts w:ascii="Calibri" w:hAnsi="Calibri"/>
          <w:color w:val="1AAFCC"/>
          <w:sz w:val="20"/>
        </w:rPr>
        <w:t xml:space="preserve">•  </w:t>
      </w:r>
      <w:r>
        <w:rPr>
          <w:rFonts w:ascii="Calibri" w:hAnsi="Calibri"/>
          <w:color w:val="333333"/>
          <w:sz w:val="20"/>
        </w:rPr>
        <w:t>Coronary CTA shows significant CAD in a 42-year-old male with LDL 245 mg/dL</w:t>
      </w:r>
    </w:p>
    <w:p>
      <w:pPr>
        <w:spacing w:before="40" w:after="40"/>
        <w:ind w:left="504" w:hanging="216"/>
      </w:pPr>
      <w:r>
        <w:rPr>
          <w:rFonts w:ascii="Calibri" w:hAnsi="Calibri"/>
          <w:color w:val="1AAFCC"/>
          <w:sz w:val="20"/>
        </w:rPr>
        <w:t xml:space="preserve">•  </w:t>
      </w:r>
      <w:r>
        <w:rPr>
          <w:rFonts w:ascii="Calibri" w:hAnsi="Calibri"/>
          <w:color w:val="333333"/>
          <w:sz w:val="20"/>
        </w:rPr>
        <w:t>Cross-modal trigger fires: recommend FH gene panel (LDLR, PCSK9, APOB)</w:t>
      </w:r>
    </w:p>
    <w:p>
      <w:pPr>
        <w:spacing w:before="40" w:after="40"/>
        <w:ind w:left="504" w:hanging="216"/>
      </w:pPr>
      <w:r>
        <w:rPr>
          <w:rFonts w:ascii="Calibri" w:hAnsi="Calibri"/>
          <w:color w:val="1AAFCC"/>
          <w:sz w:val="20"/>
        </w:rPr>
        <w:t xml:space="preserve">•  </w:t>
      </w:r>
      <w:r>
        <w:rPr>
          <w:rFonts w:ascii="Calibri" w:hAnsi="Calibri"/>
          <w:color w:val="333333"/>
          <w:sz w:val="20"/>
        </w:rPr>
        <w:t>Cascade family screening recommendation generated for first-degree relatives</w:t>
      </w:r>
    </w:p>
    <w:p>
      <w:pPr>
        <w:spacing w:before="80" w:after="80"/>
        <w:pBdr>
          <w:bottom w:val="single" w:sz="6" w:color="1AAFCC"/>
        </w:pBdr>
      </w:pPr>
    </w:p>
    <w:p>
      <w:pPr>
        <w:pStyle w:val="Heading1"/>
        <w:spacing w:before="400" w:after="160"/>
      </w:pPr>
      <w:r>
        <w:rPr>
          <w:rFonts w:ascii="Calibri" w:hAnsi="Calibri"/>
          <w:b/>
          <w:color w:val="1B2333"/>
          <w:sz w:val="32"/>
        </w:rPr>
        <w:t>8. Knowledge Graph Design</w:t>
      </w:r>
    </w:p>
    <w:p>
      <w:pPr>
        <w:pStyle w:val="Heading2"/>
        <w:spacing w:before="280" w:after="120"/>
      </w:pPr>
      <w:r>
        <w:rPr>
          <w:rFonts w:ascii="Calibri" w:hAnsi="Calibri"/>
          <w:b/>
          <w:color w:val="1AAFCC"/>
          <w:sz w:val="26"/>
        </w:rPr>
        <w:t>8.1 Graph Structure</w:t>
      </w:r>
    </w:p>
    <w:p>
      <w:pPr>
        <w:spacing w:before="0" w:after="120"/>
      </w:pPr>
      <w:r>
        <w:rPr>
          <w:rFonts w:ascii="Calibri" w:hAnsi="Calibri"/>
          <w:color w:val="333333"/>
          <w:sz w:val="20"/>
        </w:rPr>
        <w:t>The cardiovascular knowledge graph (1,431 lines) serves as the domain ontology for the system, providing structured data across 7 categories and 320+ total entries:</w:t>
      </w:r>
    </w:p>
    <w:tbl>
      <w:tblPr>
        <w:tblW w:type="auto" w:w="0"/>
        <w:jc w:val="center"/>
        <w:tblLayout w:type="autofit"/>
        <w:tblLook w:firstColumn="1" w:firstRow="1" w:lastColumn="0" w:lastRow="0" w:noHBand="0" w:noVBand="1" w:val="04A0"/>
      </w:tblPr>
      <w:tblGrid>
        <w:gridCol w:w="3120"/>
        <w:gridCol w:w="3120"/>
        <w:gridCol w:w="3120"/>
      </w:tblGrid>
      <w:tr>
        <w:tc>
          <w:tcPr>
            <w:tcW w:type="dxa" w:w="3120"/>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Category</w:t>
            </w:r>
          </w:p>
        </w:tc>
        <w:tc>
          <w:tcPr>
            <w:tcW w:type="dxa" w:w="3120"/>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Entries</w:t>
            </w:r>
          </w:p>
        </w:tc>
        <w:tc>
          <w:tcPr>
            <w:tcW w:type="dxa" w:w="3120"/>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Key Fields</w:t>
            </w:r>
          </w:p>
        </w:tc>
      </w:tr>
      <w:tr>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Conditions</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45</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Aliases, ICD-10, prevalence, diagnostic criteria, genes, guidelines</w:t>
            </w:r>
          </w:p>
        </w:tc>
      </w:tr>
      <w:tr>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Biomarkers</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29</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LOINC codes, reference ranges, kinetics, guideline thresholds</w:t>
            </w:r>
          </w:p>
        </w:tc>
      </w:tr>
      <w:tr>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Drug Classes</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32</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Mechanisms, indications, contraindications, target doses, key trials</w:t>
            </w:r>
          </w:p>
        </w:tc>
      </w:tr>
      <w:tr>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Genes</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56</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Chromosome, function, conditions, inheritance, key variants</w:t>
            </w:r>
          </w:p>
        </w:tc>
      </w:tr>
      <w:tr>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Imaging Modalities</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27</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Protocols (12 echo, 7 CMR, 5 nuclear, 3 CT), measurements, reference values</w:t>
            </w:r>
          </w:p>
        </w:tc>
      </w:tr>
      <w:tr>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Guideline Recommendations</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63</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Class, evidence level, society, year, condition (across 20 guideline documents)</w:t>
            </w:r>
          </w:p>
        </w:tc>
      </w:tr>
      <w:tr>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Entity Aliases</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167</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Abbreviation-to-full-name mappings (18 synonym maps)</w:t>
            </w:r>
          </w:p>
        </w:tc>
      </w:tr>
    </w:tbl>
    <w:p>
      <w:pPr>
        <w:spacing w:before="40" w:after="80"/>
      </w:pPr>
    </w:p>
    <w:p>
      <w:pPr>
        <w:pStyle w:val="Heading2"/>
        <w:spacing w:before="280" w:after="120"/>
      </w:pPr>
      <w:r>
        <w:rPr>
          <w:rFonts w:ascii="Calibri" w:hAnsi="Calibri"/>
          <w:b/>
          <w:color w:val="1AAFCC"/>
          <w:sz w:val="26"/>
        </w:rPr>
        <w:t>8.2 Cross-Referencing</w:t>
      </w:r>
    </w:p>
    <w:p>
      <w:pPr>
        <w:spacing w:before="0" w:after="120"/>
      </w:pPr>
      <w:r>
        <w:rPr>
          <w:rFonts w:ascii="Calibri" w:hAnsi="Calibri"/>
          <w:color w:val="333333"/>
          <w:sz w:val="20"/>
        </w:rPr>
        <w:t>The knowledge graph enables rich cross-referencing:</w:t>
      </w:r>
    </w:p>
    <w:p>
      <w:pPr>
        <w:spacing w:before="40" w:after="40"/>
        <w:ind w:left="504" w:hanging="216"/>
      </w:pPr>
      <w:r>
        <w:rPr>
          <w:rFonts w:ascii="Calibri" w:hAnsi="Calibri"/>
          <w:color w:val="1AAFCC"/>
          <w:sz w:val="20"/>
        </w:rPr>
        <w:t xml:space="preserve">•  </w:t>
      </w:r>
      <w:r>
        <w:rPr>
          <w:rFonts w:ascii="Calibri" w:hAnsi="Calibri"/>
          <w:b/>
          <w:color w:val="333333"/>
          <w:sz w:val="20"/>
        </w:rPr>
        <w:t>Condition -&gt; Genes</w:t>
      </w:r>
      <w:r>
        <w:rPr>
          <w:rFonts w:ascii="Calibri" w:hAnsi="Calibri"/>
          <w:color w:val="333333"/>
          <w:sz w:val="20"/>
        </w:rPr>
        <w:t>: HCM maps to MYH7, MYBPC3, TNNT2, TNNI3, TPM1, ACTC1, MYL2, MYL3</w:t>
      </w:r>
    </w:p>
    <w:p>
      <w:pPr>
        <w:spacing w:before="40" w:after="40"/>
        <w:ind w:left="504" w:hanging="216"/>
      </w:pPr>
      <w:r>
        <w:rPr>
          <w:rFonts w:ascii="Calibri" w:hAnsi="Calibri"/>
          <w:color w:val="1AAFCC"/>
          <w:sz w:val="20"/>
        </w:rPr>
        <w:t xml:space="preserve">•  </w:t>
      </w:r>
      <w:r>
        <w:rPr>
          <w:rFonts w:ascii="Calibri" w:hAnsi="Calibri"/>
          <w:b/>
          <w:color w:val="333333"/>
          <w:sz w:val="20"/>
        </w:rPr>
        <w:t>Condition -&gt; Drug Classes</w:t>
      </w:r>
      <w:r>
        <w:rPr>
          <w:rFonts w:ascii="Calibri" w:hAnsi="Calibri"/>
          <w:color w:val="333333"/>
          <w:sz w:val="20"/>
        </w:rPr>
        <w:t>: HFrEF maps to beta_blockers, arni, mra, sglt2_inhibitors, loop_diuretics, hydralazine_isdn, ivabradine, digoxin</w:t>
      </w:r>
    </w:p>
    <w:p>
      <w:pPr>
        <w:spacing w:before="40" w:after="40"/>
        <w:ind w:left="504" w:hanging="216"/>
      </w:pPr>
      <w:r>
        <w:rPr>
          <w:rFonts w:ascii="Calibri" w:hAnsi="Calibri"/>
          <w:color w:val="1AAFCC"/>
          <w:sz w:val="20"/>
        </w:rPr>
        <w:t xml:space="preserve">•  </w:t>
      </w:r>
      <w:r>
        <w:rPr>
          <w:rFonts w:ascii="Calibri" w:hAnsi="Calibri"/>
          <w:b/>
          <w:color w:val="333333"/>
          <w:sz w:val="20"/>
        </w:rPr>
        <w:t>Condition -&gt; Imaging</w:t>
      </w:r>
      <w:r>
        <w:rPr>
          <w:rFonts w:ascii="Calibri" w:hAnsi="Calibri"/>
          <w:color w:val="333333"/>
          <w:sz w:val="20"/>
        </w:rPr>
        <w:t>: HCM maps to echocardiography, cardiac_mri, cardiac_ct</w:t>
      </w:r>
    </w:p>
    <w:p>
      <w:pPr>
        <w:spacing w:before="40" w:after="40"/>
        <w:ind w:left="504" w:hanging="216"/>
      </w:pPr>
      <w:r>
        <w:rPr>
          <w:rFonts w:ascii="Calibri" w:hAnsi="Calibri"/>
          <w:color w:val="1AAFCC"/>
          <w:sz w:val="20"/>
        </w:rPr>
        <w:t xml:space="preserve">•  </w:t>
      </w:r>
      <w:r>
        <w:rPr>
          <w:rFonts w:ascii="Calibri" w:hAnsi="Calibri"/>
          <w:b/>
          <w:color w:val="333333"/>
          <w:sz w:val="20"/>
        </w:rPr>
        <w:t>Imaging Finding -&gt; Gene Panel</w:t>
      </w:r>
      <w:r>
        <w:rPr>
          <w:rFonts w:ascii="Calibri" w:hAnsi="Calibri"/>
          <w:color w:val="333333"/>
          <w:sz w:val="20"/>
        </w:rPr>
        <w:t>: Unexplained LVH maps to HCM/Fabry/Danon gene panel</w:t>
      </w:r>
    </w:p>
    <w:p>
      <w:pPr>
        <w:spacing w:before="40" w:after="40"/>
        <w:ind w:left="504" w:hanging="216"/>
      </w:pPr>
      <w:r>
        <w:rPr>
          <w:rFonts w:ascii="Calibri" w:hAnsi="Calibri"/>
          <w:color w:val="1AAFCC"/>
          <w:sz w:val="20"/>
        </w:rPr>
        <w:t xml:space="preserve">•  </w:t>
      </w:r>
      <w:r>
        <w:rPr>
          <w:rFonts w:ascii="Calibri" w:hAnsi="Calibri"/>
          <w:b/>
          <w:color w:val="333333"/>
          <w:sz w:val="20"/>
        </w:rPr>
        <w:t>Drug -&gt; Key Trials</w:t>
      </w:r>
      <w:r>
        <w:rPr>
          <w:rFonts w:ascii="Calibri" w:hAnsi="Calibri"/>
          <w:color w:val="333333"/>
          <w:sz w:val="20"/>
        </w:rPr>
        <w:t>: Sacubitril/valsartan maps to PARADIGM-HF, PARAGON-HF</w:t>
      </w:r>
    </w:p>
    <w:p>
      <w:pPr>
        <w:spacing w:before="40" w:after="40"/>
        <w:ind w:left="504" w:hanging="216"/>
      </w:pPr>
      <w:r>
        <w:rPr>
          <w:rFonts w:ascii="Calibri" w:hAnsi="Calibri"/>
          <w:color w:val="1AAFCC"/>
          <w:sz w:val="20"/>
        </w:rPr>
        <w:t xml:space="preserve">•  </w:t>
      </w:r>
      <w:r>
        <w:rPr>
          <w:rFonts w:ascii="Calibri" w:hAnsi="Calibri"/>
          <w:b/>
          <w:color w:val="333333"/>
          <w:sz w:val="20"/>
        </w:rPr>
        <w:t>Drug -&gt; Monitoring</w:t>
      </w:r>
      <w:r>
        <w:rPr>
          <w:rFonts w:ascii="Calibri" w:hAnsi="Calibri"/>
          <w:color w:val="333333"/>
          <w:sz w:val="20"/>
        </w:rPr>
        <w:t>: MRA maps to potassium (1 week, 4 weeks, then quarterly), creatinine, gynecomastia</w:t>
      </w:r>
    </w:p>
    <w:p>
      <w:pPr>
        <w:pStyle w:val="Heading2"/>
        <w:spacing w:before="280" w:after="120"/>
      </w:pPr>
      <w:r>
        <w:rPr>
          <w:rFonts w:ascii="Calibri" w:hAnsi="Calibri"/>
          <w:b/>
          <w:color w:val="1AAFCC"/>
          <w:sz w:val="26"/>
        </w:rPr>
        <w:t>8.3 Entity Resolution</w:t>
      </w:r>
    </w:p>
    <w:p>
      <w:pPr>
        <w:spacing w:before="0" w:after="120"/>
      </w:pPr>
      <w:r>
        <w:rPr>
          <w:rFonts w:ascii="Calibri" w:hAnsi="Calibri"/>
          <w:color w:val="333333"/>
          <w:sz w:val="20"/>
        </w:rPr>
        <w:t>The 167 entity alias entries enable robust entity resolution during query expansion. For example, the query "What is the recommended anticoagulation for a patient with AF and CHA2DS2-VASc of 3?" triggers the following resolutions:</w:t>
      </w:r>
    </w:p>
    <w:p>
      <w:pPr>
        <w:spacing w:before="40" w:after="40"/>
        <w:ind w:left="504" w:hanging="216"/>
      </w:pPr>
      <w:r>
        <w:rPr>
          <w:rFonts w:ascii="Calibri" w:hAnsi="Calibri"/>
          <w:color w:val="1AAFCC"/>
          <w:sz w:val="20"/>
        </w:rPr>
        <w:t xml:space="preserve">•  </w:t>
      </w:r>
      <w:r>
        <w:rPr>
          <w:rFonts w:ascii="Calibri" w:hAnsi="Calibri"/>
          <w:color w:val="333333"/>
          <w:sz w:val="20"/>
        </w:rPr>
        <w:t>"AF" -&gt; "atrial fibrillation"</w:t>
      </w:r>
    </w:p>
    <w:p>
      <w:pPr>
        <w:spacing w:before="40" w:after="40"/>
        <w:ind w:left="504" w:hanging="216"/>
      </w:pPr>
      <w:r>
        <w:rPr>
          <w:rFonts w:ascii="Calibri" w:hAnsi="Calibri"/>
          <w:color w:val="1AAFCC"/>
          <w:sz w:val="20"/>
        </w:rPr>
        <w:t xml:space="preserve">•  </w:t>
      </w:r>
      <w:r>
        <w:rPr>
          <w:rFonts w:ascii="Calibri" w:hAnsi="Calibri"/>
          <w:color w:val="333333"/>
          <w:sz w:val="20"/>
        </w:rPr>
        <w:t>"CHA2DS2-VASc" -&gt; recognized as risk score type</w:t>
      </w:r>
    </w:p>
    <w:p>
      <w:pPr>
        <w:spacing w:before="40" w:after="40"/>
        <w:ind w:left="504" w:hanging="216"/>
      </w:pPr>
      <w:r>
        <w:rPr>
          <w:rFonts w:ascii="Calibri" w:hAnsi="Calibri"/>
          <w:color w:val="1AAFCC"/>
          <w:sz w:val="20"/>
        </w:rPr>
        <w:t xml:space="preserve">•  </w:t>
      </w:r>
      <w:r>
        <w:rPr>
          <w:rFonts w:ascii="Calibri" w:hAnsi="Calibri"/>
          <w:color w:val="333333"/>
          <w:sz w:val="20"/>
        </w:rPr>
        <w:t>"anticoagulation" -&gt; maps to drug classes: doacs, warfarin</w:t>
      </w:r>
    </w:p>
    <w:p>
      <w:pPr>
        <w:spacing w:before="80" w:after="80"/>
        <w:pBdr>
          <w:bottom w:val="single" w:sz="6" w:color="1AAFCC"/>
        </w:pBdr>
      </w:pPr>
    </w:p>
    <w:p>
      <w:pPr>
        <w:pStyle w:val="Heading1"/>
        <w:spacing w:before="400" w:after="160"/>
      </w:pPr>
      <w:r>
        <w:rPr>
          <w:rFonts w:ascii="Calibri" w:hAnsi="Calibri"/>
          <w:b/>
          <w:color w:val="1B2333"/>
          <w:sz w:val="32"/>
        </w:rPr>
        <w:t>9. Clinical Validation Approach</w:t>
      </w:r>
    </w:p>
    <w:p>
      <w:pPr>
        <w:pStyle w:val="Heading2"/>
        <w:spacing w:before="280" w:after="120"/>
      </w:pPr>
      <w:r>
        <w:rPr>
          <w:rFonts w:ascii="Calibri" w:hAnsi="Calibri"/>
          <w:b/>
          <w:color w:val="1AAFCC"/>
          <w:sz w:val="26"/>
        </w:rPr>
        <w:t>9.1 Validation Strategy</w:t>
      </w:r>
    </w:p>
    <w:p>
      <w:pPr>
        <w:spacing w:before="0" w:after="120"/>
      </w:pPr>
      <w:r>
        <w:rPr>
          <w:rFonts w:ascii="Calibri" w:hAnsi="Calibri"/>
          <w:color w:val="333333"/>
          <w:sz w:val="20"/>
        </w:rPr>
        <w:t>Clinical validation of the Cardiology Intelligence Agent follows a three-phase approach:</w:t>
      </w:r>
    </w:p>
    <w:p>
      <w:pPr>
        <w:spacing w:before="0" w:after="120"/>
      </w:pPr>
      <w:r>
        <w:rPr>
          <w:rFonts w:ascii="Calibri" w:hAnsi="Calibri"/>
          <w:b/>
          <w:color w:val="333333"/>
          <w:sz w:val="20"/>
        </w:rPr>
        <w:t>Phase 1: Calculator Validation</w:t>
      </w:r>
    </w:p>
    <w:p>
      <w:pPr>
        <w:spacing w:before="40" w:after="40"/>
        <w:ind w:left="504" w:hanging="216"/>
      </w:pPr>
      <w:r>
        <w:rPr>
          <w:rFonts w:ascii="Calibri" w:hAnsi="Calibri"/>
          <w:color w:val="1AAFCC"/>
          <w:sz w:val="20"/>
        </w:rPr>
        <w:t xml:space="preserve">•  </w:t>
      </w:r>
      <w:r>
        <w:rPr>
          <w:rFonts w:ascii="Calibri" w:hAnsi="Calibri"/>
          <w:color w:val="333333"/>
          <w:sz w:val="20"/>
        </w:rPr>
        <w:t>Each risk calculator is validated against published example calculations from source papers</w:t>
      </w:r>
    </w:p>
    <w:p>
      <w:pPr>
        <w:spacing w:before="40" w:after="40"/>
        <w:ind w:left="504" w:hanging="216"/>
      </w:pPr>
      <w:r>
        <w:rPr>
          <w:rFonts w:ascii="Calibri" w:hAnsi="Calibri"/>
          <w:color w:val="1AAFCC"/>
          <w:sz w:val="20"/>
        </w:rPr>
        <w:t xml:space="preserve">•  </w:t>
      </w:r>
      <w:r>
        <w:rPr>
          <w:rFonts w:ascii="Calibri" w:hAnsi="Calibri"/>
          <w:color w:val="333333"/>
          <w:sz w:val="20"/>
        </w:rPr>
        <w:t>ASCVD PCE: validated against ACC ASCVD Risk Estimator Plus</w:t>
      </w:r>
    </w:p>
    <w:p>
      <w:pPr>
        <w:spacing w:before="40" w:after="40"/>
        <w:ind w:left="504" w:hanging="216"/>
      </w:pPr>
      <w:r>
        <w:rPr>
          <w:rFonts w:ascii="Calibri" w:hAnsi="Calibri"/>
          <w:color w:val="1AAFCC"/>
          <w:sz w:val="20"/>
        </w:rPr>
        <w:t xml:space="preserve">•  </w:t>
      </w:r>
      <w:r>
        <w:rPr>
          <w:rFonts w:ascii="Calibri" w:hAnsi="Calibri"/>
          <w:color w:val="333333"/>
          <w:sz w:val="20"/>
        </w:rPr>
        <w:t>CHA2DS2-VASc/HAS-BLED: validated against MDCalc reference implementations</w:t>
      </w:r>
    </w:p>
    <w:p>
      <w:pPr>
        <w:spacing w:before="40" w:after="40"/>
        <w:ind w:left="504" w:hanging="216"/>
      </w:pPr>
      <w:r>
        <w:rPr>
          <w:rFonts w:ascii="Calibri" w:hAnsi="Calibri"/>
          <w:color w:val="1AAFCC"/>
          <w:sz w:val="20"/>
        </w:rPr>
        <w:t xml:space="preserve">•  </w:t>
      </w:r>
      <w:r>
        <w:rPr>
          <w:rFonts w:ascii="Calibri" w:hAnsi="Calibri"/>
          <w:color w:val="333333"/>
          <w:sz w:val="20"/>
        </w:rPr>
        <w:t>MAGGIC: validated against published score-to-mortality lookup tables</w:t>
      </w:r>
    </w:p>
    <w:p>
      <w:pPr>
        <w:spacing w:before="40" w:after="40"/>
        <w:ind w:left="504" w:hanging="216"/>
      </w:pPr>
      <w:r>
        <w:rPr>
          <w:rFonts w:ascii="Calibri" w:hAnsi="Calibri"/>
          <w:color w:val="1AAFCC"/>
          <w:sz w:val="20"/>
        </w:rPr>
        <w:t xml:space="preserve">•  </w:t>
      </w:r>
      <w:r>
        <w:rPr>
          <w:rFonts w:ascii="Calibri" w:hAnsi="Calibri"/>
          <w:color w:val="333333"/>
          <w:sz w:val="20"/>
        </w:rPr>
        <w:t>EuroSCORE II: validated against euroscore.org calculator</w:t>
      </w:r>
    </w:p>
    <w:p>
      <w:pPr>
        <w:spacing w:before="0" w:after="120"/>
      </w:pPr>
      <w:r>
        <w:rPr>
          <w:rFonts w:ascii="Calibri" w:hAnsi="Calibri"/>
          <w:b/>
          <w:color w:val="333333"/>
          <w:sz w:val="20"/>
        </w:rPr>
        <w:t>Phase 2: GDMT Optimization Validation</w:t>
      </w:r>
    </w:p>
    <w:p>
      <w:pPr>
        <w:spacing w:before="40" w:after="40"/>
        <w:ind w:left="504" w:hanging="216"/>
      </w:pPr>
      <w:r>
        <w:rPr>
          <w:rFonts w:ascii="Calibri" w:hAnsi="Calibri"/>
          <w:color w:val="1AAFCC"/>
          <w:sz w:val="20"/>
        </w:rPr>
        <w:t xml:space="preserve">•  </w:t>
      </w:r>
      <w:r>
        <w:rPr>
          <w:rFonts w:ascii="Calibri" w:hAnsi="Calibri"/>
          <w:color w:val="333333"/>
          <w:sz w:val="20"/>
        </w:rPr>
        <w:t>GDMT recommendations validated against ACC/AHA 2022 HF guideline decision algorithms</w:t>
      </w:r>
    </w:p>
    <w:p>
      <w:pPr>
        <w:spacing w:before="40" w:after="40"/>
        <w:ind w:left="504" w:hanging="216"/>
      </w:pPr>
      <w:r>
        <w:rPr>
          <w:rFonts w:ascii="Calibri" w:hAnsi="Calibri"/>
          <w:color w:val="1AAFCC"/>
          <w:sz w:val="20"/>
        </w:rPr>
        <w:t xml:space="preserve">•  </w:t>
      </w:r>
      <w:r>
        <w:rPr>
          <w:rFonts w:ascii="Calibri" w:hAnsi="Calibri"/>
          <w:color w:val="333333"/>
          <w:sz w:val="20"/>
        </w:rPr>
        <w:t>Contraindication checking validated against published criteria</w:t>
      </w:r>
    </w:p>
    <w:p>
      <w:pPr>
        <w:spacing w:before="40" w:after="40"/>
        <w:ind w:left="504" w:hanging="216"/>
      </w:pPr>
      <w:r>
        <w:rPr>
          <w:rFonts w:ascii="Calibri" w:hAnsi="Calibri"/>
          <w:color w:val="1AAFCC"/>
          <w:sz w:val="20"/>
        </w:rPr>
        <w:t xml:space="preserve">•  </w:t>
      </w:r>
      <w:r>
        <w:rPr>
          <w:rFonts w:ascii="Calibri" w:hAnsi="Calibri"/>
          <w:color w:val="333333"/>
          <w:sz w:val="20"/>
        </w:rPr>
        <w:t>Titration sequences validated against published uptitration protocols</w:t>
      </w:r>
    </w:p>
    <w:p>
      <w:pPr>
        <w:spacing w:before="40" w:after="40"/>
        <w:ind w:left="504" w:hanging="216"/>
      </w:pPr>
      <w:r>
        <w:rPr>
          <w:rFonts w:ascii="Calibri" w:hAnsi="Calibri"/>
          <w:color w:val="1AAFCC"/>
          <w:sz w:val="20"/>
        </w:rPr>
        <w:t xml:space="preserve">•  </w:t>
      </w:r>
      <w:r>
        <w:rPr>
          <w:rFonts w:ascii="Calibri" w:hAnsi="Calibri"/>
          <w:color w:val="333333"/>
          <w:sz w:val="20"/>
        </w:rPr>
        <w:t>Edge cases (renal impairment, hyperkalemia, hypotension) validated against expert consensus</w:t>
      </w:r>
    </w:p>
    <w:p>
      <w:pPr>
        <w:spacing w:before="0" w:after="120"/>
      </w:pPr>
      <w:r>
        <w:rPr>
          <w:rFonts w:ascii="Calibri" w:hAnsi="Calibri"/>
          <w:b/>
          <w:color w:val="333333"/>
          <w:sz w:val="20"/>
        </w:rPr>
        <w:t>Phase 3: RAG Quality Validation</w:t>
      </w:r>
    </w:p>
    <w:p>
      <w:pPr>
        <w:spacing w:before="40" w:after="40"/>
        <w:ind w:left="504" w:hanging="216"/>
      </w:pPr>
      <w:r>
        <w:rPr>
          <w:rFonts w:ascii="Calibri" w:hAnsi="Calibri"/>
          <w:color w:val="1AAFCC"/>
          <w:sz w:val="20"/>
        </w:rPr>
        <w:t xml:space="preserve">•  </w:t>
      </w:r>
      <w:r>
        <w:rPr>
          <w:rFonts w:ascii="Calibri" w:hAnsi="Calibri"/>
          <w:color w:val="333333"/>
          <w:sz w:val="20"/>
        </w:rPr>
        <w:t>Clinical vignette testing across all 11 workflows</w:t>
      </w:r>
    </w:p>
    <w:p>
      <w:pPr>
        <w:spacing w:before="40" w:after="40"/>
        <w:ind w:left="504" w:hanging="216"/>
      </w:pPr>
      <w:r>
        <w:rPr>
          <w:rFonts w:ascii="Calibri" w:hAnsi="Calibri"/>
          <w:color w:val="1AAFCC"/>
          <w:sz w:val="20"/>
        </w:rPr>
        <w:t xml:space="preserve">•  </w:t>
      </w:r>
      <w:r>
        <w:rPr>
          <w:rFonts w:ascii="Calibri" w:hAnsi="Calibri"/>
          <w:color w:val="333333"/>
          <w:sz w:val="20"/>
        </w:rPr>
        <w:t>Citation accuracy assessment (does the cited source support the claim?)</w:t>
      </w:r>
    </w:p>
    <w:p>
      <w:pPr>
        <w:spacing w:before="40" w:after="40"/>
        <w:ind w:left="504" w:hanging="216"/>
      </w:pPr>
      <w:r>
        <w:rPr>
          <w:rFonts w:ascii="Calibri" w:hAnsi="Calibri"/>
          <w:color w:val="1AAFCC"/>
          <w:sz w:val="20"/>
        </w:rPr>
        <w:t xml:space="preserve">•  </w:t>
      </w:r>
      <w:r>
        <w:rPr>
          <w:rFonts w:ascii="Calibri" w:hAnsi="Calibri"/>
          <w:color w:val="333333"/>
          <w:sz w:val="20"/>
        </w:rPr>
        <w:t>Hallucination detection (does the response contain unsupported statements?)</w:t>
      </w:r>
    </w:p>
    <w:p>
      <w:pPr>
        <w:spacing w:before="40" w:after="40"/>
        <w:ind w:left="504" w:hanging="216"/>
      </w:pPr>
      <w:r>
        <w:rPr>
          <w:rFonts w:ascii="Calibri" w:hAnsi="Calibri"/>
          <w:color w:val="1AAFCC"/>
          <w:sz w:val="20"/>
        </w:rPr>
        <w:t xml:space="preserve">•  </w:t>
      </w:r>
      <w:r>
        <w:rPr>
          <w:rFonts w:ascii="Calibri" w:hAnsi="Calibri"/>
          <w:color w:val="333333"/>
          <w:sz w:val="20"/>
        </w:rPr>
        <w:t>Guideline concordance (does the recommendation align with current ACC/AHA/ESC guidelines?)</w:t>
      </w:r>
    </w:p>
    <w:p>
      <w:pPr>
        <w:pStyle w:val="Heading2"/>
        <w:spacing w:before="280" w:after="120"/>
      </w:pPr>
      <w:r>
        <w:rPr>
          <w:rFonts w:ascii="Calibri" w:hAnsi="Calibri"/>
          <w:b/>
          <w:color w:val="1AAFCC"/>
          <w:sz w:val="26"/>
        </w:rPr>
        <w:t>9.2 Safety Guardrails</w:t>
      </w:r>
    </w:p>
    <w:p>
      <w:pPr>
        <w:spacing w:before="0" w:after="120"/>
      </w:pPr>
      <w:r>
        <w:rPr>
          <w:rFonts w:ascii="Calibri" w:hAnsi="Calibri"/>
          <w:color w:val="333333"/>
          <w:sz w:val="20"/>
        </w:rPr>
        <w:t>The system implements multiple safety measures:</w:t>
      </w:r>
    </w:p>
    <w:p>
      <w:pPr>
        <w:spacing w:before="40" w:after="40"/>
        <w:ind w:left="504" w:hanging="288"/>
      </w:pPr>
      <w:r>
        <w:rPr>
          <w:rFonts w:ascii="Calibri" w:hAnsi="Calibri"/>
          <w:b/>
          <w:color w:val="333333"/>
          <w:sz w:val="20"/>
        </w:rPr>
        <w:t xml:space="preserve">1.  </w:t>
      </w:r>
      <w:r>
        <w:rPr>
          <w:rFonts w:ascii="Calibri" w:hAnsi="Calibri"/>
          <w:b/>
          <w:color w:val="333333"/>
          <w:sz w:val="20"/>
        </w:rPr>
        <w:t>Disclaimer</w:t>
      </w:r>
      <w:r>
        <w:rPr>
          <w:rFonts w:ascii="Calibri" w:hAnsi="Calibri"/>
          <w:color w:val="333333"/>
          <w:sz w:val="20"/>
        </w:rPr>
        <w:t>: All outputs include a clinical disclaimer noting that the system is a decision support tool and does not replace clinical judgment</w:t>
      </w:r>
    </w:p>
    <w:p>
      <w:pPr>
        <w:spacing w:before="40" w:after="40"/>
        <w:ind w:left="504" w:hanging="288"/>
      </w:pPr>
      <w:r>
        <w:rPr>
          <w:rFonts w:ascii="Calibri" w:hAnsi="Calibri"/>
          <w:b/>
          <w:color w:val="333333"/>
          <w:sz w:val="20"/>
        </w:rPr>
        <w:t xml:space="preserve">2.  </w:t>
      </w:r>
      <w:r>
        <w:rPr>
          <w:rFonts w:ascii="Calibri" w:hAnsi="Calibri"/>
          <w:b/>
          <w:color w:val="333333"/>
          <w:sz w:val="20"/>
        </w:rPr>
        <w:t>Confidence scoring</w:t>
      </w:r>
      <w:r>
        <w:rPr>
          <w:rFonts w:ascii="Calibri" w:hAnsi="Calibri"/>
          <w:color w:val="333333"/>
          <w:sz w:val="20"/>
        </w:rPr>
        <w:t>: Each response includes a confidence score (0.0-1.0) based on citation quality and coverage</w:t>
      </w:r>
    </w:p>
    <w:p>
      <w:pPr>
        <w:spacing w:before="40" w:after="40"/>
        <w:ind w:left="504" w:hanging="288"/>
      </w:pPr>
      <w:r>
        <w:rPr>
          <w:rFonts w:ascii="Calibri" w:hAnsi="Calibri"/>
          <w:b/>
          <w:color w:val="333333"/>
          <w:sz w:val="20"/>
        </w:rPr>
        <w:t xml:space="preserve">3.  </w:t>
      </w:r>
      <w:r>
        <w:rPr>
          <w:rFonts w:ascii="Calibri" w:hAnsi="Calibri"/>
          <w:b/>
          <w:color w:val="333333"/>
          <w:sz w:val="20"/>
        </w:rPr>
        <w:t>Citation provenance</w:t>
      </w:r>
      <w:r>
        <w:rPr>
          <w:rFonts w:ascii="Calibri" w:hAnsi="Calibri"/>
          <w:color w:val="333333"/>
          <w:sz w:val="20"/>
        </w:rPr>
        <w:t>: Every clinical claim traces to a specific source with similarity score</w:t>
      </w:r>
    </w:p>
    <w:p>
      <w:pPr>
        <w:spacing w:before="40" w:after="40"/>
        <w:ind w:left="504" w:hanging="288"/>
      </w:pPr>
      <w:r>
        <w:rPr>
          <w:rFonts w:ascii="Calibri" w:hAnsi="Calibri"/>
          <w:b/>
          <w:color w:val="333333"/>
          <w:sz w:val="20"/>
        </w:rPr>
        <w:t xml:space="preserve">4.  </w:t>
      </w:r>
      <w:r>
        <w:rPr>
          <w:rFonts w:ascii="Calibri" w:hAnsi="Calibri"/>
          <w:b/>
          <w:color w:val="333333"/>
          <w:sz w:val="20"/>
        </w:rPr>
        <w:t>Risk score validation</w:t>
      </w:r>
      <w:r>
        <w:rPr>
          <w:rFonts w:ascii="Calibri" w:hAnsi="Calibri"/>
          <w:color w:val="333333"/>
          <w:sz w:val="20"/>
        </w:rPr>
        <w:t>: Input parameters are validated with clinical range checks (e.g., age 18-120, SBP 60-300)</w:t>
      </w:r>
    </w:p>
    <w:p>
      <w:pPr>
        <w:spacing w:before="40" w:after="40"/>
        <w:ind w:left="504" w:hanging="288"/>
      </w:pPr>
      <w:r>
        <w:rPr>
          <w:rFonts w:ascii="Calibri" w:hAnsi="Calibri"/>
          <w:b/>
          <w:color w:val="333333"/>
          <w:sz w:val="20"/>
        </w:rPr>
        <w:t xml:space="preserve">5.  </w:t>
      </w:r>
      <w:r>
        <w:rPr>
          <w:rFonts w:ascii="Calibri" w:hAnsi="Calibri"/>
          <w:b/>
          <w:color w:val="333333"/>
          <w:sz w:val="20"/>
        </w:rPr>
        <w:t>Contraindication flagging</w:t>
      </w:r>
      <w:r>
        <w:rPr>
          <w:rFonts w:ascii="Calibri" w:hAnsi="Calibri"/>
          <w:color w:val="333333"/>
          <w:sz w:val="20"/>
        </w:rPr>
        <w:t>: GDMT optimizer flags all active contraindications before making recommendations</w:t>
      </w:r>
    </w:p>
    <w:p>
      <w:pPr>
        <w:spacing w:before="80" w:after="80"/>
        <w:pBdr>
          <w:bottom w:val="single" w:sz="6" w:color="1AAFCC"/>
        </w:pBdr>
      </w:pPr>
    </w:p>
    <w:p>
      <w:pPr>
        <w:pStyle w:val="Heading1"/>
        <w:spacing w:before="400" w:after="160"/>
      </w:pPr>
      <w:r>
        <w:rPr>
          <w:rFonts w:ascii="Calibri" w:hAnsi="Calibri"/>
          <w:b/>
          <w:color w:val="1B2333"/>
          <w:sz w:val="32"/>
        </w:rPr>
        <w:t>10. Comparison with Existing Solutions</w:t>
      </w:r>
    </w:p>
    <w:tbl>
      <w:tblPr>
        <w:tblW w:type="auto" w:w="0"/>
        <w:jc w:val="center"/>
        <w:tblLayout w:type="autofit"/>
        <w:tblLook w:firstColumn="1" w:firstRow="1" w:lastColumn="0" w:lastRow="0" w:noHBand="0" w:noVBand="1" w:val="04A0"/>
      </w:tblPr>
      <w:tblGrid>
        <w:gridCol w:w="1560"/>
        <w:gridCol w:w="1560"/>
        <w:gridCol w:w="1560"/>
        <w:gridCol w:w="1560"/>
        <w:gridCol w:w="1560"/>
        <w:gridCol w:w="1560"/>
      </w:tblGrid>
      <w:tr>
        <w:tc>
          <w:tcPr>
            <w:tcW w:type="dxa" w:w="1560"/>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Feature</w:t>
            </w:r>
          </w:p>
        </w:tc>
        <w:tc>
          <w:tcPr>
            <w:tcW w:type="dxa" w:w="1560"/>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Cardio Agent</w:t>
            </w:r>
          </w:p>
        </w:tc>
        <w:tc>
          <w:tcPr>
            <w:tcW w:type="dxa" w:w="1560"/>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PubMed</w:t>
            </w:r>
          </w:p>
        </w:tc>
        <w:tc>
          <w:tcPr>
            <w:tcW w:type="dxa" w:w="1560"/>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UpToDate</w:t>
            </w:r>
          </w:p>
        </w:tc>
        <w:tc>
          <w:tcPr>
            <w:tcW w:type="dxa" w:w="1560"/>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Commercial CVIS</w:t>
            </w:r>
          </w:p>
        </w:tc>
        <w:tc>
          <w:tcPr>
            <w:tcW w:type="dxa" w:w="1560"/>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General AI</w:t>
            </w:r>
          </w:p>
        </w:tc>
      </w:tr>
      <w:tr>
        <w:tc>
          <w:tcPr>
            <w:tcW w:type="dxa" w:w="156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Multi-collection RAG</w:t>
            </w:r>
          </w:p>
        </w:tc>
        <w:tc>
          <w:tcPr>
            <w:tcW w:type="dxa" w:w="156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13 collections</w:t>
            </w:r>
          </w:p>
        </w:tc>
        <w:tc>
          <w:tcPr>
            <w:tcW w:type="dxa" w:w="156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N/A</w:t>
            </w:r>
          </w:p>
        </w:tc>
        <w:tc>
          <w:tcPr>
            <w:tcW w:type="dxa" w:w="156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N/A</w:t>
            </w:r>
          </w:p>
        </w:tc>
        <w:tc>
          <w:tcPr>
            <w:tcW w:type="dxa" w:w="156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N/A</w:t>
            </w:r>
          </w:p>
        </w:tc>
        <w:tc>
          <w:tcPr>
            <w:tcW w:type="dxa" w:w="156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N/A</w:t>
            </w:r>
          </w:p>
        </w:tc>
      </w:tr>
      <w:tr>
        <w:tc>
          <w:tcPr>
            <w:tcW w:type="dxa" w:w="156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Risk calculators</w:t>
            </w:r>
          </w:p>
        </w:tc>
        <w:tc>
          <w:tcPr>
            <w:tcW w:type="dxa" w:w="156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6 validated</w:t>
            </w:r>
          </w:p>
        </w:tc>
        <w:tc>
          <w:tcPr>
            <w:tcW w:type="dxa" w:w="156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None</w:t>
            </w:r>
          </w:p>
        </w:tc>
        <w:tc>
          <w:tcPr>
            <w:tcW w:type="dxa" w:w="156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Links out</w:t>
            </w:r>
          </w:p>
        </w:tc>
        <w:tc>
          <w:tcPr>
            <w:tcW w:type="dxa" w:w="156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Limited</w:t>
            </w:r>
          </w:p>
        </w:tc>
        <w:tc>
          <w:tcPr>
            <w:tcW w:type="dxa" w:w="156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Unreliable</w:t>
            </w:r>
          </w:p>
        </w:tc>
      </w:tr>
      <w:tr>
        <w:tc>
          <w:tcPr>
            <w:tcW w:type="dxa" w:w="156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GDMT optimization</w:t>
            </w:r>
          </w:p>
        </w:tc>
        <w:tc>
          <w:tcPr>
            <w:tcW w:type="dxa" w:w="156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4-pillar with titration</w:t>
            </w:r>
          </w:p>
        </w:tc>
        <w:tc>
          <w:tcPr>
            <w:tcW w:type="dxa" w:w="156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None</w:t>
            </w:r>
          </w:p>
        </w:tc>
        <w:tc>
          <w:tcPr>
            <w:tcW w:type="dxa" w:w="156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Reference only</w:t>
            </w:r>
          </w:p>
        </w:tc>
        <w:tc>
          <w:tcPr>
            <w:tcW w:type="dxa" w:w="156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None</w:t>
            </w:r>
          </w:p>
        </w:tc>
        <w:tc>
          <w:tcPr>
            <w:tcW w:type="dxa" w:w="156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Not validated</w:t>
            </w:r>
          </w:p>
        </w:tc>
      </w:tr>
      <w:tr>
        <w:tc>
          <w:tcPr>
            <w:tcW w:type="dxa" w:w="156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Cross-modal triggers</w:t>
            </w:r>
          </w:p>
        </w:tc>
        <w:tc>
          <w:tcPr>
            <w:tcW w:type="dxa" w:w="156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18 imaging-genomic</w:t>
            </w:r>
          </w:p>
        </w:tc>
        <w:tc>
          <w:tcPr>
            <w:tcW w:type="dxa" w:w="156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None</w:t>
            </w:r>
          </w:p>
        </w:tc>
        <w:tc>
          <w:tcPr>
            <w:tcW w:type="dxa" w:w="156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None</w:t>
            </w:r>
          </w:p>
        </w:tc>
        <w:tc>
          <w:tcPr>
            <w:tcW w:type="dxa" w:w="156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None</w:t>
            </w:r>
          </w:p>
        </w:tc>
        <w:tc>
          <w:tcPr>
            <w:tcW w:type="dxa" w:w="156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None</w:t>
            </w:r>
          </w:p>
        </w:tc>
      </w:tr>
      <w:tr>
        <w:tc>
          <w:tcPr>
            <w:tcW w:type="dxa" w:w="156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Guideline-grounded</w:t>
            </w:r>
          </w:p>
        </w:tc>
        <w:tc>
          <w:tcPr>
            <w:tcW w:type="dxa" w:w="156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63 structured recs</w:t>
            </w:r>
          </w:p>
        </w:tc>
        <w:tc>
          <w:tcPr>
            <w:tcW w:type="dxa" w:w="156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Manual search</w:t>
            </w:r>
          </w:p>
        </w:tc>
        <w:tc>
          <w:tcPr>
            <w:tcW w:type="dxa" w:w="156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Curated</w:t>
            </w:r>
          </w:p>
        </w:tc>
        <w:tc>
          <w:tcPr>
            <w:tcW w:type="dxa" w:w="156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Partial</w:t>
            </w:r>
          </w:p>
        </w:tc>
        <w:tc>
          <w:tcPr>
            <w:tcW w:type="dxa" w:w="156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Hallucination risk</w:t>
            </w:r>
          </w:p>
        </w:tc>
      </w:tr>
      <w:tr>
        <w:tc>
          <w:tcPr>
            <w:tcW w:type="dxa" w:w="156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Genomic integration</w:t>
            </w:r>
          </w:p>
        </w:tc>
        <w:tc>
          <w:tcPr>
            <w:tcW w:type="dxa" w:w="156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3.5M variants</w:t>
            </w:r>
          </w:p>
        </w:tc>
        <w:tc>
          <w:tcPr>
            <w:tcW w:type="dxa" w:w="156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None</w:t>
            </w:r>
          </w:p>
        </w:tc>
        <w:tc>
          <w:tcPr>
            <w:tcW w:type="dxa" w:w="156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None</w:t>
            </w:r>
          </w:p>
        </w:tc>
        <w:tc>
          <w:tcPr>
            <w:tcW w:type="dxa" w:w="156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None</w:t>
            </w:r>
          </w:p>
        </w:tc>
        <w:tc>
          <w:tcPr>
            <w:tcW w:type="dxa" w:w="156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None</w:t>
            </w:r>
          </w:p>
        </w:tc>
      </w:tr>
      <w:tr>
        <w:tc>
          <w:tcPr>
            <w:tcW w:type="dxa" w:w="156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Cost</w:t>
            </w:r>
          </w:p>
        </w:tc>
        <w:tc>
          <w:tcPr>
            <w:tcW w:type="dxa" w:w="156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$3,999 (DGX Spark)</w:t>
            </w:r>
          </w:p>
        </w:tc>
        <w:tc>
          <w:tcPr>
            <w:tcW w:type="dxa" w:w="156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Free</w:t>
            </w:r>
          </w:p>
        </w:tc>
        <w:tc>
          <w:tcPr>
            <w:tcW w:type="dxa" w:w="156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$500/yr/user</w:t>
            </w:r>
          </w:p>
        </w:tc>
        <w:tc>
          <w:tcPr>
            <w:tcW w:type="dxa" w:w="156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$500K-$2M</w:t>
            </w:r>
          </w:p>
        </w:tc>
        <w:tc>
          <w:tcPr>
            <w:tcW w:type="dxa" w:w="156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$20/mo</w:t>
            </w:r>
          </w:p>
        </w:tc>
      </w:tr>
      <w:tr>
        <w:tc>
          <w:tcPr>
            <w:tcW w:type="dxa" w:w="156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On-premises</w:t>
            </w:r>
          </w:p>
        </w:tc>
        <w:tc>
          <w:tcPr>
            <w:tcW w:type="dxa" w:w="156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Yes</w:t>
            </w:r>
          </w:p>
        </w:tc>
        <w:tc>
          <w:tcPr>
            <w:tcW w:type="dxa" w:w="156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No</w:t>
            </w:r>
          </w:p>
        </w:tc>
        <w:tc>
          <w:tcPr>
            <w:tcW w:type="dxa" w:w="156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No</w:t>
            </w:r>
          </w:p>
        </w:tc>
        <w:tc>
          <w:tcPr>
            <w:tcW w:type="dxa" w:w="156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Yes</w:t>
            </w:r>
          </w:p>
        </w:tc>
        <w:tc>
          <w:tcPr>
            <w:tcW w:type="dxa" w:w="156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No</w:t>
            </w:r>
          </w:p>
        </w:tc>
      </w:tr>
      <w:tr>
        <w:tc>
          <w:tcPr>
            <w:tcW w:type="dxa" w:w="156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Citation provenance</w:t>
            </w:r>
          </w:p>
        </w:tc>
        <w:tc>
          <w:tcPr>
            <w:tcW w:type="dxa" w:w="156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Per-claim</w:t>
            </w:r>
          </w:p>
        </w:tc>
        <w:tc>
          <w:tcPr>
            <w:tcW w:type="dxa" w:w="156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Per-paper</w:t>
            </w:r>
          </w:p>
        </w:tc>
        <w:tc>
          <w:tcPr>
            <w:tcW w:type="dxa" w:w="156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Per-topic</w:t>
            </w:r>
          </w:p>
        </w:tc>
        <w:tc>
          <w:tcPr>
            <w:tcW w:type="dxa" w:w="156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N/A</w:t>
            </w:r>
          </w:p>
        </w:tc>
        <w:tc>
          <w:tcPr>
            <w:tcW w:type="dxa" w:w="156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None</w:t>
            </w:r>
          </w:p>
        </w:tc>
      </w:tr>
      <w:tr>
        <w:tc>
          <w:tcPr>
            <w:tcW w:type="dxa" w:w="156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Knowledge graph</w:t>
            </w:r>
          </w:p>
        </w:tc>
        <w:tc>
          <w:tcPr>
            <w:tcW w:type="dxa" w:w="156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450+ structured entries</w:t>
            </w:r>
          </w:p>
        </w:tc>
        <w:tc>
          <w:tcPr>
            <w:tcW w:type="dxa" w:w="156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None</w:t>
            </w:r>
          </w:p>
        </w:tc>
        <w:tc>
          <w:tcPr>
            <w:tcW w:type="dxa" w:w="156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Expert-curated</w:t>
            </w:r>
          </w:p>
        </w:tc>
        <w:tc>
          <w:tcPr>
            <w:tcW w:type="dxa" w:w="156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Vendor-specific</w:t>
            </w:r>
          </w:p>
        </w:tc>
        <w:tc>
          <w:tcPr>
            <w:tcW w:type="dxa" w:w="156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None</w:t>
            </w:r>
          </w:p>
        </w:tc>
      </w:tr>
    </w:tbl>
    <w:p>
      <w:pPr>
        <w:spacing w:before="40" w:after="80"/>
      </w:pPr>
    </w:p>
    <w:p>
      <w:pPr>
        <w:spacing w:before="80" w:after="80"/>
        <w:pBdr>
          <w:bottom w:val="single" w:sz="6" w:color="1AAFCC"/>
        </w:pBdr>
      </w:pPr>
    </w:p>
    <w:p>
      <w:pPr>
        <w:pStyle w:val="Heading1"/>
        <w:spacing w:before="400" w:after="160"/>
      </w:pPr>
      <w:r>
        <w:rPr>
          <w:rFonts w:ascii="Calibri" w:hAnsi="Calibri"/>
          <w:b/>
          <w:color w:val="1B2333"/>
          <w:sz w:val="32"/>
        </w:rPr>
        <w:t>11. Performance on DGX Spark</w:t>
      </w:r>
    </w:p>
    <w:p>
      <w:pPr>
        <w:pStyle w:val="Heading2"/>
        <w:spacing w:before="280" w:after="120"/>
      </w:pPr>
      <w:r>
        <w:rPr>
          <w:rFonts w:ascii="Calibri" w:hAnsi="Calibri"/>
          <w:b/>
          <w:color w:val="1AAFCC"/>
          <w:sz w:val="26"/>
        </w:rPr>
        <w:t>11.1 Hardware Specifications</w:t>
      </w:r>
    </w:p>
    <w:p>
      <w:pPr>
        <w:spacing w:before="0" w:after="120"/>
      </w:pPr>
      <w:r>
        <w:rPr>
          <w:rFonts w:ascii="Calibri" w:hAnsi="Calibri"/>
          <w:color w:val="333333"/>
          <w:sz w:val="20"/>
        </w:rPr>
        <w:t>The NVIDIA DGX Spark provides:</w:t>
      </w:r>
    </w:p>
    <w:p>
      <w:pPr>
        <w:spacing w:before="40" w:after="40"/>
        <w:ind w:left="504" w:hanging="216"/>
      </w:pPr>
      <w:r>
        <w:rPr>
          <w:rFonts w:ascii="Calibri" w:hAnsi="Calibri"/>
          <w:color w:val="1AAFCC"/>
          <w:sz w:val="20"/>
        </w:rPr>
        <w:t xml:space="preserve">•  </w:t>
      </w:r>
      <w:r>
        <w:rPr>
          <w:rFonts w:ascii="Calibri" w:hAnsi="Calibri"/>
          <w:color w:val="333333"/>
          <w:sz w:val="20"/>
        </w:rPr>
        <w:t>NVIDIA Grace CPU (72 ARM cores)</w:t>
      </w:r>
    </w:p>
    <w:p>
      <w:pPr>
        <w:spacing w:before="40" w:after="40"/>
        <w:ind w:left="504" w:hanging="216"/>
      </w:pPr>
      <w:r>
        <w:rPr>
          <w:rFonts w:ascii="Calibri" w:hAnsi="Calibri"/>
          <w:color w:val="1AAFCC"/>
          <w:sz w:val="20"/>
        </w:rPr>
        <w:t xml:space="preserve">•  </w:t>
      </w:r>
      <w:r>
        <w:rPr>
          <w:rFonts w:ascii="Calibri" w:hAnsi="Calibri"/>
          <w:color w:val="333333"/>
          <w:sz w:val="20"/>
        </w:rPr>
        <w:t>NVIDIA Blackwell GPU (128GB unified memory)</w:t>
      </w:r>
    </w:p>
    <w:p>
      <w:pPr>
        <w:spacing w:before="40" w:after="40"/>
        <w:ind w:left="504" w:hanging="216"/>
      </w:pPr>
      <w:r>
        <w:rPr>
          <w:rFonts w:ascii="Calibri" w:hAnsi="Calibri"/>
          <w:color w:val="1AAFCC"/>
          <w:sz w:val="20"/>
        </w:rPr>
        <w:t xml:space="preserve">•  </w:t>
      </w:r>
      <w:r>
        <w:rPr>
          <w:rFonts w:ascii="Calibri" w:hAnsi="Calibri"/>
          <w:color w:val="333333"/>
          <w:sz w:val="20"/>
        </w:rPr>
        <w:t>128GB LPDDR5X unified memory</w:t>
      </w:r>
    </w:p>
    <w:p>
      <w:pPr>
        <w:spacing w:before="40" w:after="40"/>
        <w:ind w:left="504" w:hanging="216"/>
      </w:pPr>
      <w:r>
        <w:rPr>
          <w:rFonts w:ascii="Calibri" w:hAnsi="Calibri"/>
          <w:color w:val="1AAFCC"/>
          <w:sz w:val="20"/>
        </w:rPr>
        <w:t xml:space="preserve">•  </w:t>
      </w:r>
      <w:r>
        <w:rPr>
          <w:rFonts w:ascii="Calibri" w:hAnsi="Calibri"/>
          <w:color w:val="333333"/>
          <w:sz w:val="20"/>
        </w:rPr>
        <w:t>NVMe SSD storage</w:t>
      </w:r>
    </w:p>
    <w:p>
      <w:pPr>
        <w:pStyle w:val="Heading2"/>
        <w:spacing w:before="280" w:after="120"/>
      </w:pPr>
      <w:r>
        <w:rPr>
          <w:rFonts w:ascii="Calibri" w:hAnsi="Calibri"/>
          <w:b/>
          <w:color w:val="1AAFCC"/>
          <w:sz w:val="26"/>
        </w:rPr>
        <w:t>11.2 Performance Characteristics</w:t>
      </w:r>
    </w:p>
    <w:tbl>
      <w:tblPr>
        <w:tblW w:type="auto" w:w="0"/>
        <w:jc w:val="center"/>
        <w:tblLayout w:type="autofit"/>
        <w:tblLook w:firstColumn="1" w:firstRow="1" w:lastColumn="0" w:lastRow="0" w:noHBand="0" w:noVBand="1" w:val="04A0"/>
      </w:tblPr>
      <w:tblGrid>
        <w:gridCol w:w="3120"/>
        <w:gridCol w:w="3120"/>
        <w:gridCol w:w="3120"/>
      </w:tblGrid>
      <w:tr>
        <w:tc>
          <w:tcPr>
            <w:tcW w:type="dxa" w:w="3120"/>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Operation</w:t>
            </w:r>
          </w:p>
        </w:tc>
        <w:tc>
          <w:tcPr>
            <w:tcW w:type="dxa" w:w="3120"/>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Expected Latency</w:t>
            </w:r>
          </w:p>
        </w:tc>
        <w:tc>
          <w:tcPr>
            <w:tcW w:type="dxa" w:w="3120"/>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Notes</w:t>
            </w:r>
          </w:p>
        </w:tc>
      </w:tr>
      <w:tr>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Embedding generation</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~50ms per query</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BGE-small-en-v1.5 on GPU</w:t>
            </w:r>
          </w:p>
        </w:tc>
      </w:tr>
      <w:tr>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Multi-collection search</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~200ms</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13 collections, top_k=5 each</w:t>
            </w:r>
          </w:p>
        </w:tc>
      </w:tr>
      <w:tr>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Risk calculation</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&lt;5ms</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Pure computation, no I/O</w:t>
            </w:r>
          </w:p>
        </w:tc>
      </w:tr>
      <w:tr>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GDMT optimization</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&lt;10ms</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Rule-based logic</w:t>
            </w:r>
          </w:p>
        </w:tc>
      </w:tr>
      <w:tr>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Cross-modal trigger</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~100ms</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Pattern match + genomic lookup</w:t>
            </w:r>
          </w:p>
        </w:tc>
      </w:tr>
      <w:tr>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LLM synthesis</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2-5s</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Claude Sonnet 4.6 API call</w:t>
            </w:r>
          </w:p>
        </w:tc>
      </w:tr>
      <w:tr>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**Total end-to-end**</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**&lt;5s**</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Query to response</w:t>
            </w:r>
          </w:p>
        </w:tc>
      </w:tr>
    </w:tbl>
    <w:p>
      <w:pPr>
        <w:spacing w:before="40" w:after="80"/>
      </w:pPr>
    </w:p>
    <w:p>
      <w:pPr>
        <w:pStyle w:val="Heading2"/>
        <w:spacing w:before="280" w:after="120"/>
      </w:pPr>
      <w:r>
        <w:rPr>
          <w:rFonts w:ascii="Calibri" w:hAnsi="Calibri"/>
          <w:b/>
          <w:color w:val="1AAFCC"/>
          <w:sz w:val="26"/>
        </w:rPr>
        <w:t>11.3 Memory Footprint</w:t>
      </w:r>
    </w:p>
    <w:tbl>
      <w:tblPr>
        <w:tblW w:type="auto" w:w="0"/>
        <w:jc w:val="center"/>
        <w:tblLayout w:type="autofit"/>
        <w:tblLook w:firstColumn="1" w:firstRow="1" w:lastColumn="0" w:lastRow="0" w:noHBand="0" w:noVBand="1" w:val="04A0"/>
      </w:tblPr>
      <w:tblGrid>
        <w:gridCol w:w="4680"/>
        <w:gridCol w:w="4680"/>
      </w:tblGrid>
      <w:tr>
        <w:tc>
          <w:tcPr>
            <w:tcW w:type="dxa" w:w="4680"/>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Component</w:t>
            </w:r>
          </w:p>
        </w:tc>
        <w:tc>
          <w:tcPr>
            <w:tcW w:type="dxa" w:w="4680"/>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Memory</w:t>
            </w:r>
          </w:p>
        </w:tc>
      </w:tr>
      <w:tr>
        <w:tc>
          <w:tcPr>
            <w:tcW w:type="dxa" w:w="468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Milvus (12 collections)</w:t>
            </w:r>
          </w:p>
        </w:tc>
        <w:tc>
          <w:tcPr>
            <w:tcW w:type="dxa" w:w="468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~2-4 GB (depends on vector count)</w:t>
            </w:r>
          </w:p>
        </w:tc>
      </w:tr>
      <w:tr>
        <w:tc>
          <w:tcPr>
            <w:tcW w:type="dxa" w:w="468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Milvus (genomic_evidence, 3.5M)</w:t>
            </w:r>
          </w:p>
        </w:tc>
        <w:tc>
          <w:tcPr>
            <w:tcW w:type="dxa" w:w="468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~8-10 GB</w:t>
            </w:r>
          </w:p>
        </w:tc>
      </w:tr>
      <w:tr>
        <w:tc>
          <w:tcPr>
            <w:tcW w:type="dxa" w:w="468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BGE-small-en-v1.5 model</w:t>
            </w:r>
          </w:p>
        </w:tc>
        <w:tc>
          <w:tcPr>
            <w:tcW w:type="dxa" w:w="468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~130 MB</w:t>
            </w:r>
          </w:p>
        </w:tc>
      </w:tr>
      <w:tr>
        <w:tc>
          <w:tcPr>
            <w:tcW w:type="dxa" w:w="468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Application stack</w:t>
            </w:r>
          </w:p>
        </w:tc>
        <w:tc>
          <w:tcPr>
            <w:tcW w:type="dxa" w:w="468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~500 MB</w:t>
            </w:r>
          </w:p>
        </w:tc>
      </w:tr>
      <w:tr>
        <w:tc>
          <w:tcPr>
            <w:tcW w:type="dxa" w:w="468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etcd + MinIO</w:t>
            </w:r>
          </w:p>
        </w:tc>
        <w:tc>
          <w:tcPr>
            <w:tcW w:type="dxa" w:w="468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~200 MB</w:t>
            </w:r>
          </w:p>
        </w:tc>
      </w:tr>
      <w:tr>
        <w:tc>
          <w:tcPr>
            <w:tcW w:type="dxa" w:w="468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**Total**</w:t>
            </w:r>
          </w:p>
        </w:tc>
        <w:tc>
          <w:tcPr>
            <w:tcW w:type="dxa" w:w="468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**~12-15 GB**</w:t>
            </w:r>
          </w:p>
        </w:tc>
      </w:tr>
    </w:tbl>
    <w:p>
      <w:pPr>
        <w:spacing w:before="40" w:after="80"/>
      </w:pPr>
    </w:p>
    <w:p>
      <w:pPr>
        <w:spacing w:before="80" w:after="80"/>
        <w:pBdr>
          <w:bottom w:val="single" w:sz="6" w:color="1AAFCC"/>
        </w:pBdr>
      </w:pPr>
    </w:p>
    <w:p>
      <w:pPr>
        <w:pStyle w:val="Heading1"/>
        <w:spacing w:before="400" w:after="160"/>
      </w:pPr>
      <w:r>
        <w:rPr>
          <w:rFonts w:ascii="Calibri" w:hAnsi="Calibri"/>
          <w:b/>
          <w:color w:val="1B2333"/>
          <w:sz w:val="32"/>
        </w:rPr>
        <w:t>12. Limitations and Future Work</w:t>
      </w:r>
    </w:p>
    <w:p>
      <w:pPr>
        <w:pStyle w:val="Heading2"/>
        <w:spacing w:before="280" w:after="120"/>
      </w:pPr>
      <w:r>
        <w:rPr>
          <w:rFonts w:ascii="Calibri" w:hAnsi="Calibri"/>
          <w:b/>
          <w:color w:val="1AAFCC"/>
          <w:sz w:val="26"/>
        </w:rPr>
        <w:t>12.1 Current Limitations</w:t>
      </w:r>
    </w:p>
    <w:p>
      <w:pPr>
        <w:spacing w:before="40" w:after="40"/>
        <w:ind w:left="504" w:hanging="288"/>
      </w:pPr>
      <w:r>
        <w:rPr>
          <w:rFonts w:ascii="Calibri" w:hAnsi="Calibri"/>
          <w:b/>
          <w:color w:val="333333"/>
          <w:sz w:val="20"/>
        </w:rPr>
        <w:t xml:space="preserve">1.  </w:t>
      </w:r>
      <w:r>
        <w:rPr>
          <w:rFonts w:ascii="Calibri" w:hAnsi="Calibri"/>
          <w:b/>
          <w:color w:val="333333"/>
          <w:sz w:val="20"/>
        </w:rPr>
        <w:t>No real-time ECG analysis</w:t>
      </w:r>
      <w:r>
        <w:rPr>
          <w:rFonts w:ascii="Calibri" w:hAnsi="Calibri"/>
          <w:color w:val="333333"/>
          <w:sz w:val="20"/>
        </w:rPr>
        <w:t>: The system interprets ECG reports but does not analyze raw ECG signals</w:t>
      </w:r>
    </w:p>
    <w:p>
      <w:pPr>
        <w:spacing w:before="40" w:after="40"/>
        <w:ind w:left="504" w:hanging="288"/>
      </w:pPr>
      <w:r>
        <w:rPr>
          <w:rFonts w:ascii="Calibri" w:hAnsi="Calibri"/>
          <w:b/>
          <w:color w:val="333333"/>
          <w:sz w:val="20"/>
        </w:rPr>
        <w:t xml:space="preserve">2.  </w:t>
      </w:r>
      <w:r>
        <w:rPr>
          <w:rFonts w:ascii="Calibri" w:hAnsi="Calibri"/>
          <w:b/>
          <w:color w:val="333333"/>
          <w:sz w:val="20"/>
        </w:rPr>
        <w:t>No direct DICOM processing</w:t>
      </w:r>
      <w:r>
        <w:rPr>
          <w:rFonts w:ascii="Calibri" w:hAnsi="Calibri"/>
          <w:color w:val="333333"/>
          <w:sz w:val="20"/>
        </w:rPr>
        <w:t>: Imaging data must be pre-processed into text reports</w:t>
      </w:r>
    </w:p>
    <w:p>
      <w:pPr>
        <w:spacing w:before="40" w:after="40"/>
        <w:ind w:left="504" w:hanging="288"/>
      </w:pPr>
      <w:r>
        <w:rPr>
          <w:rFonts w:ascii="Calibri" w:hAnsi="Calibri"/>
          <w:b/>
          <w:color w:val="333333"/>
          <w:sz w:val="20"/>
        </w:rPr>
        <w:t xml:space="preserve">3.  </w:t>
      </w:r>
      <w:r>
        <w:rPr>
          <w:rFonts w:ascii="Calibri" w:hAnsi="Calibri"/>
          <w:b/>
          <w:color w:val="333333"/>
          <w:sz w:val="20"/>
        </w:rPr>
        <w:t>LLM dependency</w:t>
      </w:r>
      <w:r>
        <w:rPr>
          <w:rFonts w:ascii="Calibri" w:hAnsi="Calibri"/>
          <w:color w:val="333333"/>
          <w:sz w:val="20"/>
        </w:rPr>
        <w:t>: Claude Sonnet 4.6 requires API connectivity; offline mode is search-only</w:t>
      </w:r>
    </w:p>
    <w:p>
      <w:pPr>
        <w:spacing w:before="40" w:after="40"/>
        <w:ind w:left="504" w:hanging="288"/>
      </w:pPr>
      <w:r>
        <w:rPr>
          <w:rFonts w:ascii="Calibri" w:hAnsi="Calibri"/>
          <w:b/>
          <w:color w:val="333333"/>
          <w:sz w:val="20"/>
        </w:rPr>
        <w:t xml:space="preserve">4.  </w:t>
      </w:r>
      <w:r>
        <w:rPr>
          <w:rFonts w:ascii="Calibri" w:hAnsi="Calibri"/>
          <w:b/>
          <w:color w:val="333333"/>
          <w:sz w:val="20"/>
        </w:rPr>
        <w:t>No EHR integration</w:t>
      </w:r>
      <w:r>
        <w:rPr>
          <w:rFonts w:ascii="Calibri" w:hAnsi="Calibri"/>
          <w:color w:val="333333"/>
          <w:sz w:val="20"/>
        </w:rPr>
        <w:t>: Manual data entry required; no HL7/FHIR inbound feeds</w:t>
      </w:r>
    </w:p>
    <w:p>
      <w:pPr>
        <w:spacing w:before="40" w:after="40"/>
        <w:ind w:left="504" w:hanging="288"/>
      </w:pPr>
      <w:r>
        <w:rPr>
          <w:rFonts w:ascii="Calibri" w:hAnsi="Calibri"/>
          <w:b/>
          <w:color w:val="333333"/>
          <w:sz w:val="20"/>
        </w:rPr>
        <w:t xml:space="preserve">5.  </w:t>
      </w:r>
      <w:r>
        <w:rPr>
          <w:rFonts w:ascii="Calibri" w:hAnsi="Calibri"/>
          <w:b/>
          <w:color w:val="333333"/>
          <w:sz w:val="20"/>
        </w:rPr>
        <w:t>Single-language</w:t>
      </w:r>
      <w:r>
        <w:rPr>
          <w:rFonts w:ascii="Calibri" w:hAnsi="Calibri"/>
          <w:color w:val="333333"/>
          <w:sz w:val="20"/>
        </w:rPr>
        <w:t>: English only for current guideline and literature collections</w:t>
      </w:r>
    </w:p>
    <w:p>
      <w:pPr>
        <w:spacing w:before="40" w:after="40"/>
        <w:ind w:left="504" w:hanging="288"/>
      </w:pPr>
      <w:r>
        <w:rPr>
          <w:rFonts w:ascii="Calibri" w:hAnsi="Calibri"/>
          <w:b/>
          <w:color w:val="333333"/>
          <w:sz w:val="20"/>
        </w:rPr>
        <w:t xml:space="preserve">6.  </w:t>
      </w:r>
      <w:r>
        <w:rPr>
          <w:rFonts w:ascii="Calibri" w:hAnsi="Calibri"/>
          <w:b/>
          <w:color w:val="333333"/>
          <w:sz w:val="20"/>
        </w:rPr>
        <w:t>Validation scope</w:t>
      </w:r>
      <w:r>
        <w:rPr>
          <w:rFonts w:ascii="Calibri" w:hAnsi="Calibri"/>
          <w:color w:val="333333"/>
          <w:sz w:val="20"/>
        </w:rPr>
        <w:t>: Calculator validation completed; full clinical workflow validation in progress</w:t>
      </w:r>
    </w:p>
    <w:p>
      <w:pPr>
        <w:pStyle w:val="Heading2"/>
        <w:spacing w:before="280" w:after="120"/>
      </w:pPr>
      <w:r>
        <w:rPr>
          <w:rFonts w:ascii="Calibri" w:hAnsi="Calibri"/>
          <w:b/>
          <w:color w:val="1AAFCC"/>
          <w:sz w:val="26"/>
        </w:rPr>
        <w:t>12.2 Future Directions</w:t>
      </w:r>
    </w:p>
    <w:p>
      <w:pPr>
        <w:spacing w:before="40" w:after="40"/>
        <w:ind w:left="504" w:hanging="288"/>
      </w:pPr>
      <w:r>
        <w:rPr>
          <w:rFonts w:ascii="Calibri" w:hAnsi="Calibri"/>
          <w:b/>
          <w:color w:val="333333"/>
          <w:sz w:val="20"/>
        </w:rPr>
        <w:t xml:space="preserve">1.  </w:t>
      </w:r>
      <w:r>
        <w:rPr>
          <w:rFonts w:ascii="Calibri" w:hAnsi="Calibri"/>
          <w:b/>
          <w:color w:val="333333"/>
          <w:sz w:val="20"/>
        </w:rPr>
        <w:t>NVIDIA NIM integration</w:t>
      </w:r>
      <w:r>
        <w:rPr>
          <w:rFonts w:ascii="Calibri" w:hAnsi="Calibri"/>
          <w:color w:val="333333"/>
          <w:sz w:val="20"/>
        </w:rPr>
        <w:t>: On-device LLM inference for fully offline operation</w:t>
      </w:r>
    </w:p>
    <w:p>
      <w:pPr>
        <w:spacing w:before="40" w:after="40"/>
        <w:ind w:left="504" w:hanging="288"/>
      </w:pPr>
      <w:r>
        <w:rPr>
          <w:rFonts w:ascii="Calibri" w:hAnsi="Calibri"/>
          <w:b/>
          <w:color w:val="333333"/>
          <w:sz w:val="20"/>
        </w:rPr>
        <w:t xml:space="preserve">2.  </w:t>
      </w:r>
      <w:r>
        <w:rPr>
          <w:rFonts w:ascii="Calibri" w:hAnsi="Calibri"/>
          <w:b/>
          <w:color w:val="333333"/>
          <w:sz w:val="20"/>
        </w:rPr>
        <w:t>Real-time ECG pipeline</w:t>
      </w:r>
      <w:r>
        <w:rPr>
          <w:rFonts w:ascii="Calibri" w:hAnsi="Calibri"/>
          <w:color w:val="333333"/>
          <w:sz w:val="20"/>
        </w:rPr>
        <w:t>: Direct 12-lead ECG signal analysis using on-device models</w:t>
      </w:r>
    </w:p>
    <w:p>
      <w:pPr>
        <w:spacing w:before="40" w:after="40"/>
        <w:ind w:left="504" w:hanging="288"/>
      </w:pPr>
      <w:r>
        <w:rPr>
          <w:rFonts w:ascii="Calibri" w:hAnsi="Calibri"/>
          <w:b/>
          <w:color w:val="333333"/>
          <w:sz w:val="20"/>
        </w:rPr>
        <w:t xml:space="preserve">3.  </w:t>
      </w:r>
      <w:r>
        <w:rPr>
          <w:rFonts w:ascii="Calibri" w:hAnsi="Calibri"/>
          <w:b/>
          <w:color w:val="333333"/>
          <w:sz w:val="20"/>
        </w:rPr>
        <w:t>FHIR interoperability</w:t>
      </w:r>
      <w:r>
        <w:rPr>
          <w:rFonts w:ascii="Calibri" w:hAnsi="Calibri"/>
          <w:color w:val="333333"/>
          <w:sz w:val="20"/>
        </w:rPr>
        <w:t>: Bidirectional EHR integration for automated data ingestion</w:t>
      </w:r>
    </w:p>
    <w:p>
      <w:pPr>
        <w:spacing w:before="40" w:after="40"/>
        <w:ind w:left="504" w:hanging="288"/>
      </w:pPr>
      <w:r>
        <w:rPr>
          <w:rFonts w:ascii="Calibri" w:hAnsi="Calibri"/>
          <w:b/>
          <w:color w:val="333333"/>
          <w:sz w:val="20"/>
        </w:rPr>
        <w:t xml:space="preserve">4.  </w:t>
      </w:r>
      <w:r>
        <w:rPr>
          <w:rFonts w:ascii="Calibri" w:hAnsi="Calibri"/>
          <w:b/>
          <w:color w:val="333333"/>
          <w:sz w:val="20"/>
        </w:rPr>
        <w:t>Imaging AI</w:t>
      </w:r>
      <w:r>
        <w:rPr>
          <w:rFonts w:ascii="Calibri" w:hAnsi="Calibri"/>
          <w:color w:val="333333"/>
          <w:sz w:val="20"/>
        </w:rPr>
        <w:t>: Direct DICOM analysis for echo measurements, CT calcium scoring, MRI tissue characterization</w:t>
      </w:r>
    </w:p>
    <w:p>
      <w:pPr>
        <w:spacing w:before="40" w:after="40"/>
        <w:ind w:left="504" w:hanging="288"/>
      </w:pPr>
      <w:r>
        <w:rPr>
          <w:rFonts w:ascii="Calibri" w:hAnsi="Calibri"/>
          <w:b/>
          <w:color w:val="333333"/>
          <w:sz w:val="20"/>
        </w:rPr>
        <w:t xml:space="preserve">5.  </w:t>
      </w:r>
      <w:r>
        <w:rPr>
          <w:rFonts w:ascii="Calibri" w:hAnsi="Calibri"/>
          <w:b/>
          <w:color w:val="333333"/>
          <w:sz w:val="20"/>
        </w:rPr>
        <w:t>Population health</w:t>
      </w:r>
      <w:r>
        <w:rPr>
          <w:rFonts w:ascii="Calibri" w:hAnsi="Calibri"/>
          <w:color w:val="333333"/>
          <w:sz w:val="20"/>
        </w:rPr>
        <w:t>: Cohort-level cardiovascular risk dashboards and quality metrics</w:t>
      </w:r>
    </w:p>
    <w:p>
      <w:pPr>
        <w:spacing w:before="40" w:after="40"/>
        <w:ind w:left="504" w:hanging="288"/>
      </w:pPr>
      <w:r>
        <w:rPr>
          <w:rFonts w:ascii="Calibri" w:hAnsi="Calibri"/>
          <w:b/>
          <w:color w:val="333333"/>
          <w:sz w:val="20"/>
        </w:rPr>
        <w:t xml:space="preserve">6.  </w:t>
      </w:r>
      <w:r>
        <w:rPr>
          <w:rFonts w:ascii="Calibri" w:hAnsi="Calibri"/>
          <w:b/>
          <w:color w:val="333333"/>
          <w:sz w:val="20"/>
        </w:rPr>
        <w:t>Wearable integration</w:t>
      </w:r>
      <w:r>
        <w:rPr>
          <w:rFonts w:ascii="Calibri" w:hAnsi="Calibri"/>
          <w:color w:val="333333"/>
          <w:sz w:val="20"/>
        </w:rPr>
        <w:t>: Continuous monitoring data from smartwatch ECG and activity sensors</w:t>
      </w:r>
    </w:p>
    <w:p>
      <w:pPr>
        <w:spacing w:before="40" w:after="40"/>
        <w:ind w:left="504" w:hanging="288"/>
      </w:pPr>
      <w:r>
        <w:rPr>
          <w:rFonts w:ascii="Calibri" w:hAnsi="Calibri"/>
          <w:b/>
          <w:color w:val="333333"/>
          <w:sz w:val="20"/>
        </w:rPr>
        <w:t xml:space="preserve">7.  </w:t>
      </w:r>
      <w:r>
        <w:rPr>
          <w:rFonts w:ascii="Calibri" w:hAnsi="Calibri"/>
          <w:b/>
          <w:color w:val="333333"/>
          <w:sz w:val="20"/>
        </w:rPr>
        <w:t>Multi-center validation</w:t>
      </w:r>
      <w:r>
        <w:rPr>
          <w:rFonts w:ascii="Calibri" w:hAnsi="Calibri"/>
          <w:color w:val="333333"/>
          <w:sz w:val="20"/>
        </w:rPr>
        <w:t>: Prospective clinical validation across diverse patient populations</w:t>
      </w:r>
    </w:p>
    <w:p>
      <w:pPr>
        <w:spacing w:before="80" w:after="80"/>
        <w:pBdr>
          <w:bottom w:val="single" w:sz="6" w:color="1AAFCC"/>
        </w:pBdr>
      </w:pPr>
    </w:p>
    <w:p>
      <w:pPr>
        <w:pStyle w:val="Heading1"/>
        <w:spacing w:before="400" w:after="160"/>
      </w:pPr>
      <w:r>
        <w:rPr>
          <w:rFonts w:ascii="Calibri" w:hAnsi="Calibri"/>
          <w:b/>
          <w:color w:val="1B2333"/>
          <w:sz w:val="32"/>
        </w:rPr>
        <w:t>13. Conclusion</w:t>
      </w:r>
    </w:p>
    <w:p>
      <w:pPr>
        <w:spacing w:before="0" w:after="120"/>
      </w:pPr>
      <w:r>
        <w:rPr>
          <w:rFonts w:ascii="Calibri" w:hAnsi="Calibri"/>
          <w:color w:val="333333"/>
          <w:sz w:val="20"/>
        </w:rPr>
        <w:t>The Cardiology Intelligence Agent demonstrates that comprehensive, multi-modal cardiovascular decision support can be delivered on a single desktop-class device at a fraction of the cost of traditional enterprise solutions. By combining multi-collection RAG architecture, validated clinical calculators, guideline-directed therapy optimization, and cross-modal genomic integration, the system addresses the data fragmentation that has long hindered cardiovascular AI adoption.</w:t>
      </w:r>
    </w:p>
    <w:p>
      <w:pPr>
        <w:spacing w:before="0" w:after="120"/>
      </w:pPr>
      <w:r>
        <w:rPr>
          <w:rFonts w:ascii="Calibri" w:hAnsi="Calibri"/>
          <w:color w:val="333333"/>
          <w:sz w:val="20"/>
        </w:rPr>
        <w:t>The open-source, Apache 2.0-licensed platform lowers the barrier to entry for any institution seeking to implement AI-assisted cardiovascular care -- from community hospitals to academic medical centers to global health systems in resource-limited settings. As cardiovascular disease continues to claim 17.9 million lives annually, democratizing access to integrated clinical intelligence is not merely an engineering achievement but a moral imperative.</w:t>
      </w:r>
    </w:p>
    <w:p>
      <w:pPr>
        <w:spacing w:before="80" w:after="80"/>
        <w:pBdr>
          <w:bottom w:val="single" w:sz="6" w:color="1AAFCC"/>
        </w:pBdr>
      </w:pPr>
    </w:p>
    <w:p>
      <w:pPr>
        <w:pStyle w:val="Heading1"/>
        <w:spacing w:before="400" w:after="160"/>
      </w:pPr>
      <w:r>
        <w:rPr>
          <w:rFonts w:ascii="Calibri" w:hAnsi="Calibri"/>
          <w:b/>
          <w:color w:val="1B2333"/>
          <w:sz w:val="32"/>
        </w:rPr>
        <w:t>14. References</w:t>
      </w:r>
    </w:p>
    <w:p>
      <w:pPr>
        <w:spacing w:before="40" w:after="40"/>
        <w:ind w:left="504" w:hanging="288"/>
      </w:pPr>
      <w:r>
        <w:rPr>
          <w:rFonts w:ascii="Calibri" w:hAnsi="Calibri"/>
          <w:b/>
          <w:color w:val="333333"/>
          <w:sz w:val="20"/>
        </w:rPr>
        <w:t xml:space="preserve">1.  </w:t>
      </w:r>
      <w:r>
        <w:rPr>
          <w:rFonts w:ascii="Calibri" w:hAnsi="Calibri"/>
          <w:color w:val="333333"/>
          <w:sz w:val="20"/>
        </w:rPr>
        <w:t>Goff DC Jr, et al. 2013 ACC/AHA Guideline on the Assessment of Cardiovascular Risk. J Am Coll Cardiol. 2014;63(25 Pt B):2935-2959.</w:t>
      </w:r>
    </w:p>
    <w:p>
      <w:pPr>
        <w:spacing w:before="40" w:after="40"/>
        <w:ind w:left="504" w:hanging="288"/>
      </w:pPr>
      <w:r>
        <w:rPr>
          <w:rFonts w:ascii="Calibri" w:hAnsi="Calibri"/>
          <w:b/>
          <w:color w:val="333333"/>
          <w:sz w:val="20"/>
        </w:rPr>
        <w:t xml:space="preserve">2.  </w:t>
      </w:r>
      <w:r>
        <w:rPr>
          <w:rFonts w:ascii="Calibri" w:hAnsi="Calibri"/>
          <w:color w:val="333333"/>
          <w:sz w:val="20"/>
        </w:rPr>
        <w:t>Lip GYH, et al. Refining clinical risk stratification for predicting stroke and thromboembolism in atrial fibrillation. Chest 2010;137(2):263-272.</w:t>
      </w:r>
    </w:p>
    <w:p>
      <w:pPr>
        <w:spacing w:before="40" w:after="40"/>
        <w:ind w:left="504" w:hanging="288"/>
      </w:pPr>
      <w:r>
        <w:rPr>
          <w:rFonts w:ascii="Calibri" w:hAnsi="Calibri"/>
          <w:b/>
          <w:color w:val="333333"/>
          <w:sz w:val="20"/>
        </w:rPr>
        <w:t xml:space="preserve">3.  </w:t>
      </w:r>
      <w:r>
        <w:rPr>
          <w:rFonts w:ascii="Calibri" w:hAnsi="Calibri"/>
          <w:color w:val="333333"/>
          <w:sz w:val="20"/>
        </w:rPr>
        <w:t>Pisters R, et al. A novel user-friendly score (HAS-BLED) to assess 1-year risk of major bleeding. Chest 2010;138(5):1093-1100.</w:t>
      </w:r>
    </w:p>
    <w:p>
      <w:pPr>
        <w:spacing w:before="40" w:after="40"/>
        <w:ind w:left="504" w:hanging="288"/>
      </w:pPr>
      <w:r>
        <w:rPr>
          <w:rFonts w:ascii="Calibri" w:hAnsi="Calibri"/>
          <w:b/>
          <w:color w:val="333333"/>
          <w:sz w:val="20"/>
        </w:rPr>
        <w:t xml:space="preserve">4.  </w:t>
      </w:r>
      <w:r>
        <w:rPr>
          <w:rFonts w:ascii="Calibri" w:hAnsi="Calibri"/>
          <w:color w:val="333333"/>
          <w:sz w:val="20"/>
        </w:rPr>
        <w:t>Six AJ, et al. Chest pain in the emergency room: value of the HEART score. Neth Heart J. 2008;16(6):191-196.</w:t>
      </w:r>
    </w:p>
    <w:p>
      <w:pPr>
        <w:spacing w:before="40" w:after="40"/>
        <w:ind w:left="504" w:hanging="288"/>
      </w:pPr>
      <w:r>
        <w:rPr>
          <w:rFonts w:ascii="Calibri" w:hAnsi="Calibri"/>
          <w:b/>
          <w:color w:val="333333"/>
          <w:sz w:val="20"/>
        </w:rPr>
        <w:t xml:space="preserve">5.  </w:t>
      </w:r>
      <w:r>
        <w:rPr>
          <w:rFonts w:ascii="Calibri" w:hAnsi="Calibri"/>
          <w:color w:val="333333"/>
          <w:sz w:val="20"/>
        </w:rPr>
        <w:t>Pocock SJ, et al. Predicting survival in heart failure: a risk score based on 39,372 patients from 30 studies. Eur Heart J. 2013;34(19):1404-1413.</w:t>
      </w:r>
    </w:p>
    <w:p>
      <w:pPr>
        <w:spacing w:before="40" w:after="40"/>
        <w:ind w:left="504" w:hanging="288"/>
      </w:pPr>
      <w:r>
        <w:rPr>
          <w:rFonts w:ascii="Calibri" w:hAnsi="Calibri"/>
          <w:b/>
          <w:color w:val="333333"/>
          <w:sz w:val="20"/>
        </w:rPr>
        <w:t xml:space="preserve">6.  </w:t>
      </w:r>
      <w:r>
        <w:rPr>
          <w:rFonts w:ascii="Calibri" w:hAnsi="Calibri"/>
          <w:color w:val="333333"/>
          <w:sz w:val="20"/>
        </w:rPr>
        <w:t>Nashef SA, et al. EuroSCORE II. Eur J Cardiothorac Surg. 2012;41(4):734-745.</w:t>
      </w:r>
    </w:p>
    <w:p>
      <w:pPr>
        <w:spacing w:before="40" w:after="40"/>
        <w:ind w:left="504" w:hanging="288"/>
      </w:pPr>
      <w:r>
        <w:rPr>
          <w:rFonts w:ascii="Calibri" w:hAnsi="Calibri"/>
          <w:b/>
          <w:color w:val="333333"/>
          <w:sz w:val="20"/>
        </w:rPr>
        <w:t xml:space="preserve">7.  </w:t>
      </w:r>
      <w:r>
        <w:rPr>
          <w:rFonts w:ascii="Calibri" w:hAnsi="Calibri"/>
          <w:color w:val="333333"/>
          <w:sz w:val="20"/>
        </w:rPr>
        <w:t>Heidenreich PA, et al. 2022 AHA/ACC/HFSA Guideline for the Management of Heart Failure. J Am Coll Cardiol. 2022;79(17):e263-e421.</w:t>
      </w:r>
    </w:p>
    <w:p>
      <w:pPr>
        <w:spacing w:before="40" w:after="40"/>
        <w:ind w:left="504" w:hanging="288"/>
      </w:pPr>
      <w:r>
        <w:rPr>
          <w:rFonts w:ascii="Calibri" w:hAnsi="Calibri"/>
          <w:b/>
          <w:color w:val="333333"/>
          <w:sz w:val="20"/>
        </w:rPr>
        <w:t xml:space="preserve">8.  </w:t>
      </w:r>
      <w:r>
        <w:rPr>
          <w:rFonts w:ascii="Calibri" w:hAnsi="Calibri"/>
          <w:color w:val="333333"/>
          <w:sz w:val="20"/>
        </w:rPr>
        <w:t>Otto CM, et al. 2020 ACC/AHA Guideline for the Management of Patients with Valvular Heart Disease. J Am Coll Cardiol. 2021;77(4):e25-e197.</w:t>
      </w:r>
    </w:p>
    <w:p>
      <w:pPr>
        <w:spacing w:before="40" w:after="40"/>
        <w:ind w:left="504" w:hanging="288"/>
      </w:pPr>
      <w:r>
        <w:rPr>
          <w:rFonts w:ascii="Calibri" w:hAnsi="Calibri"/>
          <w:b/>
          <w:color w:val="333333"/>
          <w:sz w:val="20"/>
        </w:rPr>
        <w:t xml:space="preserve">9.  </w:t>
      </w:r>
      <w:r>
        <w:rPr>
          <w:rFonts w:ascii="Calibri" w:hAnsi="Calibri"/>
          <w:color w:val="333333"/>
          <w:sz w:val="20"/>
        </w:rPr>
        <w:t>Grundy SM, et al. 2018 AHA/ACC Guideline on the Management of Blood Cholesterol. J Am Coll Cardiol. 2019;73(24):e285-e350.</w:t>
      </w:r>
    </w:p>
    <w:p>
      <w:pPr>
        <w:spacing w:before="40" w:after="40"/>
        <w:ind w:left="504" w:hanging="288"/>
      </w:pPr>
      <w:r>
        <w:rPr>
          <w:rFonts w:ascii="Calibri" w:hAnsi="Calibri"/>
          <w:b/>
          <w:color w:val="333333"/>
          <w:sz w:val="20"/>
        </w:rPr>
        <w:t xml:space="preserve">10.  </w:t>
      </w:r>
      <w:r>
        <w:rPr>
          <w:rFonts w:ascii="Calibri" w:hAnsi="Calibri"/>
          <w:color w:val="333333"/>
          <w:sz w:val="20"/>
        </w:rPr>
        <w:t>Joglar JA, et al. 2023 ACC/AHA/ACCP/HRS Guideline for Diagnosis and Management of Atrial Fibrillation. Circulation. 2024;149(1):e1-e156.</w:t>
      </w:r>
    </w:p>
    <w:p>
      <w:pPr>
        <w:spacing w:before="40" w:after="40"/>
        <w:ind w:left="504" w:hanging="288"/>
      </w:pPr>
      <w:r>
        <w:rPr>
          <w:rFonts w:ascii="Calibri" w:hAnsi="Calibri"/>
          <w:b/>
          <w:color w:val="333333"/>
          <w:sz w:val="20"/>
        </w:rPr>
        <w:t xml:space="preserve">11.  </w:t>
      </w:r>
      <w:r>
        <w:rPr>
          <w:rFonts w:ascii="Calibri" w:hAnsi="Calibri"/>
          <w:color w:val="333333"/>
          <w:sz w:val="20"/>
        </w:rPr>
        <w:t>Ommen SR, et al. 2024 AHA/ACC Guideline for the Diagnosis and Treatment of Hypertrophic Cardiomyopathy. J Am Coll Cardiol. 2024.</w:t>
      </w:r>
    </w:p>
    <w:p>
      <w:pPr>
        <w:spacing w:before="40" w:after="40"/>
        <w:ind w:left="504" w:hanging="288"/>
      </w:pPr>
      <w:r>
        <w:rPr>
          <w:rFonts w:ascii="Calibri" w:hAnsi="Calibri"/>
          <w:b/>
          <w:color w:val="333333"/>
          <w:sz w:val="20"/>
        </w:rPr>
        <w:t xml:space="preserve">12.  </w:t>
      </w:r>
      <w:r>
        <w:rPr>
          <w:rFonts w:ascii="Calibri" w:hAnsi="Calibri"/>
          <w:color w:val="333333"/>
          <w:sz w:val="20"/>
        </w:rPr>
        <w:t>Lyon AR, et al. 2022 ESC Guidelines on cardio-oncology. Eur Heart J. 2022;43(41):4229-4361.</w:t>
      </w:r>
    </w:p>
    <w:p>
      <w:pPr>
        <w:spacing w:before="40" w:after="40"/>
        <w:ind w:left="504" w:hanging="288"/>
      </w:pPr>
      <w:r>
        <w:rPr>
          <w:rFonts w:ascii="Calibri" w:hAnsi="Calibri"/>
          <w:b/>
          <w:color w:val="333333"/>
          <w:sz w:val="20"/>
        </w:rPr>
        <w:t xml:space="preserve">13.  </w:t>
      </w:r>
      <w:r>
        <w:rPr>
          <w:rFonts w:ascii="Calibri" w:hAnsi="Calibri"/>
          <w:color w:val="333333"/>
          <w:sz w:val="20"/>
        </w:rPr>
        <w:t>Byrne RA, et al. 2023 ESC Guidelines for the management of acute coronary syndromes. Eur Heart J. 2023;44(38):3720-3826.</w:t>
      </w:r>
    </w:p>
    <w:p>
      <w:pPr>
        <w:spacing w:before="40" w:after="40"/>
        <w:ind w:left="504" w:hanging="288"/>
      </w:pPr>
      <w:r>
        <w:rPr>
          <w:rFonts w:ascii="Calibri" w:hAnsi="Calibri"/>
          <w:b/>
          <w:color w:val="333333"/>
          <w:sz w:val="20"/>
        </w:rPr>
        <w:t xml:space="preserve">14.  </w:t>
      </w:r>
      <w:r>
        <w:rPr>
          <w:rFonts w:ascii="Calibri" w:hAnsi="Calibri"/>
          <w:color w:val="333333"/>
          <w:sz w:val="20"/>
        </w:rPr>
        <w:t>World Health Organization. Cardiovascular diseases fact sheet. 2025.</w:t>
      </w:r>
    </w:p>
    <w:p>
      <w:pPr>
        <w:spacing w:before="40" w:after="40"/>
        <w:ind w:left="504" w:hanging="288"/>
      </w:pPr>
      <w:r>
        <w:rPr>
          <w:rFonts w:ascii="Calibri" w:hAnsi="Calibri"/>
          <w:b/>
          <w:color w:val="333333"/>
          <w:sz w:val="20"/>
        </w:rPr>
        <w:t xml:space="preserve">15.  </w:t>
      </w:r>
      <w:r>
        <w:rPr>
          <w:rFonts w:ascii="Calibri" w:hAnsi="Calibri"/>
          <w:color w:val="333333"/>
          <w:sz w:val="20"/>
        </w:rPr>
        <w:t>American Heart Association. 2025 Heart Disease and Stroke Statistics Update. Circulation. 2025.</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666666"/>
        <w:sz w:val="16"/>
      </w:rPr>
      <w:t xml:space="preserve">Confidential — For Internal Use    |    Page </w:t>
    </w:r>
    <w:fldSimple w:instr=" PAGE \* MERGEFORMAT ">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i/>
        <w:color w:val="666666"/>
        <w:sz w:val="16"/>
      </w:rPr>
      <w:t>HCLS AI Factory — Cardiology Intelligence Agent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276" w:lineRule="auto"/>
    </w:pPr>
    <w:rPr>
      <w:rFonts w:ascii="Calibri" w:hAnsi="Calibri"/>
      <w:color w:val="333333"/>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