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Multi-Collection RAG Architecture for Molecular Tumor Board Intelligence: Evidence-Based Therapy Ranking, Trial Matching, and Resistance-Aware Recommendations</w:t>
      </w:r>
    </w:p>
    <w:p>
      <w:r>
        <w:rPr>
          <w:b/>
        </w:rPr>
        <w:t>Author:</w:t>
      </w:r>
      <w:r>
        <w:t xml:space="preserve"> Adam Jones</w:t>
      </w:r>
    </w:p>
    <w:p>
      <w:r>
        <w:rPr>
          <w:b/>
        </w:rPr>
        <w:t>Date:</w:t>
      </w:r>
      <w:r>
        <w:t xml:space="preserve"> March 2026</w:t>
      </w:r>
    </w:p>
    <w:p>
      <w:r>
        <w:rPr>
          <w:b/>
        </w:rPr>
        <w:t>Version:</w:t>
      </w:r>
      <w:r>
        <w:t xml:space="preserve"> 1.0.0</w:t>
      </w:r>
    </w:p>
    <w:p>
      <w:r>
        <w:rPr>
          <w:b/>
        </w:rPr>
        <w:t>License:</w:t>
      </w:r>
      <w:r>
        <w:t xml:space="preserve"> Apache 2.0</w:t>
      </w:r>
    </w:p>
    <w:p>
      <w:pPr>
        <w:spacing w:before="120" w:after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Abstract</w:t>
      </w:r>
    </w:p>
    <w:p>
      <w:r>
        <w:t>Molecular tumor boards (MTBs) require synthesis of heterogeneous</w:t>
      </w:r>
    </w:p>
    <w:p>
      <w:r>
        <w:t>evidence spanning somatic variant databases, clinical guidelines,</w:t>
      </w:r>
    </w:p>
    <w:p>
      <w:r>
        <w:t>trial registries, pharmacogenomic literature, and resistance</w:t>
      </w:r>
    </w:p>
    <w:p>
      <w:r>
        <w:t>mechanisms -- a task that exceeds the cognitive bandwidth of any</w:t>
      </w:r>
    </w:p>
    <w:p>
      <w:r>
        <w:t>single clinician and resists consolidation by conventional</w:t>
      </w:r>
    </w:p>
    <w:p>
      <w:r>
        <w:t>informatics pipelines. We present the Precision Oncology</w:t>
      </w:r>
    </w:p>
    <w:p>
      <w:r>
        <w:t>Intelligence Agent, a retrieval-augmented generation (RAG) system</w:t>
      </w:r>
    </w:p>
    <w:p>
      <w:r>
        <w:t>that federates eleven Milvus vector collections under a weighted,</w:t>
      </w:r>
    </w:p>
    <w:p>
      <w:r>
        <w:t>multi-strategy search planner to deliver therapy-ranked,</w:t>
      </w:r>
    </w:p>
    <w:p>
      <w:r>
        <w:t>resistance-aware, trial-matched decision support for 26 cancer</w:t>
      </w:r>
    </w:p>
    <w:p>
      <w:r>
        <w:t>types and over 40 actionable gene targets. The system ingests</w:t>
      </w:r>
    </w:p>
    <w:p>
      <w:r>
        <w:t>patient VCF files annotated by SnpEff, VEP, or GENE/GENEINFO</w:t>
      </w:r>
    </w:p>
    <w:p>
      <w:r>
        <w:t>pipelines; constructs per-case knowledge graphs linking variants</w:t>
      </w:r>
    </w:p>
    <w:p>
      <w:r>
        <w:t>to biomarkers, therapies, resistance pathways, and open trials;</w:t>
      </w:r>
    </w:p>
    <w:p>
      <w:r>
        <w:t>ranks candidate therapies using an AMP/ASCO/CAP-aligned evidence</w:t>
      </w:r>
    </w:p>
    <w:p>
      <w:r>
        <w:t>tier (levels A through E); matches patients to clinical trials</w:t>
      </w:r>
    </w:p>
    <w:p>
      <w:r>
        <w:t>via a composite score blending biomarker relevance (0.40), semantic</w:t>
      </w:r>
    </w:p>
    <w:p>
      <w:r>
        <w:t>similarity (0.25), trial phase (0.20), and recruitment status</w:t>
      </w:r>
    </w:p>
    <w:p>
      <w:r>
        <w:t>(0.15); and exports MTB packets as Markdown, JSON, PDF (via</w:t>
      </w:r>
    </w:p>
    <w:p>
      <w:r>
        <w:t>ReportLab), and FHIR R4 DiagnosticReport bundles. All embeddings</w:t>
      </w:r>
    </w:p>
    <w:p>
      <w:r>
        <w:t>use 384-dimensional BAAI/bge-small-en-v1.5 vectors indexed with</w:t>
      </w:r>
    </w:p>
    <w:p>
      <w:r>
        <w:t>IVF_FLAT and COSINE similarity. Synthesis is performed by Claude</w:t>
      </w:r>
    </w:p>
    <w:p>
      <w:r>
        <w:t>Sonnet 4.6. The complete system comprises 66 Python files totaling</w:t>
      </w:r>
    </w:p>
    <w:p>
      <w:r>
        <w:t>approximately 20,490 lines of code, validated by 556 tests across</w:t>
      </w:r>
    </w:p>
    <w:p>
      <w:r>
        <w:t>10 test modules, and runs on a single NVIDIA DGX Spark at a</w:t>
      </w:r>
    </w:p>
    <w:p>
      <w:r>
        <w:t>hardware cost of $3,999.</w:t>
      </w:r>
    </w:p>
    <w:p>
      <w:pPr>
        <w:spacing w:before="120" w:after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1. Introduction</w:t>
      </w:r>
    </w:p>
    <w:p>
      <w:pPr>
        <w:pStyle w:val="Heading3"/>
      </w:pPr>
      <w:r>
        <w:t>1.1 The Molecular Tumor Board Challenge</w:t>
      </w:r>
    </w:p>
    <w:p>
      <w:r>
        <w:t>Precision oncology has shifted the standard of care from</w:t>
      </w:r>
    </w:p>
    <w:p>
      <w:r>
        <w:t>histology-driven protocols to biomarker-driven therapy selection.</w:t>
      </w:r>
    </w:p>
    <w:p>
      <w:r>
        <w:t>Molecular tumor boards -- multidisciplinary panels that review</w:t>
      </w:r>
    </w:p>
    <w:p>
      <w:r>
        <w:t>next-generation sequencing (NGS) results and recommend targeted</w:t>
      </w:r>
    </w:p>
    <w:p>
      <w:r>
        <w:t>treatments -- are now established at most academic cancer centers.</w:t>
      </w:r>
    </w:p>
    <w:p>
      <w:r>
        <w:t>Yet the informatics burden on these panels is acute and growing.</w:t>
      </w:r>
    </w:p>
    <w:p>
      <w:r>
        <w:t>A single tumor genome may harbor hundreds of somatic variants.</w:t>
      </w:r>
    </w:p>
    <w:p>
      <w:r>
        <w:t>For each variant, the MTB must consult:</w:t>
      </w:r>
    </w:p>
    <w:p>
      <w:pPr>
        <w:pStyle w:val="ListBullet"/>
      </w:pPr>
      <w:r>
        <w:rPr>
          <w:b/>
        </w:rPr>
        <w:t>Variant databases</w:t>
      </w:r>
      <w:r>
        <w:t xml:space="preserve"> (CIViC, OncoKB) cataloging the clinical</w:t>
      </w:r>
    </w:p>
    <w:p>
      <w:r>
        <w:t xml:space="preserve">  significance of somatic and germline alterations.</w:t>
      </w:r>
    </w:p>
    <w:p>
      <w:pPr>
        <w:pStyle w:val="ListBullet"/>
      </w:pPr>
      <w:r>
        <w:rPr>
          <w:b/>
        </w:rPr>
        <w:t>Clinical guidelines</w:t>
      </w:r>
      <w:r>
        <w:t xml:space="preserve"> (NCCN, ESMO, ASCO) encoding</w:t>
      </w:r>
    </w:p>
    <w:p>
      <w:r>
        <w:t xml:space="preserve">  category-of-evidence recommendations for biomarker-therapy</w:t>
      </w:r>
    </w:p>
    <w:p>
      <w:r>
        <w:t xml:space="preserve">  pairings.</w:t>
      </w:r>
    </w:p>
    <w:p>
      <w:pPr>
        <w:pStyle w:val="ListBullet"/>
      </w:pPr>
      <w:r>
        <w:rPr>
          <w:b/>
        </w:rPr>
        <w:t>Trial registries</w:t>
      </w:r>
      <w:r>
        <w:t xml:space="preserve"> (ClinicalTrials.gov) listing thousands of</w:t>
      </w:r>
    </w:p>
    <w:p>
      <w:r>
        <w:t xml:space="preserve">  open studies with complex eligibility criteria.</w:t>
      </w:r>
    </w:p>
    <w:p>
      <w:pPr>
        <w:pStyle w:val="ListBullet"/>
      </w:pPr>
      <w:r>
        <w:rPr>
          <w:b/>
        </w:rPr>
        <w:t>Primary literature</w:t>
      </w:r>
      <w:r>
        <w:t xml:space="preserve"> (PubMed, PMC) where new evidence appears</w:t>
      </w:r>
    </w:p>
    <w:p>
      <w:r>
        <w:t xml:space="preserve">  daily.</w:t>
      </w:r>
    </w:p>
    <w:p>
      <w:pPr>
        <w:pStyle w:val="ListBullet"/>
      </w:pPr>
      <w:r>
        <w:rPr>
          <w:b/>
        </w:rPr>
        <w:t>Resistance literature</w:t>
      </w:r>
      <w:r>
        <w:t xml:space="preserve"> documenting acquired and intrinsic</w:t>
      </w:r>
    </w:p>
    <w:p>
      <w:r>
        <w:t xml:space="preserve">  mechanisms that render first-line therapies ineffective.</w:t>
      </w:r>
    </w:p>
    <w:p>
      <w:r>
        <w:t>This information is fragmented across incompatible formats, updated</w:t>
      </w:r>
    </w:p>
    <w:p>
      <w:r>
        <w:t>on different cadences, and scaled beyond manual review. A typical</w:t>
      </w:r>
    </w:p>
    <w:p>
      <w:r>
        <w:t>MTB case review lasts 10-15 minutes, during which oncologists,</w:t>
      </w:r>
    </w:p>
    <w:p>
      <w:r>
        <w:t>pathologists, geneticists, and pharmacists must reach consensus on</w:t>
      </w:r>
    </w:p>
    <w:p>
      <w:r>
        <w:t>therapy, trials, and follow-up -- often with incomplete evidence.</w:t>
      </w:r>
    </w:p>
    <w:p>
      <w:pPr>
        <w:pStyle w:val="Heading3"/>
      </w:pPr>
      <w:r>
        <w:t>1.2 Limitations of Existing Approaches</w:t>
      </w:r>
    </w:p>
    <w:p>
      <w:r>
        <w:t>Current decision support tools fall into two categories. Rule-based</w:t>
      </w:r>
    </w:p>
    <w:p>
      <w:r>
        <w:t>annotation engines (e.g., OpenCRAVAT, Ensembl VEP) attach known</w:t>
      </w:r>
    </w:p>
    <w:p>
      <w:r>
        <w:t>annotations to variants but do not synthesize evidence across</w:t>
      </w:r>
    </w:p>
    <w:p>
      <w:r>
        <w:t>sources or adapt to clinical context. Commercial platforms (e.g.,</w:t>
      </w:r>
    </w:p>
    <w:p>
      <w:r>
        <w:t>Foundation Medicine, Tempus) provide integrated reports but operate</w:t>
      </w:r>
    </w:p>
    <w:p>
      <w:r>
        <w:t>as closed systems with per-patient licensing costs that limit</w:t>
      </w:r>
    </w:p>
    <w:p>
      <w:r>
        <w:t>accessibility. Neither approach provides real-time, multi-source</w:t>
      </w:r>
    </w:p>
    <w:p>
      <w:r>
        <w:t>evidence synthesis with resistance awareness, trial matching, and</w:t>
      </w:r>
    </w:p>
    <w:p>
      <w:r>
        <w:t>exportable MTB packets in an open-source, locally deployable</w:t>
      </w:r>
    </w:p>
    <w:p>
      <w:r>
        <w:t>package.</w:t>
      </w:r>
    </w:p>
    <w:p>
      <w:pPr>
        <w:pStyle w:val="Heading3"/>
      </w:pPr>
      <w:r>
        <w:t>1.3 Contribution</w:t>
      </w:r>
    </w:p>
    <w:p>
      <w:r>
        <w:t>This paper describes the Precision Oncology Intelligence Agent, a</w:t>
      </w:r>
    </w:p>
    <w:p>
      <w:r>
        <w:t>RAG-powered MTB decision support system that:</w:t>
      </w:r>
    </w:p>
    <w:p>
      <w:pPr>
        <w:pStyle w:val="ListNumber"/>
      </w:pPr>
      <w:r>
        <w:t>Federates 11 vector collections covering the full evidence</w:t>
      </w:r>
    </w:p>
    <w:p>
      <w:r>
        <w:t xml:space="preserve">   landscape.</w:t>
      </w:r>
    </w:p>
    <w:p>
      <w:pPr>
        <w:pStyle w:val="ListNumber"/>
      </w:pPr>
      <w:r>
        <w:t>Implements weighted, strategy-adaptive search across all</w:t>
      </w:r>
    </w:p>
    <w:p>
      <w:r>
        <w:t xml:space="preserve">   collections.</w:t>
      </w:r>
    </w:p>
    <w:p>
      <w:pPr>
        <w:pStyle w:val="ListNumber"/>
      </w:pPr>
      <w:r>
        <w:t>Ranks therapies with resistance-aware, evidence-tiered scoring.</w:t>
      </w:r>
    </w:p>
    <w:p>
      <w:pPr>
        <w:pStyle w:val="ListNumber"/>
      </w:pPr>
      <w:r>
        <w:t>Matches patients to clinical trials using hybrid</w:t>
      </w:r>
    </w:p>
    <w:p>
      <w:r>
        <w:t xml:space="preserve">   deterministic-semantic composite scores.</w:t>
      </w:r>
    </w:p>
    <w:p>
      <w:pPr>
        <w:pStyle w:val="ListNumber"/>
      </w:pPr>
      <w:r>
        <w:t>Generates exportable MTB packets in four formats including</w:t>
      </w:r>
    </w:p>
    <w:p>
      <w:r>
        <w:t xml:space="preserve">   FHIR R4.</w:t>
      </w:r>
    </w:p>
    <w:p>
      <w:pPr>
        <w:pStyle w:val="ListNumber"/>
      </w:pPr>
      <w:r>
        <w:t>Runs on a single NVIDIA DGX Spark ($3,999), making</w:t>
      </w:r>
    </w:p>
    <w:p>
      <w:r>
        <w:t xml:space="preserve">   institutional-grade decision support accessible to community</w:t>
      </w:r>
    </w:p>
    <w:p>
      <w:r>
        <w:t xml:space="preserve">   oncology practices.</w:t>
      </w:r>
    </w:p>
    <w:p>
      <w:pPr>
        <w:pStyle w:val="ListNumber"/>
      </w:pPr>
      <w:r>
        <w:t>Is fully open-source under the Apache 2.0 license.</w:t>
      </w:r>
    </w:p>
    <w:p>
      <w:pPr>
        <w:spacing w:before="120" w:after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2. System Architecture</w:t>
      </w:r>
    </w:p>
    <w:p>
      <w:pPr>
        <w:pStyle w:val="Heading3"/>
      </w:pPr>
      <w:r>
        <w:t>2.1 Deployment Context</w:t>
      </w:r>
    </w:p>
    <w:p>
      <w:r>
        <w:t>The agent operates within the HCLS AI Factory, a three-stage</w:t>
      </w:r>
    </w:p>
    <w:p>
      <w:r>
        <w:t>precision medicine pipeline transforming raw patient DNA (FASTQ)</w:t>
      </w:r>
    </w:p>
    <w:p>
      <w:r>
        <w:t>into drug candidates in under five hours:</w:t>
      </w:r>
    </w:p>
    <w:p>
      <w:pPr>
        <w:pStyle w:val="ListNumber"/>
      </w:pPr>
      <w:r>
        <w:rPr>
          <w:b/>
        </w:rPr>
        <w:t>Genomics Pipeline</w:t>
      </w:r>
      <w:r>
        <w:t xml:space="preserve"> -- Parabricks/DeepVariant/BWA-MEM2,</w:t>
      </w:r>
    </w:p>
    <w:p>
      <w:r>
        <w:t xml:space="preserve">   producing annotated VCF files.</w:t>
      </w:r>
    </w:p>
    <w:p>
      <w:pPr>
        <w:pStyle w:val="ListNumber"/>
      </w:pPr>
      <w:r>
        <w:rPr>
          <w:b/>
        </w:rPr>
        <w:t>RAG/Chat Pipeline</w:t>
      </w:r>
      <w:r>
        <w:t xml:space="preserve"> -- Milvus vector database with Claude AI</w:t>
      </w:r>
    </w:p>
    <w:p>
      <w:r>
        <w:t xml:space="preserve">   for variant interpretation.</w:t>
      </w:r>
    </w:p>
    <w:p>
      <w:pPr>
        <w:pStyle w:val="ListNumber"/>
      </w:pPr>
      <w:r>
        <w:rPr>
          <w:b/>
        </w:rPr>
        <w:t>Drug Discovery Pipeline</w:t>
      </w:r>
      <w:r>
        <w:t xml:space="preserve"> -- BioNeMo MolMIM/DiffDock/RDKit</w:t>
      </w:r>
    </w:p>
    <w:p>
      <w:r>
        <w:t xml:space="preserve">   for molecular docking and lead optimization.</w:t>
      </w:r>
    </w:p>
    <w:p>
      <w:r>
        <w:t>The oncology agent sits at the intersection of stages 1 and 2,</w:t>
      </w:r>
    </w:p>
    <w:p>
      <w:r>
        <w:t>consuming VCF output from the genomics pipeline and producing</w:t>
      </w:r>
    </w:p>
    <w:p>
      <w:r>
        <w:t>structured therapy recommendations that feed the drug discovery</w:t>
      </w:r>
    </w:p>
    <w:p>
      <w:r>
        <w:t>stage.</w:t>
      </w:r>
    </w:p>
    <w:p>
      <w:pPr>
        <w:pStyle w:val="Heading3"/>
      </w:pPr>
      <w:r>
        <w:t>2.2 Multi-Collection Vector Store</w:t>
      </w:r>
    </w:p>
    <w:p>
      <w:r>
        <w:t>The system organizes knowledge into 11 Milvus collections, each</w:t>
      </w:r>
    </w:p>
    <w:p>
      <w:r>
        <w:t>serving a distinct evidentiary role. All collections use</w:t>
      </w:r>
    </w:p>
    <w:p>
      <w:r>
        <w:t>384-dimensional embeddings from BAAI/bge-small-en-v1.5, indexed</w:t>
      </w:r>
    </w:p>
    <w:p>
      <w:r>
        <w:t>with IVF_FLAT, searched by COSINE similarity: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sz w:val="18"/>
              </w:rPr>
              <w:t>#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Collection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Weight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Source Domain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`onco_variants`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0.18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CIViC/OncoKB actionable variants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`onco_literature`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0.16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PubMed/PMC literature chunks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`onco_therapies`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0.14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FDA-approved therapies + mechanisms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`onco_guidelines`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0.12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NCCN/ESMO/ASCO clinical guidelines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`onco_trials`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0.10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ClinicalTrials.gov records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`onco_biomarkers`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0.08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Predictive/prognostic biomarkers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`onco_resistance`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0.07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Resistance mechanisms/bypass paths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`onco_pathways`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0.06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Oncogenic signaling (13 pathways)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`onco_outcomes`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0.04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Treatment outcomes (RECIST scale)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`onco_cases`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0.02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Patient case snapshots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`genomic_evidence`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0.03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Read-only shared from Stage 1</w:t>
            </w:r>
          </w:p>
        </w:tc>
      </w:tr>
    </w:tbl>
    <w:p/>
    <w:p>
      <w:r>
        <w:t>The weight distribution reflects clinical priority: actionable</w:t>
      </w:r>
    </w:p>
    <w:p>
      <w:r>
        <w:t>variant evidence and peer-reviewed literature receive the highest</w:t>
      </w:r>
    </w:p>
    <w:p>
      <w:r>
        <w:t>weights, while historical case snapshots serve as supplementary</w:t>
      </w:r>
    </w:p>
    <w:p>
      <w:r>
        <w:t xml:space="preserve">context. The </w:t>
      </w:r>
      <w:r>
        <w:rPr>
          <w:rFonts w:ascii="Consolas" w:hAnsi="Consolas"/>
          <w:color w:val="880000"/>
          <w:sz w:val="20"/>
        </w:rPr>
        <w:t>genomic_evidence</w:t>
      </w:r>
      <w:r>
        <w:t xml:space="preserve"> collection is read-only and shared</w:t>
      </w:r>
    </w:p>
    <w:p>
      <w:r>
        <w:t>with other agents in the HCLS AI Factory ecosystem.</w:t>
      </w:r>
    </w:p>
    <w:p>
      <w:pPr>
        <w:pStyle w:val="Heading3"/>
      </w:pPr>
      <w:r>
        <w:t>2.3 Embedding Strategy</w:t>
      </w:r>
    </w:p>
    <w:p>
      <w:r>
        <w:t>BAAI/bge-small-en-v1.5 (33M parameters, 384-dimensional output)</w:t>
      </w:r>
    </w:p>
    <w:p>
      <w:r>
        <w:t>was selected for biomedical retrieval competence, deployment</w:t>
      </w:r>
    </w:p>
    <w:p>
      <w:r>
        <w:t>efficiency on constrained hardware, and compatibility with IVF_FLAT</w:t>
      </w:r>
    </w:p>
    <w:p>
      <w:r>
        <w:t>indexing for sub-second search latency across millions of vectors.</w:t>
      </w:r>
    </w:p>
    <w:p>
      <w:pPr>
        <w:pStyle w:val="Heading3"/>
      </w:pPr>
      <w:r>
        <w:t>2.4 Agent Workflow</w:t>
      </w:r>
    </w:p>
    <w:p>
      <w:r>
        <w:t>The agent follows a plan-search-evaluate-synthesize loop:</w:t>
      </w:r>
    </w:p>
    <w:p>
      <w:pPr>
        <w:ind w:left="720"/>
      </w:pPr>
      <w:r>
        <w:rPr>
          <w:rFonts w:ascii="Consolas" w:hAnsi="Consolas"/>
          <w:color w:val="333333"/>
          <w:sz w:val="18"/>
        </w:rPr>
        <w:t>plan -&gt; search -&gt; evaluate -&gt; (retry if insufficient) -&gt; synthesize</w:t>
      </w:r>
    </w:p>
    <w:p>
      <w:r>
        <w:rPr>
          <w:b/>
        </w:rPr>
        <w:t>SearchPlan.</w:t>
      </w:r>
      <w:r>
        <w:t xml:space="preserve"> Given a patient query or VCF-derived variant set,</w:t>
      </w:r>
    </w:p>
    <w:p>
      <w:r>
        <w:t>the planner identifies relevant genes, cancer types, and topics,</w:t>
      </w:r>
    </w:p>
    <w:p>
      <w:r>
        <w:t>then selects a search strategy:</w:t>
      </w:r>
    </w:p>
    <w:p>
      <w:pPr>
        <w:pStyle w:val="ListBullet"/>
      </w:pPr>
      <w:r>
        <w:rPr>
          <w:b/>
        </w:rPr>
        <w:t>Broad</w:t>
      </w:r>
      <w:r>
        <w:t>: queries all 11 collections for exploratory or complex</w:t>
      </w:r>
    </w:p>
    <w:p>
      <w:r>
        <w:t xml:space="preserve">  cases.</w:t>
      </w:r>
    </w:p>
    <w:p>
      <w:pPr>
        <w:pStyle w:val="ListBullet"/>
      </w:pPr>
      <w:r>
        <w:rPr>
          <w:b/>
        </w:rPr>
        <w:t>Targeted</w:t>
      </w:r>
      <w:r>
        <w:t>: focuses on the highest-weighted collections for</w:t>
      </w:r>
    </w:p>
    <w:p>
      <w:r>
        <w:t xml:space="preserve">  well-characterized variants.</w:t>
      </w:r>
    </w:p>
    <w:p>
      <w:pPr>
        <w:pStyle w:val="ListBullet"/>
      </w:pPr>
      <w:r>
        <w:rPr>
          <w:b/>
        </w:rPr>
        <w:t>Comparative</w:t>
      </w:r>
      <w:r>
        <w:t>: searches therapies, resistance, and outcomes</w:t>
      </w:r>
    </w:p>
    <w:p>
      <w:r>
        <w:t xml:space="preserve">  collections for head-to-head therapy comparison.</w:t>
      </w:r>
    </w:p>
    <w:p>
      <w:r>
        <w:rPr>
          <w:b/>
        </w:rPr>
        <w:t>Evidence Evaluation.</w:t>
      </w:r>
      <w:r>
        <w:t xml:space="preserve"> Retrieved evidence is classified as:</w:t>
      </w:r>
    </w:p>
    <w:p>
      <w:pPr>
        <w:pStyle w:val="ListBullet"/>
      </w:pPr>
      <w:r>
        <w:rPr>
          <w:b/>
        </w:rPr>
        <w:t>Sufficient</w:t>
      </w:r>
      <w:r>
        <w:t>: 3 or more hits from 2 or more distinct</w:t>
      </w:r>
    </w:p>
    <w:p>
      <w:r>
        <w:t xml:space="preserve">  collections.</w:t>
      </w:r>
    </w:p>
    <w:p>
      <w:pPr>
        <w:pStyle w:val="ListBullet"/>
      </w:pPr>
      <w:r>
        <w:rPr>
          <w:b/>
        </w:rPr>
        <w:t>Partial</w:t>
      </w:r>
      <w:r>
        <w:t>: some relevant hits below the sufficiency threshold.</w:t>
      </w:r>
    </w:p>
    <w:p>
      <w:pPr>
        <w:pStyle w:val="ListBullet"/>
      </w:pPr>
      <w:r>
        <w:rPr>
          <w:b/>
        </w:rPr>
        <w:t>Insufficient</w:t>
      </w:r>
      <w:r>
        <w:t>: fewer than 3 total hits.</w:t>
      </w:r>
    </w:p>
    <w:p>
      <w:r>
        <w:t>If evidence is insufficient, the agent retries with broadened</w:t>
      </w:r>
    </w:p>
    <w:p>
      <w:r>
        <w:t>queries or relaxed similarity thresholds, up to MAX_RETRIES = 2.</w:t>
      </w:r>
    </w:p>
    <w:p>
      <w:pPr>
        <w:pStyle w:val="Heading3"/>
      </w:pPr>
      <w:r>
        <w:t>2.5 Multi-Module Architecture</w:t>
      </w:r>
    </w:p>
    <w:p>
      <w:r>
        <w:t>The agent comprises five core modules:</w:t>
      </w:r>
    </w:p>
    <w:p>
      <w:pPr>
        <w:pStyle w:val="ListNumber"/>
      </w:pPr>
      <w:r>
        <w:rPr>
          <w:b/>
        </w:rPr>
        <w:t>RAG Engine</w:t>
      </w:r>
      <w:r>
        <w:t xml:space="preserve"> -- collection access, query embedding, weighted</w:t>
      </w:r>
    </w:p>
    <w:p>
      <w:r>
        <w:t xml:space="preserve">   retrieval, and evidence assembly.</w:t>
      </w:r>
    </w:p>
    <w:p>
      <w:pPr>
        <w:pStyle w:val="ListNumber"/>
      </w:pPr>
      <w:r>
        <w:rPr>
          <w:b/>
        </w:rPr>
        <w:t>Therapy Ranker</w:t>
      </w:r>
      <w:r>
        <w:t xml:space="preserve"> -- evidence tiering, resistance penalties,</w:t>
      </w:r>
    </w:p>
    <w:p>
      <w:r>
        <w:t xml:space="preserve">   biomarker overrides, and ranked output.</w:t>
      </w:r>
    </w:p>
    <w:p>
      <w:pPr>
        <w:pStyle w:val="ListNumber"/>
      </w:pPr>
      <w:r>
        <w:rPr>
          <w:b/>
        </w:rPr>
        <w:t>Trial Matcher</w:t>
      </w:r>
      <w:r>
        <w:t xml:space="preserve"> -- composite scoring, biomarker matching,</w:t>
      </w:r>
    </w:p>
    <w:p>
      <w:r>
        <w:t xml:space="preserve">   semantic search, and trial ranking.</w:t>
      </w:r>
    </w:p>
    <w:p>
      <w:pPr>
        <w:pStyle w:val="ListNumber"/>
      </w:pPr>
      <w:r>
        <w:rPr>
          <w:b/>
        </w:rPr>
        <w:t>Case Manager</w:t>
      </w:r>
      <w:r>
        <w:t xml:space="preserve"> -- VCF ingestion, patient profile construction,</w:t>
      </w:r>
    </w:p>
    <w:p>
      <w:r>
        <w:t xml:space="preserve">   and MTB packet orchestration.</w:t>
      </w:r>
    </w:p>
    <w:p>
      <w:pPr>
        <w:pStyle w:val="ListNumber"/>
      </w:pPr>
      <w:r>
        <w:rPr>
          <w:b/>
        </w:rPr>
        <w:t>Knowledge Graph</w:t>
      </w:r>
      <w:r>
        <w:t xml:space="preserve"> -- structured relationships between genes,</w:t>
      </w:r>
    </w:p>
    <w:p>
      <w:r>
        <w:t xml:space="preserve">   variants, therapies, resistance mechanisms, pathways, and</w:t>
      </w:r>
    </w:p>
    <w:p>
      <w:r>
        <w:t xml:space="preserve">   biomarkers.</w:t>
      </w:r>
    </w:p>
    <w:p>
      <w:pPr>
        <w:pStyle w:val="Heading3"/>
      </w:pPr>
      <w:r>
        <w:t>2.6 Cross-Agent Integration</w:t>
      </w:r>
    </w:p>
    <w:p>
      <w:r>
        <w:t>The agent participates in the HCLS AI Factory event system:</w:t>
      </w:r>
    </w:p>
    <w:p>
      <w:pPr>
        <w:pStyle w:val="ListBullet"/>
      </w:pPr>
      <w:r>
        <w:rPr>
          <w:b/>
        </w:rPr>
        <w:t>ONCOLOGY_CASE_CREATED</w:t>
      </w:r>
      <w:r>
        <w:t xml:space="preserve"> -- emitted when a new patient case is</w:t>
      </w:r>
    </w:p>
    <w:p>
      <w:r>
        <w:t xml:space="preserve">  registered, triggering downstream drug discovery docking.</w:t>
      </w:r>
    </w:p>
    <w:p>
      <w:pPr>
        <w:pStyle w:val="ListBullet"/>
      </w:pPr>
      <w:r>
        <w:rPr>
          <w:b/>
        </w:rPr>
        <w:t>THERAPY_RANKED</w:t>
      </w:r>
      <w:r>
        <w:t xml:space="preserve"> -- emitted when therapy ranking completes,</w:t>
      </w:r>
    </w:p>
    <w:p>
      <w:r>
        <w:t xml:space="preserve">  notifying the dashboard and subscribed agents.</w:t>
      </w:r>
    </w:p>
    <w:p>
      <w:pPr>
        <w:spacing w:before="120" w:after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3. Knowledge Graph</w:t>
      </w:r>
    </w:p>
    <w:p>
      <w:pPr>
        <w:pStyle w:val="Heading3"/>
      </w:pPr>
      <w:r>
        <w:t>3.1 Actionable Gene Targets</w:t>
      </w:r>
    </w:p>
    <w:p>
      <w:r>
        <w:t>The knowledge graph encodes over 40 actionable gene targets curated</w:t>
      </w:r>
    </w:p>
    <w:p>
      <w:r>
        <w:t>from CIViC, OncoKB, and NCCN guidelines. Each entry includes:</w:t>
      </w:r>
    </w:p>
    <w:p>
      <w:pPr>
        <w:pStyle w:val="ListBullet"/>
      </w:pPr>
      <w:r>
        <w:t>Gene symbol and HGNC identifier.</w:t>
      </w:r>
    </w:p>
    <w:p>
      <w:pPr>
        <w:pStyle w:val="ListBullet"/>
      </w:pPr>
      <w:r>
        <w:t>Associated cancer types (from the 26 supported types).</w:t>
      </w:r>
    </w:p>
    <w:p>
      <w:pPr>
        <w:pStyle w:val="ListBullet"/>
      </w:pPr>
      <w:r>
        <w:t>Known actionable variants (e.g., EGFR L858R, BRAF V600E).</w:t>
      </w:r>
    </w:p>
    <w:p>
      <w:pPr>
        <w:pStyle w:val="ListBullet"/>
      </w:pPr>
      <w:r>
        <w:t>Linked therapies with evidence levels.</w:t>
      </w:r>
    </w:p>
    <w:p>
      <w:pPr>
        <w:pStyle w:val="ListBullet"/>
      </w:pPr>
      <w:r>
        <w:t>Known resistance mechanisms and bypass pathways.</w:t>
      </w:r>
    </w:p>
    <w:p>
      <w:pPr>
        <w:pStyle w:val="Heading3"/>
      </w:pPr>
      <w:r>
        <w:t>3.2 Therapy Map</w:t>
      </w:r>
    </w:p>
    <w:p>
      <w:r>
        <w:t>The therapy map links each FDA-approved targeted therapy to its</w:t>
      </w:r>
    </w:p>
    <w:p>
      <w:r>
        <w:t>molecular targets, approved indications, and mechanism of action.</w:t>
      </w:r>
    </w:p>
    <w:p>
      <w:r>
        <w:t>Entries are sourced from FDA label data and supplemented by</w:t>
      </w:r>
    </w:p>
    <w:p>
      <w:r>
        <w:t>guideline-level recommendations from NCCN and ESMO.</w:t>
      </w:r>
    </w:p>
    <w:p>
      <w:pPr>
        <w:pStyle w:val="Heading3"/>
      </w:pPr>
      <w:r>
        <w:t>3.3 Resistance Map</w:t>
      </w:r>
    </w:p>
    <w:p>
      <w:r>
        <w:t>The resistance map catalogs known mechanisms of acquired and</w:t>
      </w:r>
    </w:p>
    <w:p>
      <w:r>
        <w:t>intrinsic resistance for each gene-therapy pair:</w:t>
      </w:r>
    </w:p>
    <w:p>
      <w:pPr>
        <w:pStyle w:val="ListBullet"/>
      </w:pPr>
      <w:r>
        <w:rPr>
          <w:b/>
        </w:rPr>
        <w:t>On-target resistance</w:t>
      </w:r>
      <w:r>
        <w:t>: secondary mutations in the drug target</w:t>
      </w:r>
    </w:p>
    <w:p>
      <w:r>
        <w:t xml:space="preserve">  (e.g., EGFR T790M conferring resistance to first-generation EGFR</w:t>
      </w:r>
    </w:p>
    <w:p>
      <w:r>
        <w:t xml:space="preserve">  TKIs).</w:t>
      </w:r>
    </w:p>
    <w:p>
      <w:pPr>
        <w:pStyle w:val="ListBullet"/>
      </w:pPr>
      <w:r>
        <w:rPr>
          <w:b/>
        </w:rPr>
        <w:t>Bypass pathway activation</w:t>
      </w:r>
      <w:r>
        <w:t>: upregulation of alternative</w:t>
      </w:r>
    </w:p>
    <w:p>
      <w:r>
        <w:t xml:space="preserve">  signaling (e.g., MET amplification bypassing EGFR inhibition).</w:t>
      </w:r>
    </w:p>
    <w:p>
      <w:pPr>
        <w:pStyle w:val="ListBullet"/>
      </w:pPr>
      <w:r>
        <w:rPr>
          <w:b/>
        </w:rPr>
        <w:t>Downstream reactivation</w:t>
      </w:r>
      <w:r>
        <w:t>: mutations in downstream effectors</w:t>
      </w:r>
    </w:p>
    <w:p>
      <w:r>
        <w:t xml:space="preserve">  (e.g., KRAS mutations reactivating MAPK signaling under BRAF</w:t>
      </w:r>
    </w:p>
    <w:p>
      <w:r>
        <w:t xml:space="preserve">  inhibition).</w:t>
      </w:r>
    </w:p>
    <w:p>
      <w:pPr>
        <w:pStyle w:val="Heading3"/>
      </w:pPr>
      <w:r>
        <w:t>3.4 Pathway Map</w:t>
      </w:r>
    </w:p>
    <w:p>
      <w:r>
        <w:t>The pathway map models 13 oncogenic signaling pathways: MAPK/ERK,</w:t>
      </w:r>
    </w:p>
    <w:p>
      <w:r>
        <w:t>PI3K/AKT/mTOR, WNT/beta-catenin, Notch, Hedgehog, JAK/STAT, DNA</w:t>
      </w:r>
    </w:p>
    <w:p>
      <w:r>
        <w:t>damage repair (HRD), cell cycle (CDK4/6-RB), apoptosis (BCL-2),</w:t>
      </w:r>
    </w:p>
    <w:p>
      <w:r>
        <w:t>angiogenesis (VEGF/VEGFR), chromatin remodeling, immune checkpoint</w:t>
      </w:r>
    </w:p>
    <w:p>
      <w:r>
        <w:t>(PD-1/PD-L1/CTLA-4), and receptor tyrosine kinase</w:t>
      </w:r>
    </w:p>
    <w:p>
      <w:r>
        <w:t>(EGFR/ALK/ROS1/RET/NTRK). Each node links to member genes,</w:t>
      </w:r>
    </w:p>
    <w:p>
      <w:r>
        <w:t>oncogenic alterations, and pathway-targeted therapies.</w:t>
      </w:r>
    </w:p>
    <w:p>
      <w:pPr>
        <w:pStyle w:val="Heading3"/>
      </w:pPr>
      <w:r>
        <w:t>3.5 Biomarker Panels</w:t>
      </w:r>
    </w:p>
    <w:p>
      <w:r>
        <w:t>Structured biomarker panels encode deterministic therapy-selection</w:t>
      </w:r>
    </w:p>
    <w:p>
      <w:r>
        <w:t>rules aligned with NCCN and FDA companion diagnostic approvals: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sz w:val="18"/>
              </w:rPr>
              <w:t>Biomarker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Therapies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MSI-H / TMB-H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pembrolizumab, nivolumab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HRD+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olaparib, rucaparib, niraparib, talazoparib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PD-L1 TPS &gt;= 50%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pembrolizumab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NTRK fusion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larotrectinib, entrectinib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EGFR+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osimertinib, erlotinib, gefitinib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BRAF V600E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vemurafenib, dabrafenib, encorafenib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ALK+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crizotinib, alectinib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KRAS G12C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sotorasib, adagrasib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RET fusion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selpercatinib, pralsetinib</w:t>
            </w:r>
          </w:p>
        </w:tc>
      </w:tr>
    </w:tbl>
    <w:p/>
    <w:p>
      <w:r>
        <w:t>These rules serve as hard constraints in the therapy ranking</w:t>
      </w:r>
    </w:p>
    <w:p>
      <w:r>
        <w:t>engine, ensuring guideline-concordant recommendations are never</w:t>
      </w:r>
    </w:p>
    <w:p>
      <w:r>
        <w:t>suppressed by lower-confidence RAG-derived evidence.</w:t>
      </w:r>
    </w:p>
    <w:p>
      <w:pPr>
        <w:spacing w:before="120" w:after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4. Therapy Ranking Engine</w:t>
      </w:r>
    </w:p>
    <w:p>
      <w:pPr>
        <w:pStyle w:val="Heading3"/>
      </w:pPr>
      <w:r>
        <w:t>4.1 Evidence-Level Tiering</w:t>
      </w:r>
    </w:p>
    <w:p>
      <w:r>
        <w:t>Therapies are scored using a tier system aligned with the</w:t>
      </w:r>
    </w:p>
    <w:p>
      <w:r>
        <w:t>AMP/ASCO/CAP joint consensus guidelines for somatic variant</w:t>
      </w:r>
    </w:p>
    <w:p>
      <w:r>
        <w:t>classification: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sz w:val="18"/>
              </w:rPr>
              <w:t>Tier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Level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FDA-approved therapy, companion diagnostic approved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Well-powered studies, consensus guideline support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II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FDA-approved for different tumor type, case series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II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Preclinical data, case reports, biological rationale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III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Investigational, conflicting evidence</w:t>
            </w:r>
          </w:p>
        </w:tc>
      </w:tr>
    </w:tbl>
    <w:p/>
    <w:p>
      <w:r>
        <w:t>Each therapy-variant pair receives a tier assignment based on the</w:t>
      </w:r>
    </w:p>
    <w:p>
      <w:r>
        <w:t>strongest evidence retrieved across collections. The tier drives</w:t>
      </w:r>
    </w:p>
    <w:p>
      <w:r>
        <w:t>the base score for therapy ranking.</w:t>
      </w:r>
    </w:p>
    <w:p>
      <w:pPr>
        <w:pStyle w:val="Heading3"/>
      </w:pPr>
      <w:r>
        <w:t>4.2 Resistance Awareness</w:t>
      </w:r>
    </w:p>
    <w:p>
      <w:r>
        <w:t>The ranking engine applies resistance penalties at three levels:</w:t>
      </w:r>
    </w:p>
    <w:p>
      <w:pPr>
        <w:pStyle w:val="ListNumber"/>
      </w:pPr>
      <w:r>
        <w:rPr>
          <w:b/>
        </w:rPr>
        <w:t>Known resistance mutation detected</w:t>
      </w:r>
      <w:r>
        <w:t>: if the patient's VCF</w:t>
      </w:r>
    </w:p>
    <w:p>
      <w:r>
        <w:t xml:space="preserve">   contains a variant cataloged as a resistance mechanism for a</w:t>
      </w:r>
    </w:p>
    <w:p>
      <w:r>
        <w:t xml:space="preserve">   candidate therapy, that therapy is flagged and penalized.</w:t>
      </w:r>
    </w:p>
    <w:p>
      <w:pPr>
        <w:pStyle w:val="ListNumber"/>
      </w:pPr>
      <w:r>
        <w:rPr>
          <w:b/>
        </w:rPr>
        <w:t>Pathway-level bypass risk</w:t>
      </w:r>
      <w:r>
        <w:t>: if alterations in bypass pathway</w:t>
      </w:r>
    </w:p>
    <w:p>
      <w:r>
        <w:t xml:space="preserve">   genes are detected, therapies targeting the primary pathway</w:t>
      </w:r>
    </w:p>
    <w:p>
      <w:r>
        <w:t xml:space="preserve">   receive a risk annotation.</w:t>
      </w:r>
    </w:p>
    <w:p>
      <w:pPr>
        <w:pStyle w:val="ListNumber"/>
      </w:pPr>
      <w:r>
        <w:rPr>
          <w:b/>
        </w:rPr>
        <w:t>Historical resistance prevalence</w:t>
      </w:r>
      <w:r>
        <w:t>: population-level resistance</w:t>
      </w:r>
    </w:p>
    <w:p>
      <w:r>
        <w:t xml:space="preserve">   rates from the outcomes collection inform prior probabilities of</w:t>
      </w:r>
    </w:p>
    <w:p>
      <w:r>
        <w:t xml:space="preserve">   treatment failure.</w:t>
      </w:r>
    </w:p>
    <w:p>
      <w:pPr>
        <w:pStyle w:val="Heading3"/>
      </w:pPr>
      <w:r>
        <w:t>4.3 Biomarker-Driven Recommendations</w:t>
      </w:r>
    </w:p>
    <w:p>
      <w:r>
        <w:t>Biomarker rules from Section 3.5 are applied as deterministic</w:t>
      </w:r>
    </w:p>
    <w:p>
      <w:r>
        <w:t>overrides. When a patient's molecular profile matches a biomarker</w:t>
      </w:r>
    </w:p>
    <w:p>
      <w:r>
        <w:t>panel entry, associated therapies are promoted to the top of the</w:t>
      </w:r>
    </w:p>
    <w:p>
      <w:r>
        <w:t>ranked list regardless of RAG-derived scores, ensuring</w:t>
      </w:r>
    </w:p>
    <w:p>
      <w:r>
        <w:t>standard-of-care recommendations are never ranked below</w:t>
      </w:r>
    </w:p>
    <w:p>
      <w:r>
        <w:t>investigational options.</w:t>
      </w:r>
    </w:p>
    <w:p>
      <w:pPr>
        <w:pStyle w:val="Heading3"/>
      </w:pPr>
      <w:r>
        <w:t>4.4 Ranking Output</w:t>
      </w:r>
    </w:p>
    <w:p>
      <w:r>
        <w:t>The final ranked therapy list includes, for each candidate:</w:t>
      </w:r>
    </w:p>
    <w:p>
      <w:pPr>
        <w:pStyle w:val="ListBullet"/>
      </w:pPr>
      <w:r>
        <w:t>Drug name and mechanism of action.</w:t>
      </w:r>
    </w:p>
    <w:p>
      <w:pPr>
        <w:pStyle w:val="ListBullet"/>
      </w:pPr>
      <w:r>
        <w:t>Evidence level (A-E) and supporting sources.</w:t>
      </w:r>
    </w:p>
    <w:p>
      <w:pPr>
        <w:pStyle w:val="ListBullet"/>
      </w:pPr>
      <w:r>
        <w:t>Resistance flags and bypass pathway warnings.</w:t>
      </w:r>
    </w:p>
    <w:p>
      <w:pPr>
        <w:pStyle w:val="ListBullet"/>
      </w:pPr>
      <w:r>
        <w:t>Biomarker match status.</w:t>
      </w:r>
    </w:p>
    <w:p>
      <w:pPr>
        <w:pStyle w:val="ListBullet"/>
      </w:pPr>
      <w:r>
        <w:t>Relevant clinical trials (cross-referenced from the trial</w:t>
      </w:r>
    </w:p>
    <w:p>
      <w:r>
        <w:t xml:space="preserve">  matcher).</w:t>
      </w:r>
    </w:p>
    <w:p>
      <w:pPr>
        <w:spacing w:before="120" w:after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5. Clinical Trial Matching</w:t>
      </w:r>
    </w:p>
    <w:p>
      <w:pPr>
        <w:pStyle w:val="Heading3"/>
      </w:pPr>
      <w:r>
        <w:t>5.1 Hybrid Scoring</w:t>
      </w:r>
    </w:p>
    <w:p>
      <w:r>
        <w:t>The trial matcher blends deterministic biomarker matching with</w:t>
      </w:r>
    </w:p>
    <w:p>
      <w:r>
        <w:t>semantic similarity, addressing a limitation of pure semantic</w:t>
      </w:r>
    </w:p>
    <w:p>
      <w:r>
        <w:t>search: eligibility criteria contain structured fields requiring</w:t>
      </w:r>
    </w:p>
    <w:p>
      <w:r>
        <w:t>exact matching alongside free-text benefiting from semantic</w:t>
      </w:r>
    </w:p>
    <w:p>
      <w:r>
        <w:t>understanding. The composite score is computed as:</w:t>
      </w:r>
    </w:p>
    <w:p>
      <w:r>
        <w:t>The composite trial match score is computed as:</w:t>
      </w:r>
    </w:p>
    <w:p>
      <w:pPr>
        <w:ind w:left="720"/>
      </w:pPr>
      <w:r>
        <w:rPr>
          <w:rFonts w:ascii="Consolas" w:hAnsi="Consolas"/>
          <w:color w:val="333333"/>
          <w:sz w:val="18"/>
        </w:rPr>
        <w:t>score = (0.40 * biomarker_score) + (0.25 * semantic_score)</w:t>
        <w:br/>
        <w:t xml:space="preserve">      + (0.20 * phase_score)     + (0.15 * status_score)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sz w:val="18"/>
              </w:rPr>
              <w:t>Component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Weight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Biomarker match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0.40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Exact match to trial molecular eligibility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Semantic score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0.25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COSINE similarity of profile to trial text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Phase score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0.20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Phase 3 &gt; Phase 2 &gt; Phase 1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Status score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0.15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Recruiting &gt; Not yet recruiting &gt; Active</w:t>
            </w:r>
          </w:p>
        </w:tc>
      </w:tr>
    </w:tbl>
    <w:p/>
    <w:p>
      <w:pPr>
        <w:pStyle w:val="Heading3"/>
      </w:pPr>
      <w:r>
        <w:t>5.2 Matching Components</w:t>
      </w:r>
    </w:p>
    <w:p>
      <w:r>
        <w:t xml:space="preserve">The </w:t>
      </w:r>
      <w:r>
        <w:rPr>
          <w:b/>
        </w:rPr>
        <w:t>biomarker component</w:t>
      </w:r>
      <w:r>
        <w:t xml:space="preserve"> performs deterministic matching between</w:t>
      </w:r>
    </w:p>
    <w:p>
      <w:r>
        <w:t>patient variants/biomarkers and trial molecular eligibility:</w:t>
      </w:r>
    </w:p>
    <w:p>
      <w:r>
        <w:t>specific gene mutations, gene-level alterations, biomarker status</w:t>
      </w:r>
    </w:p>
    <w:p>
      <w:r>
        <w:t xml:space="preserve">(MSI-H, TMB-H, PD-L1), and fusion events. The </w:t>
      </w:r>
      <w:r>
        <w:rPr>
          <w:b/>
        </w:rPr>
      </w:r>
      <w:r>
        <w:t>semantic</w:t>
      </w:r>
    </w:p>
    <w:p>
      <w:r>
        <w:t>component</w:t>
      </w:r>
      <w:r>
        <w:rPr>
          <w:b/>
        </w:rPr>
      </w:r>
      <w:r>
        <w:t xml:space="preserve"> embeds the patient's clinical summary and computes</w:t>
      </w:r>
    </w:p>
    <w:p>
      <w:r>
        <w:t xml:space="preserve">COSINE similarity against trial descriptions in </w:t>
      </w:r>
      <w:r>
        <w:rPr>
          <w:rFonts w:ascii="Consolas" w:hAnsi="Consolas"/>
          <w:color w:val="880000"/>
          <w:sz w:val="20"/>
        </w:rPr>
        <w:t>onco_trials</w:t>
      </w:r>
      <w:r>
        <w:t>,</w:t>
      </w:r>
    </w:p>
    <w:p>
      <w:r>
        <w:t>capturing nuanced signals like "progression on prior immunotherapy"</w:t>
      </w:r>
    </w:p>
    <w:p>
      <w:r>
        <w:t>that resist rule-based extraction.</w:t>
      </w:r>
    </w:p>
    <w:p>
      <w:pPr>
        <w:spacing w:before="120" w:after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6. Case Management</w:t>
      </w:r>
    </w:p>
    <w:p>
      <w:pPr>
        <w:pStyle w:val="Heading3"/>
      </w:pPr>
      <w:r>
        <w:t>6.1 VCF Parsing</w:t>
      </w:r>
    </w:p>
    <w:p>
      <w:r>
        <w:t>The case manager ingests annotated VCF files supporting three</w:t>
      </w:r>
    </w:p>
    <w:p>
      <w:r>
        <w:t>annotation formats:</w:t>
      </w:r>
    </w:p>
    <w:p>
      <w:pPr>
        <w:pStyle w:val="ListBullet"/>
      </w:pPr>
      <w:r>
        <w:rPr>
          <w:b/>
        </w:rPr>
        <w:t>SnpEff</w:t>
      </w:r>
      <w:r>
        <w:t>: parses ANN fields for gene, variant effect, impact,</w:t>
      </w:r>
    </w:p>
    <w:p>
      <w:r>
        <w:t xml:space="preserve">  and HGVS notation.</w:t>
      </w:r>
    </w:p>
    <w:p>
      <w:pPr>
        <w:pStyle w:val="ListBullet"/>
      </w:pPr>
      <w:r>
        <w:rPr>
          <w:b/>
        </w:rPr>
        <w:t>VEP</w:t>
      </w:r>
      <w:r>
        <w:t>: parses CSQ fields for gene, consequence, SIFT/PolyPhen</w:t>
      </w:r>
    </w:p>
    <w:p>
      <w:r>
        <w:t xml:space="preserve">  predictions, and clinical significance.</w:t>
      </w:r>
    </w:p>
    <w:p>
      <w:pPr>
        <w:pStyle w:val="ListBullet"/>
      </w:pPr>
      <w:r>
        <w:rPr>
          <w:b/>
        </w:rPr>
        <w:t>GENE/GENEINFO</w:t>
      </w:r>
      <w:r>
        <w:t>: parses simpler formats providing gene symbol</w:t>
      </w:r>
    </w:p>
    <w:p>
      <w:r>
        <w:t xml:space="preserve">  and basic variant information.</w:t>
      </w:r>
    </w:p>
    <w:p>
      <w:r>
        <w:t>The parser extracts chromosome, position, ref/alt alleles, quality</w:t>
      </w:r>
    </w:p>
    <w:p>
      <w:r>
        <w:t>scores, genotype, and all annotation fields. Variants are filtered</w:t>
      </w:r>
    </w:p>
    <w:p>
      <w:r>
        <w:t>by impact severity, actionable target membership, and pathogenicity</w:t>
      </w:r>
    </w:p>
    <w:p>
      <w:r>
        <w:t>classifications.</w:t>
      </w:r>
    </w:p>
    <w:p>
      <w:pPr>
        <w:pStyle w:val="Heading3"/>
      </w:pPr>
      <w:r>
        <w:t>6.2 Patient Profile and MTB Packet Generation</w:t>
      </w:r>
    </w:p>
    <w:p>
      <w:r>
        <w:t>From the parsed VCF and supplementary clinical data, the case</w:t>
      </w:r>
    </w:p>
    <w:p>
      <w:r>
        <w:t>manager constructs a structured profile (detected variants,</w:t>
      </w:r>
    </w:p>
    <w:p>
      <w:r>
        <w:t>biomarker panel results, cancer type, prior treatments, family</w:t>
      </w:r>
    </w:p>
    <w:p>
      <w:r>
        <w:t>history) and orchestrates the MTB packet workflow: parse VCF,</w:t>
      </w:r>
    </w:p>
    <w:p>
      <w:r>
        <w:t>retrieve evidence via RAG engine, run therapy ranker, execute trial</w:t>
      </w:r>
    </w:p>
    <w:p>
      <w:r>
        <w:t>matcher, assemble structured packet, and export in requested</w:t>
      </w:r>
    </w:p>
    <w:p>
      <w:r>
        <w:t>format(s).</w:t>
      </w:r>
    </w:p>
    <w:p>
      <w:pPr>
        <w:spacing w:before="120" w:after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7. Export and Interoperability</w:t>
      </w:r>
    </w:p>
    <w:p>
      <w:r>
        <w:rPr>
          <w:b/>
        </w:rPr>
        <w:t>Markdown</w:t>
      </w:r>
      <w:r>
        <w:t xml:space="preserve"> -- default human-readable format with patient summary,</w:t>
      </w:r>
    </w:p>
    <w:p>
      <w:r>
        <w:t>ranked therapies, matched trials, resistance warnings, and PubMed</w:t>
      </w:r>
    </w:p>
    <w:p>
      <w:r>
        <w:t xml:space="preserve">references. </w:t>
      </w:r>
      <w:r>
        <w:rPr>
          <w:b/>
        </w:rPr>
        <w:t>JSON</w:t>
      </w:r>
      <w:r>
        <w:t xml:space="preserve"> -- machine-readable structured output for EHR</w:t>
      </w:r>
    </w:p>
    <w:p>
      <w:r>
        <w:t xml:space="preserve">integration and downstream analytics. </w:t>
      </w:r>
      <w:r>
        <w:rPr>
          <w:b/>
        </w:rPr>
        <w:t>PDF</w:t>
      </w:r>
      <w:r>
        <w:t xml:space="preserve"> -- publication-quality</w:t>
      </w:r>
    </w:p>
    <w:p>
      <w:r>
        <w:t>documents via ReportLab with formatted tables and institutional</w:t>
      </w:r>
    </w:p>
    <w:p>
      <w:r>
        <w:t xml:space="preserve">branding, for official medical records. </w:t>
      </w:r>
      <w:r>
        <w:rPr>
          <w:b/>
        </w:rPr>
        <w:t>FHIR R4</w:t>
      </w:r>
      <w:r>
        <w:t xml:space="preserve"> --</w:t>
      </w:r>
    </w:p>
    <w:p>
      <w:r>
        <w:t>standards-compliant DiagnosticReport bundle containing Observation</w:t>
      </w:r>
    </w:p>
    <w:p>
      <w:r>
        <w:t>(variants/biomarkers), MedicationRequest (therapies), and</w:t>
      </w:r>
    </w:p>
    <w:p>
      <w:r>
        <w:t>ResearchStudy (trials) resources, enabling interoperability with</w:t>
      </w:r>
    </w:p>
    <w:p>
      <w:r>
        <w:t>any FHIR-capable EHR per the HL7 Genomics Implementation Guide.</w:t>
      </w:r>
    </w:p>
    <w:p>
      <w:pPr>
        <w:spacing w:before="120" w:after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8. Implementation</w:t>
      </w:r>
    </w:p>
    <w:p>
      <w:pPr>
        <w:pStyle w:val="Heading3"/>
      </w:pPr>
      <w:r>
        <w:t>8.1 Codebase Metrics</w:t>
      </w:r>
    </w:p>
    <w:p>
      <w:r>
        <w:t>The system is implemented in Python across 66 source files totaling</w:t>
      </w:r>
    </w:p>
    <w:p>
      <w:r>
        <w:t>approximately 20,490 lines of code: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sz w:val="18"/>
              </w:rPr>
              <w:t>Module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Responsibility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RAG Engine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Collection management, query routing, weighted retrieval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Therapy Ranker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Evidence tiering, resistance penalties, biomarker overrides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Trial Matcher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Composite scoring, biomarker matching, trial ranking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Case Manager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VCF parsing, profile construction, MTB orchestration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Knowledge Graph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Gene targets, therapy/resistance/pathway maps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Export Module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Markdown, JSON, PDF, FHIR R4 generation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Event Integration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Cross-agent event emission and consumption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API Layer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FastAPI endpoints for external access</w:t>
            </w:r>
          </w:p>
        </w:tc>
      </w:tr>
    </w:tbl>
    <w:p/>
    <w:p>
      <w:pPr>
        <w:pStyle w:val="Heading3"/>
      </w:pPr>
      <w:r>
        <w:t>8.2 Test Coverage</w:t>
      </w:r>
    </w:p>
    <w:p>
      <w:r>
        <w:t>556 tests across 10 test files cover VCF parsing, RAG engine</w:t>
      </w:r>
    </w:p>
    <w:p>
      <w:r>
        <w:t>integration, therapy ranking, trial matching scores, FHIR R4</w:t>
      </w:r>
    </w:p>
    <w:p>
      <w:r>
        <w:t>validation, export correctness, knowledge graph integrity, and</w:t>
      </w:r>
    </w:p>
    <w:p>
      <w:r>
        <w:t>end-to-end workflows. All 556 tests pass.</w:t>
      </w:r>
    </w:p>
    <w:p>
      <w:pPr>
        <w:pStyle w:val="Heading3"/>
      </w:pPr>
      <w:r>
        <w:t>8.3 Dependencies and Hardware</w:t>
      </w:r>
    </w:p>
    <w:p>
      <w:r>
        <w:t>Key dependencies: Milvus (vector DB), BAAI/bge-small-en-v1.5</w:t>
      </w:r>
    </w:p>
    <w:p>
      <w:r>
        <w:t>(embeddings), Claude Sonnet 4.6 (LLM synthesis), ReportLab (PDF),</w:t>
      </w:r>
    </w:p>
    <w:p>
      <w:r>
        <w:t>FastAPI (API layer), RDKit (optional). The complete system runs on</w:t>
      </w:r>
    </w:p>
    <w:p>
      <w:r>
        <w:t>a single NVIDIA DGX Spark ($3,999) with sufficient GPU memory for</w:t>
      </w:r>
    </w:p>
    <w:p>
      <w:r>
        <w:t>concurrent embedding and vector search across all 11 collections.</w:t>
      </w:r>
    </w:p>
    <w:p>
      <w:pPr>
        <w:spacing w:before="120" w:after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9. Clinical Validation</w:t>
      </w:r>
    </w:p>
    <w:p>
      <w:r>
        <w:t>Four representative patient profiles demonstrate system capability</w:t>
      </w:r>
    </w:p>
    <w:p>
      <w:r>
        <w:t>across common precision oncology scenarios, exercising the full</w:t>
      </w:r>
    </w:p>
    <w:p>
      <w:r>
        <w:t>pipeline from VCF ingestion through MTB packet generation.</w:t>
      </w:r>
    </w:p>
    <w:p>
      <w:pPr>
        <w:pStyle w:val="Heading3"/>
      </w:pPr>
      <w:r>
        <w:t>9.1 Case 1: NSCLC with EGFR L858R</w:t>
      </w:r>
    </w:p>
    <w:p>
      <w:r>
        <w:rPr>
          <w:b/>
        </w:rPr>
        <w:t>Profile:</w:t>
      </w:r>
      <w:r>
        <w:t xml:space="preserve"> 62-year-old female, stage IIIB NSCLC adenocarcinoma.</w:t>
      </w:r>
    </w:p>
    <w:p>
      <w:r>
        <w:t>EGFR L858R (exon 21) missense mutation. PD-L1 TPS 30%, TMB-low.</w:t>
      </w:r>
    </w:p>
    <w:p>
      <w:r>
        <w:rPr>
          <w:b/>
        </w:rPr>
        <w:t>Output:</w:t>
      </w:r>
      <w:r>
        <w:t xml:space="preserve"> Tier I-A therapies: osimertinib (preferred), erlotinib,</w:t>
      </w:r>
    </w:p>
    <w:p>
      <w:r>
        <w:t>gefitinib -- all FDA-approved for EGFR-mutant NSCLC. Resistance</w:t>
      </w:r>
    </w:p>
    <w:p>
      <w:r>
        <w:t>flag: T790M not detected but noted as primary resistance mechanism</w:t>
      </w:r>
    </w:p>
    <w:p>
      <w:r>
        <w:t>to first-generation TKIs; osimertinib ranked highest due to T790M</w:t>
      </w:r>
    </w:p>
    <w:p>
      <w:r>
        <w:t>activity. Trial matches: 3 Phase 3 trials for EGFR-mutant NSCLC</w:t>
      </w:r>
    </w:p>
    <w:p>
      <w:r>
        <w:t>including anti-angiogenic combinations. Pathway context: EGFR</w:t>
      </w:r>
    </w:p>
    <w:p>
      <w:r>
        <w:t>signaling through MAPK/ERK and PI3K/AKT/mTOR annotated; MET</w:t>
      </w:r>
    </w:p>
    <w:p>
      <w:r>
        <w:t>amplification bypass risk documented.</w:t>
      </w:r>
    </w:p>
    <w:p>
      <w:pPr>
        <w:pStyle w:val="Heading3"/>
      </w:pPr>
      <w:r>
        <w:t>9.2 Case 2: Breast Cancer with BRCA1 Pathogenic Variant</w:t>
      </w:r>
    </w:p>
    <w:p>
      <w:r>
        <w:rPr>
          <w:b/>
        </w:rPr>
        <w:t>Profile:</w:t>
      </w:r>
      <w:r>
        <w:t xml:space="preserve"> 45-year-old female, stage II triple-negative breast</w:t>
      </w:r>
    </w:p>
    <w:p>
      <w:r>
        <w:t>cancer (TNBC). BRCA1 c.68_69delAG (185delAG) frameshift. HRD+.</w:t>
      </w:r>
    </w:p>
    <w:p>
      <w:r>
        <w:rPr>
          <w:b/>
        </w:rPr>
        <w:t>Output:</w:t>
      </w:r>
      <w:r>
        <w:t xml:space="preserve"> Tier I-A: olaparib, talazoparib -- FDA-approved PARP</w:t>
      </w:r>
    </w:p>
    <w:p>
      <w:r>
        <w:t>inhibitors for gBRCA/HER2-negative breast cancer. Tier I-B:</w:t>
      </w:r>
    </w:p>
    <w:p>
      <w:r>
        <w:t>rucaparib, niraparib (NCCN Category 2A). Biomarker override: HRD+</w:t>
      </w:r>
    </w:p>
    <w:p>
      <w:r>
        <w:t>triggers PARP inhibitor promotion. Trial matches: 2 Phase 2 PARP +</w:t>
      </w:r>
    </w:p>
    <w:p>
      <w:r>
        <w:t>checkpoint inhibitor trials for TNBC. Resistance context: BRCA1</w:t>
      </w:r>
    </w:p>
    <w:p>
      <w:r>
        <w:t>reversion mutations documented as primary PARP inhibitor resistance</w:t>
      </w:r>
    </w:p>
    <w:p>
      <w:r>
        <w:t>mechanism.</w:t>
      </w:r>
    </w:p>
    <w:p>
      <w:pPr>
        <w:pStyle w:val="Heading3"/>
      </w:pPr>
      <w:r>
        <w:t>9.3 Case 3: Colorectal Cancer with KRAS G12C</w:t>
      </w:r>
    </w:p>
    <w:p>
      <w:r>
        <w:rPr>
          <w:b/>
        </w:rPr>
        <w:t>Profile:</w:t>
      </w:r>
      <w:r>
        <w:t xml:space="preserve"> 58-year-old male, stage IV colorectal adenocarcinoma</w:t>
      </w:r>
    </w:p>
    <w:p>
      <w:r>
        <w:t>with liver metastases. KRAS G12C. MSS, TMB-low.</w:t>
      </w:r>
    </w:p>
    <w:p>
      <w:r>
        <w:rPr>
          <w:b/>
        </w:rPr>
        <w:t>Output:</w:t>
      </w:r>
      <w:r>
        <w:t xml:space="preserve"> Tier I-A: sotorasib (FDA-approved for KRAS G12C NSCLC,</w:t>
      </w:r>
    </w:p>
    <w:p>
      <w:r>
        <w:t>emerging CRC data). Tier II-C: adagrasib (cross-indication</w:t>
      </w:r>
    </w:p>
    <w:p>
      <w:r>
        <w:t>evidence). Resistance flag: KRAS and MET amplification as emerging</w:t>
      </w:r>
    </w:p>
    <w:p>
      <w:r>
        <w:t>resistance mechanisms; RAS-MAPK reactivation risk. Trial matches:</w:t>
      </w:r>
    </w:p>
    <w:p>
      <w:r>
        <w:t>4 open trials including sotorasib + panitumumab combinations.</w:t>
      </w:r>
    </w:p>
    <w:p>
      <w:r>
        <w:t>Negative biomarker: MSS contraindicates pembrolizumab; agent</w:t>
      </w:r>
    </w:p>
    <w:p>
      <w:r>
        <w:t>correctly excludes checkpoint immunotherapy.</w:t>
      </w:r>
    </w:p>
    <w:p>
      <w:pPr>
        <w:pStyle w:val="Heading3"/>
      </w:pPr>
      <w:r>
        <w:t>9.4 Case 4: Melanoma with BRAF V600E</w:t>
      </w:r>
    </w:p>
    <w:p>
      <w:r>
        <w:rPr>
          <w:b/>
        </w:rPr>
        <w:t>Profile:</w:t>
      </w:r>
      <w:r>
        <w:t xml:space="preserve"> 51-year-old male, stage IIIC cutaneous melanoma. BRAF</w:t>
      </w:r>
    </w:p>
    <w:p>
      <w:r>
        <w:t>V600E. PD-L1 TPS 60%, TMB-high.</w:t>
      </w:r>
    </w:p>
    <w:p>
      <w:r>
        <w:rPr>
          <w:b/>
        </w:rPr>
        <w:t>Output:</w:t>
      </w:r>
      <w:r>
        <w:t xml:space="preserve"> Tier I-A (targeted): dabrafenib + trametinib,</w:t>
      </w:r>
    </w:p>
    <w:p>
      <w:r>
        <w:t>encorafenib + binimetinib, vemurafenib + cobimetinib. Tier I-A</w:t>
      </w:r>
    </w:p>
    <w:p>
      <w:r>
        <w:t>(immunotherapy): pembrolizumab, nivolumab -- supported by PD-L1</w:t>
      </w:r>
    </w:p>
    <w:p>
      <w:pPr>
        <w:ind w:left="720"/>
      </w:pPr>
      <w:r>
        <w:rPr>
          <w:i/>
          <w:color w:val="555555"/>
        </w:rPr>
        <w:t>= 50% and TMB-H rules. Treatment sequencing note: agent flags</w:t>
      </w:r>
    </w:p>
    <w:p>
      <w:r>
        <w:t>targeted-first vs. immunotherapy-first debate with supporting</w:t>
      </w:r>
    </w:p>
    <w:p>
      <w:r>
        <w:t xml:space="preserve">literature from </w:t>
      </w:r>
      <w:r>
        <w:rPr>
          <w:rFonts w:ascii="Consolas" w:hAnsi="Consolas"/>
          <w:color w:val="880000"/>
          <w:sz w:val="20"/>
        </w:rPr>
        <w:t>onco_literature</w:t>
      </w:r>
      <w:r>
        <w:t>. Resistance context: MAPK</w:t>
      </w:r>
    </w:p>
    <w:p>
      <w:r>
        <w:t>reactivation (MEK1/2, NRAS mutations) documented; MEK inhibitor</w:t>
      </w:r>
    </w:p>
    <w:p>
      <w:r>
        <w:t>combination partially addresses this. Trial matches: 3 trials</w:t>
      </w:r>
    </w:p>
    <w:p>
      <w:r>
        <w:t>including BRAF + MEK + anti-PD-1 triplet combinations.</w:t>
      </w:r>
    </w:p>
    <w:p>
      <w:pPr>
        <w:spacing w:before="120" w:after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10. Discussion</w:t>
      </w:r>
    </w:p>
    <w:p>
      <w:pPr>
        <w:pStyle w:val="Heading3"/>
      </w:pPr>
      <w:r>
        <w:t>10.1 Strengths</w:t>
      </w:r>
    </w:p>
    <w:p>
      <w:r>
        <w:t xml:space="preserve">The architecture offers five key advantages: (1) </w:t>
      </w:r>
      <w:r>
        <w:rPr>
          <w:b/>
        </w:rPr>
      </w:r>
      <w:r>
        <w:t>evidence</w:t>
      </w:r>
    </w:p>
    <w:p>
      <w:r>
        <w:t>completeness</w:t>
      </w:r>
      <w:r>
        <w:rPr>
          <w:b/>
        </w:rPr>
      </w:r>
      <w:r>
        <w:t xml:space="preserve"> through 11 federated collections spanning the full</w:t>
      </w:r>
    </w:p>
    <w:p>
      <w:r>
        <w:t xml:space="preserve">decision landscape; (2) </w:t>
      </w:r>
      <w:r>
        <w:rPr>
          <w:b/>
        </w:rPr>
        <w:t>weighted prioritization</w:t>
      </w:r>
      <w:r>
        <w:t xml:space="preserve"> ensuring</w:t>
      </w:r>
    </w:p>
    <w:p>
      <w:r>
        <w:t xml:space="preserve">clinically critical evidence takes precedence; (3) </w:t>
      </w:r>
      <w:r>
        <w:rPr>
          <w:b/>
        </w:rPr>
      </w:r>
      <w:r>
        <w:t>resistance</w:t>
      </w:r>
    </w:p>
    <w:p>
      <w:r>
        <w:t>awareness</w:t>
      </w:r>
      <w:r>
        <w:rPr>
          <w:b/>
        </w:rPr>
      </w:r>
      <w:r>
        <w:t xml:space="preserve"> addressing a critical gap in existing tools; (4)</w:t>
      </w:r>
    </w:p>
    <w:p>
      <w:r>
        <w:rPr>
          <w:b/>
        </w:rPr>
        <w:t>accessibility</w:t>
      </w:r>
      <w:r>
        <w:t xml:space="preserve"> via single DGX Spark deployment at $3,999; and</w:t>
      </w:r>
    </w:p>
    <w:p>
      <w:r>
        <w:t xml:space="preserve">(5) </w:t>
      </w:r>
      <w:r>
        <w:rPr>
          <w:b/>
        </w:rPr>
        <w:t>interoperability</w:t>
      </w:r>
      <w:r>
        <w:t xml:space="preserve"> through FHIR R4 export for EHR</w:t>
      </w:r>
    </w:p>
    <w:p>
      <w:r>
        <w:t>integration.</w:t>
      </w:r>
    </w:p>
    <w:p>
      <w:pPr>
        <w:pStyle w:val="Heading3"/>
      </w:pPr>
      <w:r>
        <w:t>10.2 Limitations</w:t>
      </w:r>
    </w:p>
    <w:p>
      <w:pPr>
        <w:pStyle w:val="ListNumber"/>
      </w:pPr>
      <w:r>
        <w:rPr>
          <w:b/>
        </w:rPr>
        <w:t>Evidence currency.</w:t>
      </w:r>
      <w:r>
        <w:t xml:space="preserve"> The system depends on collection freshness;</w:t>
      </w:r>
    </w:p>
    <w:p>
      <w:r>
        <w:t xml:space="preserve">   rapidly evolving fields may outpace the update cycle.</w:t>
      </w:r>
    </w:p>
    <w:p>
      <w:pPr>
        <w:pStyle w:val="ListNumber"/>
      </w:pPr>
      <w:r>
        <w:rPr>
          <w:b/>
        </w:rPr>
        <w:t>LLM synthesis fidelity.</w:t>
      </w:r>
      <w:r>
        <w:t xml:space="preserve"> While Claude Sonnet 4.6 demonstrates</w:t>
      </w:r>
    </w:p>
    <w:p>
      <w:r>
        <w:t xml:space="preserve">   strong biomedical reasoning, outputs may occasionally introduce</w:t>
      </w:r>
    </w:p>
    <w:p>
      <w:r>
        <w:t xml:space="preserve">   imprecision. All results carry a decision-support disclaimer.</w:t>
      </w:r>
    </w:p>
    <w:p>
      <w:pPr>
        <w:pStyle w:val="ListNumber"/>
      </w:pPr>
      <w:r>
        <w:rPr>
          <w:b/>
        </w:rPr>
        <w:t>Validation scope.</w:t>
      </w:r>
      <w:r>
        <w:t xml:space="preserve"> The four demo cases exercise common</w:t>
      </w:r>
    </w:p>
    <w:p>
      <w:r>
        <w:t xml:space="preserve">   scenarios; rare tumors, multi-driver cases, and pediatric</w:t>
      </w:r>
    </w:p>
    <w:p>
      <w:r>
        <w:t xml:space="preserve">   oncology require additional validation.</w:t>
      </w:r>
    </w:p>
    <w:p>
      <w:pPr>
        <w:pStyle w:val="ListNumber"/>
      </w:pPr>
      <w:r>
        <w:rPr>
          <w:b/>
        </w:rPr>
        <w:t>Prospective validation.</w:t>
      </w:r>
      <w:r>
        <w:t xml:space="preserve"> Current validation is retrospective</w:t>
      </w:r>
    </w:p>
    <w:p>
      <w:r>
        <w:t xml:space="preserve">   and synthetic. Prospective studies comparing agent recommendations</w:t>
      </w:r>
    </w:p>
    <w:p>
      <w:r>
        <w:t xml:space="preserve">   to MTB consensus are needed to establish clinical utility.</w:t>
      </w:r>
    </w:p>
    <w:p>
      <w:pPr>
        <w:pStyle w:val="ListNumber"/>
      </w:pPr>
      <w:r>
        <w:rPr>
          <w:b/>
        </w:rPr>
        <w:t>Regulatory status.</w:t>
      </w:r>
      <w:r>
        <w:t xml:space="preserve"> The system is a research tool, not</w:t>
      </w:r>
    </w:p>
    <w:p>
      <w:r>
        <w:t xml:space="preserve">   FDA-cleared or CE-marked, and is not intended for independent</w:t>
      </w:r>
    </w:p>
    <w:p>
      <w:r>
        <w:t xml:space="preserve">   clinical use without physician oversight.</w:t>
      </w:r>
    </w:p>
    <w:p>
      <w:pPr>
        <w:pStyle w:val="Heading3"/>
      </w:pPr>
      <w:r>
        <w:t>10.3 Future Work</w:t>
      </w:r>
    </w:p>
    <w:p>
      <w:r>
        <w:t>Planned extensions: automated collection refresh via scheduled</w:t>
      </w:r>
    </w:p>
    <w:p>
      <w:r>
        <w:t>CIViC/ClinicalTrials.gov/PubMed ingestion; multi-omics integration</w:t>
      </w:r>
    </w:p>
    <w:p>
      <w:r>
        <w:t>(RNA-seq, CNV, methylation); prospective multi-site validation;</w:t>
      </w:r>
    </w:p>
    <w:p>
      <w:r>
        <w:t>expanded coverage for rare tumors and pediatric malignancies;</w:t>
      </w:r>
    </w:p>
    <w:p>
      <w:r>
        <w:t>treatment sequencing optimization using real-world outcomes; and</w:t>
      </w:r>
    </w:p>
    <w:p>
      <w:r>
        <w:t>pharmacogenomic integration (DPYD, UGT1A1) for toxicity flagging.</w:t>
      </w:r>
    </w:p>
    <w:p>
      <w:pPr>
        <w:spacing w:before="120" w:after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11. Conclusion</w:t>
      </w:r>
    </w:p>
    <w:p>
      <w:r>
        <w:t>The Precision Oncology Intelligence Agent demonstrates that a</w:t>
      </w:r>
    </w:p>
    <w:p>
      <w:r>
        <w:t>multi-collection RAG architecture can provide comprehensive,</w:t>
      </w:r>
    </w:p>
    <w:p>
      <w:r>
        <w:t>resistance-aware, trial-matched molecular tumor board decision</w:t>
      </w:r>
    </w:p>
    <w:p>
      <w:r>
        <w:t>support on commodity hardware. By federating 11 vector collections</w:t>
      </w:r>
    </w:p>
    <w:p>
      <w:r>
        <w:t>under a weighted search planner, applying AMP/ASCO/CAP-aligned</w:t>
      </w:r>
    </w:p>
    <w:p>
      <w:r>
        <w:t>evidence tiering, and exporting results in interoperable formats</w:t>
      </w:r>
    </w:p>
    <w:p>
      <w:r>
        <w:t>including FHIR R4, the system addresses the critical information</w:t>
      </w:r>
    </w:p>
    <w:p>
      <w:r>
        <w:t>synthesis challenge facing molecular tumor boards.</w:t>
      </w:r>
    </w:p>
    <w:p>
      <w:r>
        <w:t>With 556 passing tests, support for 26 cancer types and 40+</w:t>
      </w:r>
    </w:p>
    <w:p>
      <w:r>
        <w:t>actionable gene targets, and deployment on a single NVIDIA DGX</w:t>
      </w:r>
    </w:p>
    <w:p>
      <w:r>
        <w:t>Spark at $3,999, the system is positioned as an accessible,</w:t>
      </w:r>
    </w:p>
    <w:p>
      <w:r>
        <w:t>open-source alternative to commercial precision oncology platforms.</w:t>
      </w:r>
    </w:p>
    <w:p>
      <w:r>
        <w:t>The Apache 2.0 license ensures that community oncology practices,</w:t>
      </w:r>
    </w:p>
    <w:p>
      <w:r>
        <w:t>resource-limited institutions, and academic researchers can deploy</w:t>
      </w:r>
    </w:p>
    <w:p>
      <w:r>
        <w:t>and extend the system without licensing barriers.</w:t>
      </w:r>
    </w:p>
    <w:p>
      <w:r>
        <w:t>Precision oncology is fundamentally an information problem. The</w:t>
      </w:r>
    </w:p>
    <w:p>
      <w:r>
        <w:t>volume, heterogeneity, and velocity of molecular evidence exceed</w:t>
      </w:r>
    </w:p>
    <w:p>
      <w:r>
        <w:t>human cognitive capacity. RAG-powered decision support that combines</w:t>
      </w:r>
    </w:p>
    <w:p>
      <w:r>
        <w:t>structured biomedical knowledge with large language model synthesis</w:t>
      </w:r>
    </w:p>
    <w:p>
      <w:r>
        <w:t>offers a path toward democratizing the molecular tumor board --</w:t>
      </w:r>
    </w:p>
    <w:p>
      <w:r>
        <w:t>ensuring that every patient, regardless of institutional resources,</w:t>
      </w:r>
    </w:p>
    <w:p>
      <w:r>
        <w:t>benefits from comprehensive, evidence-based therapy selection.</w:t>
      </w:r>
    </w:p>
    <w:p>
      <w:pPr>
        <w:spacing w:before="120" w:after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12. References</w:t>
      </w:r>
    </w:p>
    <w:p>
      <w:pPr>
        <w:pStyle w:val="ListNumber"/>
      </w:pPr>
      <w:r>
        <w:t>Li, M. M., et al. "Standards and guidelines for the</w:t>
      </w:r>
    </w:p>
    <w:p>
      <w:r>
        <w:t xml:space="preserve">   interpretation and reporting of sequence variants in cancer."</w:t>
      </w:r>
    </w:p>
    <w:p>
      <w:r>
        <w:t xml:space="preserve">   </w:t>
      </w:r>
      <w:r>
        <w:rPr>
          <w:i/>
        </w:rPr>
        <w:t>Journal of Molecular Diagnostics</w:t>
      </w:r>
      <w:r>
        <w:t xml:space="preserve"> 19.1 (2017): 4-23.</w:t>
      </w:r>
    </w:p>
    <w:p>
      <w:pPr>
        <w:pStyle w:val="ListNumber"/>
      </w:pPr>
      <w:r>
        <w:t>Griffith, M., et al. "CIViC is a community knowledgebase for</w:t>
      </w:r>
    </w:p>
    <w:p>
      <w:r>
        <w:t xml:space="preserve">   expert crowdsourcing the clinical interpretation of variants</w:t>
      </w:r>
    </w:p>
    <w:p>
      <w:r>
        <w:t xml:space="preserve">   in cancer." </w:t>
      </w:r>
      <w:r>
        <w:rPr>
          <w:i/>
        </w:rPr>
        <w:t>Nature Genetics</w:t>
      </w:r>
      <w:r>
        <w:t xml:space="preserve"> 49.2 (2017): 170-174.</w:t>
      </w:r>
    </w:p>
    <w:p>
      <w:pPr>
        <w:pStyle w:val="ListNumber"/>
      </w:pPr>
      <w:r>
        <w:t>Chakravarty, D., et al. "OncoKB: a precision oncology knowledge</w:t>
      </w:r>
    </w:p>
    <w:p>
      <w:r>
        <w:t xml:space="preserve">   base." </w:t>
      </w:r>
      <w:r>
        <w:rPr>
          <w:i/>
        </w:rPr>
        <w:t>JCO Precision Oncology</w:t>
      </w:r>
      <w:r>
        <w:t xml:space="preserve"> 1 (2017): 1-16.</w:t>
      </w:r>
    </w:p>
    <w:p>
      <w:pPr>
        <w:pStyle w:val="ListNumber"/>
      </w:pPr>
      <w:r>
        <w:t>Xiao, S., et al. "C-Pack: Packaged resources to advance general</w:t>
      </w:r>
    </w:p>
    <w:p>
      <w:r>
        <w:t xml:space="preserve">   Chinese embedding." </w:t>
      </w:r>
      <w:r>
        <w:rPr>
          <w:i/>
        </w:rPr>
        <w:t>arXiv:2309.07597</w:t>
      </w:r>
      <w:r>
        <w:t xml:space="preserve"> (2023).</w:t>
      </w:r>
    </w:p>
    <w:p>
      <w:pPr>
        <w:pStyle w:val="ListNumber"/>
      </w:pPr>
      <w:r>
        <w:t>NCCN Clinical Practice Guidelines in Oncology. National</w:t>
      </w:r>
    </w:p>
    <w:p>
      <w:r>
        <w:t xml:space="preserve">   Comprehensive Cancer Network. https://www.nccn.org/guidelines</w:t>
      </w:r>
    </w:p>
    <w:p>
      <w:pPr>
        <w:pStyle w:val="ListNumber"/>
      </w:pPr>
      <w:r>
        <w:t>ClinicalTrials.gov. U.S. National Library of Medicine.</w:t>
      </w:r>
    </w:p>
    <w:p>
      <w:r>
        <w:t xml:space="preserve">   https://clinicaltrials.gov</w:t>
      </w:r>
    </w:p>
    <w:p>
      <w:pPr>
        <w:pStyle w:val="ListNumber"/>
      </w:pPr>
      <w:r>
        <w:t xml:space="preserve">Benson, A. B., et al. "Colon cancer, version 2.2021." </w:t>
      </w:r>
      <w:r>
        <w:rPr>
          <w:i/>
        </w:rPr>
        <w:t>JNCCN</w:t>
      </w:r>
    </w:p>
    <w:p>
      <w:r>
        <w:t xml:space="preserve">   19.3 (2021): 329-359.</w:t>
      </w:r>
    </w:p>
    <w:p>
      <w:pPr>
        <w:pStyle w:val="ListNumber"/>
      </w:pPr>
      <w:r>
        <w:t>Planchard, D., et al. "Metastatic non-small cell lung cancer:</w:t>
      </w:r>
    </w:p>
    <w:p>
      <w:r>
        <w:t xml:space="preserve">   ESMO Clinical Practice Guidelines." </w:t>
      </w:r>
      <w:r>
        <w:rPr>
          <w:i/>
        </w:rPr>
        <w:t>Annals of Oncology</w:t>
      </w:r>
      <w:r>
        <w:t xml:space="preserve"> 29</w:t>
      </w:r>
    </w:p>
    <w:p>
      <w:r>
        <w:t xml:space="preserve">   (2018): iv192-iv237.</w:t>
      </w:r>
    </w:p>
    <w:p>
      <w:pPr>
        <w:pStyle w:val="ListNumber"/>
      </w:pPr>
      <w:r>
        <w:t>Skoulidis, F., et al. "Sotorasib for lung cancers with KRAS</w:t>
      </w:r>
    </w:p>
    <w:p>
      <w:r>
        <w:t xml:space="preserve">   p.G12C mutation." </w:t>
      </w:r>
      <w:r>
        <w:rPr>
          <w:i/>
        </w:rPr>
        <w:t>NEJM</w:t>
      </w:r>
      <w:r>
        <w:t xml:space="preserve"> 384.25 (2021): 2371-2381.</w:t>
      </w:r>
    </w:p>
    <w:p>
      <w:pPr>
        <w:pStyle w:val="ListNumber"/>
      </w:pPr>
      <w:r>
        <w:t>Eisenhauer, E. A., et al. "New response evaluation criteria in</w:t>
      </w:r>
    </w:p>
    <w:p>
      <w:r>
        <w:t xml:space="preserve">    solid tumours: revised RECIST guideline (version 1.1)."</w:t>
      </w:r>
    </w:p>
    <w:p>
      <w:r>
        <w:t xml:space="preserve">    </w:t>
      </w:r>
      <w:r>
        <w:rPr>
          <w:i/>
        </w:rPr>
        <w:t>Eur J Cancer</w:t>
      </w:r>
      <w:r>
        <w:t xml:space="preserve"> 45.2 (2009): 228-247.</w:t>
      </w:r>
    </w:p>
    <w:p>
      <w:pPr>
        <w:pStyle w:val="ListNumber"/>
      </w:pPr>
      <w:r>
        <w:t>HL7 FHIR Genomics Implementation Guide. Health Level Seven</w:t>
      </w:r>
    </w:p>
    <w:p>
      <w:r>
        <w:t xml:space="preserve">    International. https://www.hl7.org/fhir/genomics.html</w:t>
      </w:r>
    </w:p>
    <w:p>
      <w:pPr>
        <w:pStyle w:val="ListNumber"/>
      </w:pPr>
      <w:r>
        <w:t>Wang, J., et al. "Milvus: A purpose-built vector data management</w:t>
      </w:r>
    </w:p>
    <w:p>
      <w:r>
        <w:t xml:space="preserve">    system." </w:t>
      </w:r>
      <w:r>
        <w:rPr>
          <w:i/>
        </w:rPr>
        <w:t>ACM SIGMOD</w:t>
      </w:r>
      <w:r>
        <w:t xml:space="preserve"> (2021).</w:t>
      </w:r>
    </w:p>
    <w:p>
      <w:pPr>
        <w:pStyle w:val="ListNumber"/>
      </w:pPr>
      <w:r>
        <w:t>Long, G. V., et al. "Dabrafenib plus trametinib in BRAF</w:t>
      </w:r>
    </w:p>
    <w:p>
      <w:r>
        <w:t xml:space="preserve">    V600-mutant metastatic melanoma." </w:t>
      </w:r>
      <w:r>
        <w:rPr>
          <w:i/>
        </w:rPr>
        <w:t>Lancet Oncol</w:t>
      </w:r>
      <w:r>
        <w:t xml:space="preserve"> 16.13 (2015):</w:t>
      </w:r>
    </w:p>
    <w:p>
      <w:r>
        <w:t xml:space="preserve">    1515-1527.</w:t>
      </w:r>
    </w:p>
    <w:p>
      <w:pPr>
        <w:pStyle w:val="ListNumber"/>
      </w:pPr>
      <w:r>
        <w:t>Robson, M., et al. "Olaparib for metastatic breast cancer in</w:t>
      </w:r>
    </w:p>
    <w:p>
      <w:r>
        <w:t xml:space="preserve">    patients with a germline BRCA mutation." </w:t>
      </w:r>
      <w:r>
        <w:rPr>
          <w:i/>
        </w:rPr>
        <w:t>NEJM</w:t>
      </w:r>
      <w:r>
        <w:t xml:space="preserve"> 377.6 (2017):</w:t>
      </w:r>
    </w:p>
    <w:p>
      <w:r>
        <w:t xml:space="preserve">    523-533.</w:t>
      </w:r>
    </w:p>
    <w:p>
      <w:pPr>
        <w:pStyle w:val="ListNumber"/>
      </w:pPr>
      <w:r>
        <w:t>Drilon, A., et al. "Efficacy of larotrectinib in TRK</w:t>
      </w:r>
    </w:p>
    <w:p>
      <w:r>
        <w:t xml:space="preserve">    fusion-positive cancers." </w:t>
      </w:r>
      <w:r>
        <w:rPr>
          <w:i/>
        </w:rPr>
        <w:t>NEJM</w:t>
      </w:r>
      <w:r>
        <w:t xml:space="preserve"> 378.8 (2018): 731-739.</w:t>
      </w:r>
    </w:p>
    <w:p>
      <w:pPr>
        <w:spacing w:before="120" w:after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r>
        <w:t>*This work is part of the HCLS AI Factory, an open-source precision</w:t>
      </w:r>
    </w:p>
    <w:p>
      <w:r>
        <w:t>medicine platform. Source code available under the Apache 2.0</w:t>
      </w:r>
    </w:p>
    <w:p>
      <w:r>
        <w:t>license.*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