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val="120" w:hRule="atLeast"/>
        </w:trPr>
        <w:tc>
          <w:tcPr>
            <w:tcW w:type="dxa" w:w="10080"/>
            <w:shd w:fill="76B900"/>
          </w:tcPr>
          <w:p>
            <w:pPr>
              <w:jc w:val="center"/>
            </w:pPr>
            <w:r>
              <w:rPr>
                <w:sz w:val="8"/>
              </w:rPr>
              <w:t xml:space="preserve"> </w:t>
            </w:r>
          </w:p>
        </w:tc>
      </w:tr>
    </w:tbl>
    <w:p>
      <w:pPr>
        <w:spacing w:before="560" w:after="80"/>
        <w:jc w:val="center"/>
      </w:pPr>
      <w:r>
        <w:rPr>
          <w:rFonts w:ascii="Calibri" w:hAnsi="Calibri"/>
          <w:b/>
          <w:color w:val="1B2333"/>
          <w:sz w:val="64"/>
        </w:rPr>
        <w:t>PRECISION BIOMARKER</w:t>
        <w:br/>
        <w:t>INTELLIGENCE</w:t>
      </w:r>
    </w:p>
    <w:p>
      <w:pPr>
        <w:spacing w:after="400"/>
        <w:jc w:val="center"/>
      </w:pPr>
      <w:r>
        <w:rPr>
          <w:rFonts w:ascii="Calibri" w:hAnsi="Calibri"/>
          <w:b w:val="0"/>
          <w:i/>
          <w:color w:val="666666"/>
          <w:sz w:val="32"/>
        </w:rPr>
        <w:t>AI Factory Pipeline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720" w:hRule="atLeast"/>
        </w:trPr>
        <w:tc>
          <w:tcPr>
            <w:tcW w:type="dxa" w:w="3324"/>
            <w:vAlign w:val="center"/>
            <w:tcBorders>
              <w:top w:val="single" w:sz="8" w:space="0" w:color="1B2333"/>
              <w:bottom w:val="single" w:sz="8" w:space="0" w:color="1B2333"/>
              <w:left w:val="single" w:sz="8" w:space="0" w:color="1B2333"/>
              <w:right w:val="single" w:sz="8" w:space="0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2333"/>
                <w:sz w:val="22"/>
              </w:rPr>
              <w:t>Patient:</w:t>
            </w:r>
            <w:r>
              <w:rPr>
                <w:rFonts w:ascii="Calibri" w:hAnsi="Calibri"/>
                <w:b w:val="0"/>
                <w:color w:val="333333"/>
                <w:sz w:val="22"/>
              </w:rPr>
              <w:t xml:space="preserve"> HG002</w:t>
            </w:r>
          </w:p>
        </w:tc>
        <w:tc>
          <w:tcPr>
            <w:tcW w:type="dxa" w:w="3324"/>
            <w:vAlign w:val="center"/>
            <w:tcBorders>
              <w:top w:val="single" w:sz="8" w:space="0" w:color="1B2333"/>
              <w:bottom w:val="single" w:sz="8" w:space="0" w:color="1B2333"/>
              <w:left w:val="single" w:sz="8" w:space="0" w:color="1B2333"/>
              <w:right w:val="single" w:sz="8" w:space="0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2333"/>
                <w:sz w:val="22"/>
              </w:rPr>
              <w:t>Panel:</w:t>
            </w:r>
            <w:r>
              <w:rPr>
                <w:rFonts w:ascii="Calibri" w:hAnsi="Calibri"/>
                <w:b w:val="0"/>
                <w:color w:val="333333"/>
                <w:sz w:val="22"/>
              </w:rPr>
              <w:t xml:space="preserve"> 160+ Analytes</w:t>
            </w:r>
          </w:p>
        </w:tc>
        <w:tc>
          <w:tcPr>
            <w:tcW w:type="dxa" w:w="3324"/>
            <w:vAlign w:val="center"/>
            <w:tcBorders>
              <w:top w:val="single" w:sz="8" w:space="0" w:color="1B2333"/>
              <w:bottom w:val="single" w:sz="8" w:space="0" w:color="1B2333"/>
              <w:left w:val="single" w:sz="8" w:space="0" w:color="1B2333"/>
              <w:right w:val="single" w:sz="8" w:space="0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2333"/>
                <w:sz w:val="22"/>
              </w:rPr>
              <w:t>Generated:</w:t>
            </w:r>
            <w:r>
              <w:rPr>
                <w:rFonts w:ascii="Calibri" w:hAnsi="Calibri"/>
                <w:b w:val="0"/>
                <w:color w:val="333333"/>
                <w:sz w:val="22"/>
              </w:rPr>
              <w:t xml:space="preserve"> January 31,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400" w:hRule="atLeast"/>
        </w:trPr>
        <w:tc>
          <w:tcPr>
            <w:tcW w:type="dxa" w:w="2493"/>
            <w:shd w:fill="F5F5F5"/>
            <w:vAlign w:val="cente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16"/>
              </w:rPr>
              <w:t>PHASE 1</w:t>
            </w:r>
          </w:p>
        </w:tc>
        <w:tc>
          <w:tcPr>
            <w:tcW w:type="dxa" w:w="2493"/>
            <w:shd w:fill="F5F5F5"/>
            <w:vAlign w:val="cente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16"/>
              </w:rPr>
              <w:t>PHASE 2</w:t>
            </w:r>
          </w:p>
        </w:tc>
        <w:tc>
          <w:tcPr>
            <w:tcW w:type="dxa" w:w="2493"/>
            <w:shd w:fill="F5F5F5"/>
            <w:vAlign w:val="cente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16"/>
              </w:rPr>
              <w:t>PHASE 3</w:t>
            </w:r>
          </w:p>
        </w:tc>
        <w:tc>
          <w:tcPr>
            <w:tcW w:type="dxa" w:w="2493"/>
            <w:shd w:fill="F5F5F5"/>
            <w:vAlign w:val="cente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16"/>
              </w:rPr>
              <w:t>PHASE 4</w:t>
            </w:r>
          </w:p>
        </w:tc>
      </w:tr>
      <w:tr>
        <w:trPr>
          <w:trHeight w:val="640" w:hRule="atLeast"/>
        </w:trPr>
        <w:tc>
          <w:tcPr>
            <w:tcW w:type="dxa" w:w="2493"/>
            <w:shd w:fill="76B900"/>
            <w:vAlign w:val="cente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INGESTION</w:t>
            </w:r>
          </w:p>
        </w:tc>
        <w:tc>
          <w:tcPr>
            <w:tcW w:type="dxa" w:w="2493"/>
            <w:shd w:fill="76B900"/>
            <w:vAlign w:val="cente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CORRELATION</w:t>
            </w:r>
          </w:p>
        </w:tc>
        <w:tc>
          <w:tcPr>
            <w:tcW w:type="dxa" w:w="2493"/>
            <w:shd w:fill="76B900"/>
            <w:vAlign w:val="cente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ANALYSIS</w:t>
            </w:r>
          </w:p>
        </w:tc>
        <w:tc>
          <w:tcPr>
            <w:tcW w:type="dxa" w:w="2493"/>
            <w:shd w:fill="76B900"/>
            <w:vAlign w:val="cente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INTELLIGENCE</w:t>
            </w:r>
          </w:p>
        </w:tc>
      </w:tr>
      <w:tr>
        <w:trPr>
          <w:trHeight w:val="640" w:hRule="atLeast"/>
        </w:trPr>
        <w:tc>
          <w:tcPr>
            <w:tcW w:type="dxa" w:w="2493"/>
            <w:vAlign w:val="cente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Blood Panel</w:t>
              <w:br/>
              <w:t>Received</w:t>
            </w:r>
          </w:p>
        </w:tc>
        <w:tc>
          <w:tcPr>
            <w:tcW w:type="dxa" w:w="2493"/>
            <w:vAlign w:val="cente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Genomic Variants</w:t>
              <w:br/>
              <w:t>Mapped</w:t>
            </w:r>
          </w:p>
        </w:tc>
        <w:tc>
          <w:tcPr>
            <w:tcW w:type="dxa" w:w="2493"/>
            <w:vAlign w:val="cente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7 Modules</w:t>
              <w:br/>
              <w:t>Executed</w:t>
            </w:r>
          </w:p>
        </w:tc>
        <w:tc>
          <w:tcPr>
            <w:tcW w:type="dxa" w:w="2493"/>
            <w:vAlign w:val="center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7"/>
              </w:rPr>
              <w:t>Report</w:t>
              <w:br/>
              <w:t>Generated</w:t>
            </w:r>
          </w:p>
        </w:tc>
      </w:tr>
    </w:tbl>
    <w:p>
      <w:pPr>
        <w:spacing w:before="480" w:after="160"/>
        <w:jc w:val="left"/>
      </w:pPr>
      <w:r>
        <w:rPr>
          <w:rFonts w:ascii="Calibri" w:hAnsi="Calibri"/>
          <w:b/>
          <w:color w:val="1B2333"/>
          <w:sz w:val="36"/>
        </w:rPr>
        <w:t>1. PATIENT &amp; SPECIMEN SUMMARY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333333"/>
          <w:sz w:val="21"/>
        </w:rPr>
        <w:t>The Precision Biomarker Agent ingested a comprehensive blood panel (160+ analytes) from Patient HG002 (Genome in a Bottle reference) alongside whole-genome sequencing data processed by NVIDIA Parabricks 4.6 on DGX Spark. The canonical biomarker profile and genomic variant record were persisted for seven-module analysis.</w:t>
      </w:r>
    </w:p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Specimen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520" w:hRule="atLeast"/>
        </w:trPr>
        <w:tc>
          <w:tcPr>
            <w:tcW w:type="dxa" w:w="3168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Patient ID</w:t>
            </w:r>
          </w:p>
        </w:tc>
        <w:tc>
          <w:tcPr>
            <w:tcW w:type="dxa" w:w="691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HG002</w:t>
            </w:r>
          </w:p>
        </w:tc>
      </w:tr>
      <w:tr>
        <w:trPr>
          <w:trHeight w:val="520" w:hRule="atLeast"/>
        </w:trPr>
        <w:tc>
          <w:tcPr>
            <w:tcW w:type="dxa" w:w="3168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Report Type</w:t>
            </w:r>
          </w:p>
        </w:tc>
        <w:tc>
          <w:tcPr>
            <w:tcW w:type="dxa" w:w="691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Precision Biomarker Agent — HCLS AI Factory Pipeline Report</w:t>
            </w:r>
          </w:p>
        </w:tc>
      </w:tr>
      <w:tr>
        <w:trPr>
          <w:trHeight w:val="520" w:hRule="atLeast"/>
        </w:trPr>
        <w:tc>
          <w:tcPr>
            <w:tcW w:type="dxa" w:w="3168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Collection Date/Time</w:t>
            </w:r>
          </w:p>
        </w:tc>
        <w:tc>
          <w:tcPr>
            <w:tcW w:type="dxa" w:w="691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2026-01-31 07:42</w:t>
            </w:r>
          </w:p>
        </w:tc>
      </w:tr>
      <w:tr>
        <w:trPr>
          <w:trHeight w:val="520" w:hRule="atLeast"/>
        </w:trPr>
        <w:tc>
          <w:tcPr>
            <w:tcW w:type="dxa" w:w="3168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Fasting Status</w:t>
            </w:r>
          </w:p>
        </w:tc>
        <w:tc>
          <w:tcPr>
            <w:tcW w:type="dxa" w:w="691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Yes (12 h)</w:t>
            </w:r>
          </w:p>
        </w:tc>
      </w:tr>
      <w:tr>
        <w:trPr>
          <w:trHeight w:val="520" w:hRule="atLeast"/>
        </w:trPr>
        <w:tc>
          <w:tcPr>
            <w:tcW w:type="dxa" w:w="3168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Age</w:t>
            </w:r>
          </w:p>
        </w:tc>
        <w:tc>
          <w:tcPr>
            <w:tcW w:type="dxa" w:w="691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44 years</w:t>
            </w:r>
          </w:p>
        </w:tc>
      </w:tr>
      <w:tr>
        <w:trPr>
          <w:trHeight w:val="520" w:hRule="atLeast"/>
        </w:trPr>
        <w:tc>
          <w:tcPr>
            <w:tcW w:type="dxa" w:w="3168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Sex at Birth</w:t>
            </w:r>
          </w:p>
        </w:tc>
        <w:tc>
          <w:tcPr>
            <w:tcW w:type="dxa" w:w="691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Male</w:t>
            </w:r>
          </w:p>
        </w:tc>
      </w:tr>
      <w:tr>
        <w:trPr>
          <w:trHeight w:val="520" w:hRule="atLeast"/>
        </w:trPr>
        <w:tc>
          <w:tcPr>
            <w:tcW w:type="dxa" w:w="3168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Ancestry</w:t>
            </w:r>
          </w:p>
        </w:tc>
        <w:tc>
          <w:tcPr>
            <w:tcW w:type="dxa" w:w="691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Genome in a Bottle reference</w:t>
            </w:r>
          </w:p>
        </w:tc>
      </w:tr>
      <w:tr>
        <w:trPr>
          <w:trHeight w:val="520" w:hRule="atLeast"/>
        </w:trPr>
        <w:tc>
          <w:tcPr>
            <w:tcW w:type="dxa" w:w="3168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Ordering Context</w:t>
            </w:r>
          </w:p>
        </w:tc>
        <w:tc>
          <w:tcPr>
            <w:tcW w:type="dxa" w:w="691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Annual baseline + cardiometabolic optimization + autoimmune screen + MCED (Galleri)</w:t>
            </w:r>
          </w:p>
        </w:tc>
      </w:tr>
      <w:tr>
        <w:trPr>
          <w:trHeight w:val="520" w:hRule="atLeast"/>
        </w:trPr>
        <w:tc>
          <w:tcPr>
            <w:tcW w:type="dxa" w:w="3168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Genomic Source</w:t>
            </w:r>
          </w:p>
        </w:tc>
        <w:tc>
          <w:tcPr>
            <w:tcW w:type="dxa" w:w="691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WGS — NVIDIA Parabricks 4.6 → GRCh38 VCF</w:t>
            </w:r>
          </w:p>
        </w:tc>
      </w:tr>
      <w:tr>
        <w:trPr>
          <w:trHeight w:val="520" w:hRule="atLeast"/>
        </w:trPr>
        <w:tc>
          <w:tcPr>
            <w:tcW w:type="dxa" w:w="3168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Lab Source</w:t>
            </w:r>
          </w:p>
        </w:tc>
        <w:tc>
          <w:tcPr>
            <w:tcW w:type="dxa" w:w="691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Comprehensive blood panel (base + selected add-ons)</w:t>
            </w:r>
          </w:p>
        </w:tc>
      </w:tr>
    </w:tbl>
    <w:p>
      <w:pPr>
        <w:spacing w:before="480" w:after="160"/>
        <w:jc w:val="left"/>
      </w:pPr>
      <w:r>
        <w:rPr>
          <w:rFonts w:ascii="Calibri" w:hAnsi="Calibri"/>
          <w:b/>
          <w:color w:val="1B2333"/>
          <w:sz w:val="36"/>
        </w:rPr>
        <w:t>2. EXECUTIVE FINDINGS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333333"/>
          <w:sz w:val="21"/>
        </w:rPr>
        <w:t>The agent identified six priority findings ranked by clinical significance. Each finding integrates biomarker values with the patient’s genomic context to produce actionable intelligence that standard reference-range interpretation would miss.</w:t>
      </w:r>
    </w:p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Top 6 Priority Signals</w:t>
      </w:r>
    </w:p>
    <w:p>
      <w:pPr>
        <w:spacing w:after="80" w:before="40"/>
        <w:ind w:left="432"/>
      </w:pPr>
      <w:r>
        <w:rPr>
          <w:rFonts w:ascii="Calibri" w:hAnsi="Calibri"/>
          <w:b w:val="0"/>
          <w:color w:val="76B900"/>
          <w:sz w:val="20"/>
        </w:rPr>
        <w:t xml:space="preserve">● </w:t>
      </w:r>
      <w:r>
        <w:rPr>
          <w:rFonts w:ascii="Calibri" w:hAnsi="Calibri"/>
          <w:b/>
          <w:color w:val="1B2333"/>
          <w:sz w:val="20"/>
        </w:rPr>
        <w:t>Prediabetic Trajectory Detected:</w:t>
      </w:r>
      <w:r>
        <w:rPr>
          <w:rFonts w:ascii="Calibri" w:hAnsi="Calibri"/>
          <w:b w:val="0"/>
          <w:color w:val="333333"/>
          <w:sz w:val="20"/>
        </w:rPr>
        <w:t xml:space="preserve"> Fasting glucose 98 mg/dL (high-normal), HbA1c 5.5%, fasting insulin 18.6 µIU/mL (elevated), HOMA-IR 4.5 (insulin resistant). TCF7L2 rs7903146 CT heterozygous genotype confers 1.4× additional risk per T allele. Composite genetic risk score places this patient on a 5–7 year trajectory to clinical diabetes without intervention. DPP study evidence: 58% risk reduction with lifestyle modification; reversion to normal glucose reduces future diabetes risk by 56%.</w:t>
      </w:r>
    </w:p>
    <w:p>
      <w:pPr>
        <w:spacing w:after="80" w:before="40"/>
        <w:ind w:left="432"/>
      </w:pPr>
      <w:r>
        <w:rPr>
          <w:rFonts w:ascii="Calibri" w:hAnsi="Calibri"/>
          <w:b w:val="0"/>
          <w:color w:val="76B900"/>
          <w:sz w:val="20"/>
        </w:rPr>
        <w:t xml:space="preserve">● </w:t>
      </w:r>
      <w:r>
        <w:rPr>
          <w:rFonts w:ascii="Calibri" w:hAnsi="Calibri"/>
          <w:b/>
          <w:color w:val="1B2333"/>
          <w:sz w:val="20"/>
        </w:rPr>
        <w:t>Atherogenic Lipid Profile with APOE4 Context:</w:t>
      </w:r>
      <w:r>
        <w:rPr>
          <w:rFonts w:ascii="Calibri" w:hAnsi="Calibri"/>
          <w:b w:val="0"/>
          <w:color w:val="333333"/>
          <w:sz w:val="20"/>
        </w:rPr>
        <w:t xml:space="preserve"> LDL-C 128 mg/dL, ApoB 108 mg/dL (elevated atherogenic particle burden), triglycerides 172 mg/dL, HDL-C 39 mg/dL (low). APOE e3/e4 genotype increases LDL receptor recycling impairment and confers dual cardiovascular + cognitive risk. Lp(a) 74 nmol/L (elevated; genetically determined, stable longitudinally). Combined risk warrants aggressive intervention.</w:t>
      </w:r>
    </w:p>
    <w:p>
      <w:pPr>
        <w:spacing w:after="80" w:before="40"/>
        <w:ind w:left="432"/>
      </w:pPr>
      <w:r>
        <w:rPr>
          <w:rFonts w:ascii="Calibri" w:hAnsi="Calibri"/>
          <w:b w:val="0"/>
          <w:color w:val="76B900"/>
          <w:sz w:val="20"/>
        </w:rPr>
        <w:t xml:space="preserve">● </w:t>
      </w:r>
      <w:r>
        <w:rPr>
          <w:rFonts w:ascii="Calibri" w:hAnsi="Calibri"/>
          <w:b/>
          <w:color w:val="1B2333"/>
          <w:sz w:val="20"/>
        </w:rPr>
        <w:t>MTHFR Compound Heterozygosity with Elevated Homocysteine:</w:t>
      </w:r>
      <w:r>
        <w:rPr>
          <w:rFonts w:ascii="Calibri" w:hAnsi="Calibri"/>
          <w:b w:val="0"/>
          <w:color w:val="333333"/>
          <w:sz w:val="20"/>
        </w:rPr>
        <w:t xml:space="preserve"> MTHFR C677T CT + A1298C AC (compound heterozygous) → ~40% reduced enzyme activity. Homocysteine 13.2 µmol/L (elevated in genetic context). Methylfolate supplementation indicated; standard folic acid may be inadequately converted.</w:t>
      </w:r>
    </w:p>
    <w:p>
      <w:pPr>
        <w:spacing w:after="80" w:before="40"/>
        <w:ind w:left="432"/>
      </w:pPr>
      <w:r>
        <w:rPr>
          <w:rFonts w:ascii="Calibri" w:hAnsi="Calibri"/>
          <w:b w:val="0"/>
          <w:color w:val="76B900"/>
          <w:sz w:val="20"/>
        </w:rPr>
        <w:t xml:space="preserve">● </w:t>
      </w:r>
      <w:r>
        <w:rPr>
          <w:rFonts w:ascii="Calibri" w:hAnsi="Calibri"/>
          <w:b/>
          <w:color w:val="1B2333"/>
          <w:sz w:val="20"/>
        </w:rPr>
        <w:t>Hepatic Steatosis Risk (Genotype-Masked):</w:t>
      </w:r>
      <w:r>
        <w:rPr>
          <w:rFonts w:ascii="Calibri" w:hAnsi="Calibri"/>
          <w:b w:val="0"/>
          <w:color w:val="333333"/>
          <w:sz w:val="20"/>
        </w:rPr>
        <w:t xml:space="preserve"> ALT 34 U/L and GGT 46 U/L appear “normal” by standard ranges, but PNPLA3 I148M CG heterozygous genotype (2–3× NAFLD risk per G allele) means hepatic fat accumulation occurs at lower transaminase thresholds. Agent applies genotype-adjusted ALT threshold of ≤25 U/L for this patient → flags as ELEVATED. HSD17B13 wild-type (no protective variant).</w:t>
      </w:r>
    </w:p>
    <w:p>
      <w:pPr>
        <w:spacing w:after="80" w:before="40"/>
        <w:ind w:left="432"/>
      </w:pPr>
      <w:r>
        <w:rPr>
          <w:rFonts w:ascii="Calibri" w:hAnsi="Calibri"/>
          <w:b w:val="0"/>
          <w:color w:val="76B900"/>
          <w:sz w:val="20"/>
        </w:rPr>
        <w:t xml:space="preserve">● </w:t>
      </w:r>
      <w:r>
        <w:rPr>
          <w:rFonts w:ascii="Calibri" w:hAnsi="Calibri"/>
          <w:b/>
          <w:color w:val="1B2333"/>
          <w:sz w:val="20"/>
        </w:rPr>
        <w:t>Subclinical Thyroid Dysfunction (DIO2 Context):</w:t>
      </w:r>
      <w:r>
        <w:rPr>
          <w:rFonts w:ascii="Calibri" w:hAnsi="Calibri"/>
          <w:b w:val="0"/>
          <w:color w:val="333333"/>
          <w:sz w:val="20"/>
        </w:rPr>
        <w:t xml:space="preserve"> TSH 3.6 µIU/mL (high-normal) with Free T4 1.1 ng/dL. DIO2 Thr92Ala CT heterozygous genotype impairs T4-to-T3 conversion. In DIO2 carriers (~16% homozygous, ~50% heterozygous in general population), “normal” TSH may mask subclinical hypothyroid symptoms. FT3 measurement recommended.</w:t>
      </w:r>
    </w:p>
    <w:p>
      <w:pPr>
        <w:spacing w:after="80" w:before="40"/>
        <w:ind w:left="432"/>
      </w:pPr>
      <w:r>
        <w:rPr>
          <w:rFonts w:ascii="Calibri" w:hAnsi="Calibri"/>
          <w:b w:val="0"/>
          <w:color w:val="76B900"/>
          <w:sz w:val="20"/>
        </w:rPr>
        <w:t xml:space="preserve">● </w:t>
      </w:r>
      <w:r>
        <w:rPr>
          <w:rFonts w:ascii="Calibri" w:hAnsi="Calibri"/>
          <w:b/>
          <w:color w:val="1B2333"/>
          <w:sz w:val="20"/>
        </w:rPr>
        <w:t>Iron Storage Depletion with HFE Context:</w:t>
      </w:r>
      <w:r>
        <w:rPr>
          <w:rFonts w:ascii="Calibri" w:hAnsi="Calibri"/>
          <w:b w:val="0"/>
          <w:color w:val="333333"/>
          <w:sz w:val="20"/>
        </w:rPr>
        <w:t xml:space="preserve"> Ferritin 22 ng/mL (below optimal), iron 72 µg/dL (low-normal). HFE H63D CG heterozygous genotype. While H63D heterozygosity has modest clinical impact, the low ferritin in a male patient warrants investigation for occult blood loss, malabsorption, or dietary insufficiency. FADS1/FADS2 variant carrier status indicates reduced omega-3 conversion efficiency → supplementation guidance adjusted.</w:t>
      </w:r>
    </w:p>
    <w:p>
      <w:pPr>
        <w:spacing w:before="480" w:after="160"/>
        <w:jc w:val="left"/>
      </w:pPr>
      <w:r>
        <w:rPr>
          <w:rFonts w:ascii="Calibri" w:hAnsi="Calibri"/>
          <w:b/>
          <w:color w:val="1B2333"/>
          <w:sz w:val="36"/>
        </w:rPr>
        <w:t>3. BIOLOGICAL AGE ESTIMATION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333333"/>
          <w:sz w:val="21"/>
        </w:rPr>
        <w:t>The agent computes two validated biological age algorithms using the patient’s lab values. PhenoAge (Levine 2018) uses 9 biomarkers plus chronological age to estimate phenotypic aging rate. GrimAge incorporates DNA-methylation surrogates for plasma proteins (GDF-15, cystatin C, leptin, PAI-1, TIMP-1) to predict mortality and morbidity risk. GDF-15 shows the strongest individual correlation with the composite score (r = 0.664).</w:t>
      </w:r>
    </w:p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Biological Age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rHeight w:val="600" w:hRule="atLeast"/>
        </w:trPr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Algorithm</w:t>
            </w:r>
          </w:p>
        </w:tc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Chronological Age</w:t>
            </w:r>
          </w:p>
        </w:tc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Biological Age</w:t>
            </w:r>
          </w:p>
        </w:tc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Delta</w:t>
            </w:r>
          </w:p>
        </w:tc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Interpretation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PhenoAge (Levine 2018)</w:t>
            </w:r>
          </w:p>
        </w:tc>
        <w:tc>
          <w:tcPr>
            <w:tcW w:type="dxa" w:w="1994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44.0 years</w:t>
            </w:r>
          </w:p>
        </w:tc>
        <w:tc>
          <w:tcPr>
            <w:tcW w:type="dxa" w:w="1994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46.8 years</w:t>
            </w:r>
          </w:p>
        </w:tc>
        <w:tc>
          <w:tcPr>
            <w:tcW w:type="dxa" w:w="1994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+2.8 years</w:t>
            </w:r>
          </w:p>
        </w:tc>
        <w:tc>
          <w:tcPr>
            <w:tcW w:type="dxa" w:w="1994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Accelerated aging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GrimAge (Lu 2019)</w:t>
            </w:r>
          </w:p>
        </w:tc>
        <w:tc>
          <w:tcPr>
            <w:tcW w:type="dxa" w:w="1994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44.0 years</w:t>
            </w:r>
          </w:p>
        </w:tc>
        <w:tc>
          <w:tcPr>
            <w:tcW w:type="dxa" w:w="1994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47.2 years</w:t>
            </w:r>
          </w:p>
        </w:tc>
        <w:tc>
          <w:tcPr>
            <w:tcW w:type="dxa" w:w="1994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+3.2 years</w:t>
            </w:r>
          </w:p>
        </w:tc>
        <w:tc>
          <w:tcPr>
            <w:tcW w:type="dxa" w:w="1994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Accelerated aging</w:t>
            </w:r>
          </w:p>
        </w:tc>
      </w:tr>
    </w:tbl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PhenoAge Input Biomarkers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600" w:hRule="atLeast"/>
        </w:trPr>
        <w:tc>
          <w:tcPr>
            <w:tcW w:type="dxa" w:w="2493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Biomarker</w:t>
            </w:r>
          </w:p>
        </w:tc>
        <w:tc>
          <w:tcPr>
            <w:tcW w:type="dxa" w:w="2493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2493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Units</w:t>
            </w:r>
          </w:p>
        </w:tc>
        <w:tc>
          <w:tcPr>
            <w:tcW w:type="dxa" w:w="2493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Contribution</w:t>
            </w:r>
          </w:p>
        </w:tc>
      </w:tr>
      <w:tr>
        <w:trPr>
          <w:trHeight w:val="480" w:hRule="atLeast"/>
        </w:trPr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Albumin</w:t>
            </w:r>
          </w:p>
        </w:tc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4.6</w:t>
            </w:r>
          </w:p>
        </w:tc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g/dL</w:t>
            </w:r>
          </w:p>
        </w:tc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Protective (inverse)</w:t>
            </w:r>
          </w:p>
        </w:tc>
      </w:tr>
      <w:tr>
        <w:trPr>
          <w:trHeight w:val="480" w:hRule="atLeast"/>
        </w:trPr>
        <w:tc>
          <w:tcPr>
            <w:tcW w:type="dxa" w:w="2493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Creatinine</w:t>
            </w:r>
          </w:p>
        </w:tc>
        <w:tc>
          <w:tcPr>
            <w:tcW w:type="dxa" w:w="2493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1.03</w:t>
            </w:r>
          </w:p>
        </w:tc>
        <w:tc>
          <w:tcPr>
            <w:tcW w:type="dxa" w:w="2493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mg/dL</w:t>
            </w:r>
          </w:p>
        </w:tc>
        <w:tc>
          <w:tcPr>
            <w:tcW w:type="dxa" w:w="2493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Neutral</w:t>
            </w:r>
          </w:p>
        </w:tc>
      </w:tr>
      <w:tr>
        <w:trPr>
          <w:trHeight w:val="480" w:hRule="atLeast"/>
        </w:trPr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Glucose (fasting)</w:t>
            </w:r>
          </w:p>
        </w:tc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98</w:t>
            </w:r>
          </w:p>
        </w:tc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mg/dL</w:t>
            </w:r>
          </w:p>
        </w:tc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Mild positive (aging)</w:t>
            </w:r>
          </w:p>
        </w:tc>
      </w:tr>
      <w:tr>
        <w:trPr>
          <w:trHeight w:val="480" w:hRule="atLeast"/>
        </w:trPr>
        <w:tc>
          <w:tcPr>
            <w:tcW w:type="dxa" w:w="2493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C-Reactive Protein (ln)</w:t>
            </w:r>
          </w:p>
        </w:tc>
        <w:tc>
          <w:tcPr>
            <w:tcW w:type="dxa" w:w="2493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0.88</w:t>
            </w:r>
          </w:p>
        </w:tc>
        <w:tc>
          <w:tcPr>
            <w:tcW w:type="dxa" w:w="2493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ln(mg/L)</w:t>
            </w:r>
          </w:p>
        </w:tc>
        <w:tc>
          <w:tcPr>
            <w:tcW w:type="dxa" w:w="2493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Positive (aging)</w:t>
            </w:r>
          </w:p>
        </w:tc>
      </w:tr>
      <w:tr>
        <w:trPr>
          <w:trHeight w:val="480" w:hRule="atLeast"/>
        </w:trPr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Lymphocyte %</w:t>
            </w:r>
          </w:p>
        </w:tc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32</w:t>
            </w:r>
          </w:p>
        </w:tc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%</w:t>
            </w:r>
          </w:p>
        </w:tc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Protective (inverse)</w:t>
            </w:r>
          </w:p>
        </w:tc>
      </w:tr>
      <w:tr>
        <w:trPr>
          <w:trHeight w:val="480" w:hRule="atLeast"/>
        </w:trPr>
        <w:tc>
          <w:tcPr>
            <w:tcW w:type="dxa" w:w="2493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Mean Cell Volume</w:t>
            </w:r>
          </w:p>
        </w:tc>
        <w:tc>
          <w:tcPr>
            <w:tcW w:type="dxa" w:w="2493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87.5</w:t>
            </w:r>
          </w:p>
        </w:tc>
        <w:tc>
          <w:tcPr>
            <w:tcW w:type="dxa" w:w="2493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fL</w:t>
            </w:r>
          </w:p>
        </w:tc>
        <w:tc>
          <w:tcPr>
            <w:tcW w:type="dxa" w:w="2493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Neutral</w:t>
            </w:r>
          </w:p>
        </w:tc>
      </w:tr>
      <w:tr>
        <w:trPr>
          <w:trHeight w:val="480" w:hRule="atLeast"/>
        </w:trPr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Red Cell Dist. Width</w:t>
            </w:r>
          </w:p>
        </w:tc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13.2</w:t>
            </w:r>
          </w:p>
        </w:tc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%</w:t>
            </w:r>
          </w:p>
        </w:tc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Neutral</w:t>
            </w:r>
          </w:p>
        </w:tc>
      </w:tr>
      <w:tr>
        <w:trPr>
          <w:trHeight w:val="480" w:hRule="atLeast"/>
        </w:trPr>
        <w:tc>
          <w:tcPr>
            <w:tcW w:type="dxa" w:w="2493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Alkaline Phosphatase</w:t>
            </w:r>
          </w:p>
        </w:tc>
        <w:tc>
          <w:tcPr>
            <w:tcW w:type="dxa" w:w="2493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86</w:t>
            </w:r>
          </w:p>
        </w:tc>
        <w:tc>
          <w:tcPr>
            <w:tcW w:type="dxa" w:w="2493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U/L</w:t>
            </w:r>
          </w:p>
        </w:tc>
        <w:tc>
          <w:tcPr>
            <w:tcW w:type="dxa" w:w="2493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Neutral</w:t>
            </w:r>
          </w:p>
        </w:tc>
      </w:tr>
      <w:tr>
        <w:trPr>
          <w:trHeight w:val="480" w:hRule="atLeast"/>
        </w:trPr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White Blood Cell Count</w:t>
            </w:r>
          </w:p>
        </w:tc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6.2</w:t>
            </w:r>
          </w:p>
        </w:tc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10³/µL</w:t>
            </w:r>
          </w:p>
        </w:tc>
        <w:tc>
          <w:tcPr>
            <w:tcW w:type="dxa" w:w="2493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Neutral</w:t>
            </w:r>
          </w:p>
        </w:tc>
      </w:tr>
    </w:tbl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GrimAge Plasma Protein Surrogates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rHeight w:val="600" w:hRule="atLeast"/>
        </w:trPr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Surrogate</w:t>
            </w:r>
          </w:p>
        </w:tc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Measured Proxy</w:t>
            </w:r>
          </w:p>
        </w:tc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Age Correlation</w:t>
            </w:r>
          </w:p>
        </w:tc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Risk Direction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GDF-15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GDF-15 (estimated)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1,180 pg/mL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 = 0.664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↑ Accelerating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Cystatin C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Cystatin C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0.92 mg/L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 = 0.52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Neutral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Leptin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Leptin (estimated)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14.8 ng/mL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 = 0.48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↑ Mild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PAI-1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PAI-1 (estimated)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38 ng/mL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 = 0.42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↑ Prothrombotic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TIMP-1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TIMP-1 (estimated)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224 ng/mL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 = 0.39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Neutral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Adrenomedullin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ADM (estimated)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44 pg/mL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 = 0.36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Neutral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Beta-2-Microglobulin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β2M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1.8 mg/L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 = 0.34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Neutral</w:t>
            </w:r>
          </w:p>
        </w:tc>
      </w:tr>
    </w:tbl>
    <w:p>
      <w:pPr>
        <w:spacing w:after="120" w:before="0"/>
        <w:jc w:val="left"/>
      </w:pPr>
      <w:r>
        <w:rPr>
          <w:rFonts w:ascii="Calibri" w:hAnsi="Calibri"/>
          <w:b w:val="0"/>
          <w:color w:val="333333"/>
          <w:sz w:val="20"/>
        </w:rPr>
        <w:t>Clinical implication: The +2.8 to +3.2 year biological age acceleration is driven primarily by the insulin-resistant metabolic profile (elevated glucose, hs-CRP, HOMA-IR) and subclinical inflammation. The prediabetic trajectory and atherogenic lipid profile are consistent accelerators. Intervention targeting insulin sensitivity, inflammation, and lipid management has the highest potential to reverse biological age acceleration.</w:t>
      </w:r>
    </w:p>
    <w:p>
      <w:pPr>
        <w:spacing w:before="480" w:after="160"/>
        <w:jc w:val="left"/>
      </w:pPr>
      <w:r>
        <w:rPr>
          <w:rFonts w:ascii="Calibri" w:hAnsi="Calibri"/>
          <w:b/>
          <w:color w:val="1B2333"/>
          <w:sz w:val="36"/>
        </w:rPr>
        <w:t>4. GENOMIC VARIANT PROFILE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333333"/>
          <w:sz w:val="21"/>
        </w:rPr>
        <w:t>NVIDIA Parabricks 4.6 on DGX Spark processed the HG002 whole-genome sample (Genome in a Bottle reference), extracting clinically actionable variants across 15 pharmacogenomic and disease-risk loci. Variants are stored as first-class canonical objects with population frequencies and effect sizes for downstream module correlation.</w:t>
      </w:r>
    </w:p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Disease-Risk Variants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val="600" w:hRule="atLeast"/>
        </w:trPr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Gene / Locus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Variant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rsID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Genotype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Effect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Clinical Significance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MTHFR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C677T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rs1801133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CT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Het → ~35% ↓ activity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Compound het w/ A1298C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MTHFR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A1298C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rs1801131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AC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Het → ~20% ↓ activity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Compound het w/ C677T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APOE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Alleles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e3/e4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 × ε4 allele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CV + cognitive risk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TCF7L2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Intron 3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rs7903146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CT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1.4× T2D risk / T allele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Prediabetic trajectory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PCSK9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Wild-type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 LOF / GOF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Standard LDL metabolism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PNPLA3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I148M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rs738409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CG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Het → 2–3× NAFLD risk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Genotype-adjusted ALT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TM6SF2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E167K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rs58542926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CC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Wild-type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 hepatic impact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HSD17B13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rs72613567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Wild-type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 protective variant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 NAFLD/MASH protection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HFE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C282Y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rs1800562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GG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Wild-type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 hemochromatosis risk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HFE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H63D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rs1799945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CG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Heterozygous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Mild iron loading potential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FADS1/FADS2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Cluster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rs174547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CT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Reduced desaturase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↓ Omega-3 conversion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DIO2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Thr92Ala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rs225014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CT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Het → impaired T4→T3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Thyroid context</w:t>
            </w:r>
          </w:p>
        </w:tc>
      </w:tr>
    </w:tbl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Pharmacogenomic Variants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rHeight w:val="600" w:hRule="atLeast"/>
        </w:trPr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Gene</w:t>
            </w:r>
          </w:p>
        </w:tc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Star Allele</w:t>
            </w:r>
          </w:p>
        </w:tc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Metabolizer Status</w:t>
            </w:r>
          </w:p>
        </w:tc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Drug Impact</w:t>
            </w:r>
          </w:p>
        </w:tc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Clinical Action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CYP2D6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*1/*4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Intermediate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Codeine, tramadol, tamoxifen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Reduced activation → adjust dose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CYP2C19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*1/*2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Intermediate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Clopidogrel, PPIs, SSRIs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Reduced activation → consider alternatives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SLCO1B1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rs4149056 TC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Intermediate function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Statins (simvastatin, atorvastatin)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Myopathy risk → lower dose or rosuvastatin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VKORC1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rs9923231 AG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Intermediate sensitivity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Warfarin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Standard-to-reduced initial dose</w:t>
            </w:r>
          </w:p>
        </w:tc>
      </w:tr>
    </w:tbl>
    <w:p>
      <w:pPr>
        <w:spacing w:before="480" w:after="160"/>
        <w:jc w:val="left"/>
      </w:pPr>
      <w:r>
        <w:rPr>
          <w:rFonts w:ascii="Calibri" w:hAnsi="Calibri"/>
          <w:b/>
          <w:color w:val="1B2333"/>
          <w:sz w:val="36"/>
        </w:rPr>
        <w:t>5. CORE LABORATORY RESULTS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333333"/>
          <w:sz w:val="21"/>
        </w:rPr>
        <w:t>All 160+ analytes are presented below with standard reference intervals and flag indicators. H/L indicate values outside the reference interval. H*/L* indicate borderline or context-dependent interpretation requiring genomic correlation. The agent applies genotype-adjusted thresholds where applicable, noted in the Comment column.</w:t>
      </w:r>
    </w:p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Complete Blood Count (CBC) + Differential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val="600" w:hRule="atLeast"/>
        </w:trPr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Analyte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Units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Reference Interval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Flag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Comment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WBC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6.2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10³/µL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4.0–11.0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RBC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5.05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10⁶/µL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4.5–5.9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Hemoglobin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14.7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g/dL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13.5–17.5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Hematocrit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44.2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%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41–53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MCV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87.5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80–100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MCH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29.1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pg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27–33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MCHC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33.3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g/dL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32–36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RDW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13.2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%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11.5–14.5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Platelets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248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10³/µL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150–450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MPV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9.8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7.5–12.5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Neutrophils %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58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%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40–70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Lymphocytes %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32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%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20–45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Monocytes %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7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%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2–10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Eosinophils %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%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0–6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Basophils %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%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0–2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Metabolic Panel (Fasting)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val="600" w:hRule="atLeast"/>
        </w:trPr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Analyte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Units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Reference Interval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Flag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Comment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Glucose (fasting)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98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mg/dL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70–99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High-normal; TCF7L2 context → trajectory risk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HbA1c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5.5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%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4.0–5.6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Upper-normal; trend monitoring critical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Insulin (fasting)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18.6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µIU/mL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~2–20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8"/>
              </w:rPr>
              <w:t>H*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Elevated relative to glucose → IR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HOMA-IR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4.5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index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&lt;2.5 optimal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8"/>
              </w:rPr>
              <w:t>H*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Insulin resistant (derived: Glu×Ins/405)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Uric Acid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6.4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mg/dL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3.4–7.0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Correlates with metabolic syndrome</w:t>
            </w:r>
          </w:p>
        </w:tc>
      </w:tr>
    </w:tbl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Cardiometabolic / Lipid Panel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val="600" w:hRule="atLeast"/>
        </w:trPr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Analyte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Units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Reference Interval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Flag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Comment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Total Cholesterol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212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mg/dL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&lt;200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8"/>
              </w:rPr>
              <w:t>H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Borderline elevated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LDL-C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128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mg/dL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&lt;100 optimal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8"/>
              </w:rPr>
              <w:t>H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APOE e3/e4 context → impaired clearance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HDL-C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39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mg/dL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≥40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18"/>
              </w:rPr>
              <w:t>L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Below protective threshold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Triglycerides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172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mg/dL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&lt;150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8"/>
              </w:rPr>
              <w:t>H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Insulin resistance marker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ApoB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108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mg/dL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&lt;90 optimal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8"/>
              </w:rPr>
              <w:t>H*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Atherogenic particle burden elevated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Lp(a)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74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nmol/L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&lt;75 (assay)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Borderline; genetically determined, stable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Small Dense LDL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42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mg/dL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contextual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8"/>
              </w:rPr>
              <w:t>H*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Pattern B → atherogenic phenotype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Omega-3 Index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4.2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%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&gt;8% optimal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18"/>
              </w:rPr>
              <w:t>L*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FADS1/2 variant → ↓ conversion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Omega-6:Omega-3 Ratio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12.4:1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ratio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&lt;4:1 optimal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8"/>
              </w:rPr>
              <w:t>H*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Pro-inflammatory ratio</w:t>
            </w:r>
          </w:p>
        </w:tc>
      </w:tr>
    </w:tbl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Liver Function &amp; Proteins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val="600" w:hRule="atLeast"/>
        </w:trPr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Analyte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Units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Std Reference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Flag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Genotype-Adjusted Interpretation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ALT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34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U/L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7–56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PNPLA3 CG: threshold ≤25 U/L → ELEVATED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AST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28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U/L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10–40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Within standard range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GGT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46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U/L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9–48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High-normal; correlate with TG/insulin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ALP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86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U/L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44–147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Total Bilirubin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0.7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mg/dL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0.2–1.2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Albumin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4.6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g/dL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3.5–5.0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Strong hepatic synthetic function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Total Protein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7.1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g/dL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6.0–8.3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Globulin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2.5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g/dL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2.0–3.5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after="120" w:before="0"/>
        <w:jc w:val="left"/>
      </w:pPr>
      <w:r>
        <w:rPr>
          <w:rFonts w:ascii="Calibri" w:hAnsi="Calibri"/>
          <w:b w:val="0"/>
          <w:color w:val="333333"/>
          <w:sz w:val="19"/>
        </w:rPr>
        <w:t>Note: PNPLA3 I148M heterozygous carriers accumulate hepatic fat at ALT levels that appear “normal” by standard reference ranges. TM6SF2 E167K is wild-type in this patient. HSD17B13 is wild-type (no protective variant against NAFLD/MASH progression). The agent recommends hepatic steatosis screening (ultrasound or MRI-PDFF) despite standard ranges appearing unremarkable.</w:t>
      </w:r>
    </w:p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Kidney &amp; Electrolytes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val="600" w:hRule="atLeast"/>
        </w:trPr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Analyte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Units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Reference Interval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Flag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Comment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Creatinine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1.03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mg/dL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0.74–1.35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BUN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16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mg/dL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7–20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eGFR (CKD-EPI)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92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mL/min/1.73m²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≥90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Age-appropriate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Sodium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140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mmol/L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135–145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Potassium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4.3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mmol/L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3.5–5.1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Chloride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102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mmol/L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98–106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CO₂ (Bicarb)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25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mmol/L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22–29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Calcium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9.4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mg/dL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8.6–10.2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Magnesium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2.0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mg/dL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1.7–2.2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</w:tbl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Thyroid Panel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val="600" w:hRule="atLeast"/>
        </w:trPr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Analyte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Units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Reference Interval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Flag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Genotype-Adjusted Interpretation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TSH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3.6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µIU/mL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0.4–4.0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DIO2 CT: high-normal may mask symptoms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Free T4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1.1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ng/dL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0.8–1.8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Lower quartile in DIO2 carrier context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Free T3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Not ordered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RECOMMENDED: DIO2 carriers need FT3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TPO Ab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&lt;9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IU/mL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Negative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 autoimmune thyroiditis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Tg Ab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&lt;1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IU/mL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Negative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 autoimmune thyroiditis</w:t>
            </w:r>
          </w:p>
        </w:tc>
      </w:tr>
    </w:tbl>
    <w:p>
      <w:pPr>
        <w:spacing w:after="120" w:before="0"/>
        <w:jc w:val="left"/>
      </w:pPr>
      <w:r>
        <w:rPr>
          <w:rFonts w:ascii="Calibri" w:hAnsi="Calibri"/>
          <w:b w:val="0"/>
          <w:color w:val="333333"/>
          <w:sz w:val="19"/>
        </w:rPr>
        <w:t>DIO2 Thr92Ala heterozygous carriers may have impaired T4-to-T3 conversion despite “normal” TSH. The agent recommends Free T3 measurement and symptom correlation. If symptomatic, combination T4+T3 therapy may be considered.</w:t>
      </w:r>
    </w:p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Nutrients &amp; Micronutrients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val="600" w:hRule="atLeast"/>
        </w:trPr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Analyte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Units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Reference Interval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Flag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Genotype-Adjusted Interpretation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Vitamin D (25-OH)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28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ng/mL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30–100 optimal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18"/>
              </w:rPr>
              <w:t>L*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Insufficient; supplement to &gt;40 ng/mL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Iron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72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µg/dL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60–170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Low-normal in male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Ferritin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22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ng/mL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24–336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2563EB"/>
                <w:sz w:val="18"/>
              </w:rPr>
              <w:t>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Below optimal; investigate cause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Homocysteine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13.2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µmol/L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5–15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MTHFR compound het → elevated risk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MMA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162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nmol/L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&lt;370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B12 status adequate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Folate (serum)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8.2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ng/mL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&gt;5.9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MTHFR context: methylfolate preferred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Vitamin B12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480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pg/mL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200–900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Adequate</w:t>
            </w:r>
          </w:p>
        </w:tc>
      </w:tr>
    </w:tbl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Inflammation / Stress / Aging Markers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val="600" w:hRule="atLeast"/>
        </w:trPr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Analyte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Units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Reference Interval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Flag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Comment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hs-CRP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2.4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mg/L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&lt;1.0 low risk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8"/>
              </w:rPr>
              <w:t>H*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Hepatic-origin inflammation marker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NLR (derived)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1.81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ratio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&lt;3.0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Cellular inflammation: normal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Cortisol (AM)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15.2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µg/dL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6–18 (AM)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Within diurnal range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DHEA-S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178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µg/dL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age/sex-dependent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Age-appropriate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IGF-1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138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ng/mL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age-dependent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Mid-range for age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SHBG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31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nmol/L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10–57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Low-normal; correlates with IR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GDF-15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1,180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pg/mL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&lt;1,200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Upper limit; aging biomarker (GrimAge)</w:t>
            </w:r>
          </w:p>
        </w:tc>
      </w:tr>
    </w:tbl>
    <w:p>
      <w:pPr>
        <w:spacing w:after="120" w:before="0"/>
        <w:jc w:val="left"/>
      </w:pPr>
      <w:r>
        <w:rPr>
          <w:rFonts w:ascii="Calibri" w:hAnsi="Calibri"/>
          <w:b w:val="0"/>
          <w:color w:val="333333"/>
          <w:sz w:val="19"/>
        </w:rPr>
        <w:t>Inflammatory phenotyping: hs-CRP 2.4 mg/L (hepatic-origin) with normal NLR 1.81 (cellular) suggests metabolic/hepatic inflammation rather than systemic immune activation. This pattern is consistent with insulin resistance-driven hepatic inflammation and supports the PNPLA3-context liver finding above.</w:t>
      </w:r>
    </w:p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Autoimmunity Screen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val="600" w:hRule="atLeast"/>
        </w:trPr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Analyte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Units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Reference Interval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Flag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Comment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ANA Screen (IFA)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Negative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Negative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 signal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DNA (ds) Ab Crithidia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&lt;1:10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titer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Negative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Rheumatoid Factor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&lt;10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IU/mL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&lt;14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Negative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CCP Ab (IgG)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&lt;20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U/mL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&lt;20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Negative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Cardiolipin Ab (IgG)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&lt;12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GPL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&lt;20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Beta-2-GP Ab (IgG)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&lt;8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SGU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&lt;20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ESR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8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mm/hr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0–15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Normal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C3c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118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mg/dL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90–180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Normal complement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C4c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24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mg/dL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10–40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Normal complement</w:t>
            </w:r>
          </w:p>
        </w:tc>
      </w:tr>
    </w:tbl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Environmental Toxins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val="600" w:hRule="atLeast"/>
        </w:trPr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Analyte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Units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Reference Interval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Flag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Comment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Lead (whole blood)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1.2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µg/dL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&lt;3.5 (adult)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Within range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Mercury (blood)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3.1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µg/L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&lt;10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Within range</w:t>
            </w:r>
          </w:p>
        </w:tc>
      </w:tr>
    </w:tbl>
    <w:p>
      <w:pPr>
        <w:spacing w:before="480" w:after="160"/>
        <w:jc w:val="left"/>
      </w:pPr>
      <w:r>
        <w:rPr>
          <w:rFonts w:ascii="Calibri" w:hAnsi="Calibri"/>
          <w:b/>
          <w:color w:val="1B2333"/>
          <w:sz w:val="36"/>
        </w:rPr>
        <w:t>6. PRE-SYMPTOMATIC DISEASE TRAJECTORIES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333333"/>
          <w:sz w:val="21"/>
        </w:rPr>
        <w:t>The agent models pre-symptomatic disease trajectories by correlating biomarker trends with genetic risk scores. These trajectories identify disease progression years before clinical diagnosis, enabling early intervention during the reversible window.</w:t>
      </w:r>
    </w:p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Disease Trajectory Assessment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val="600" w:hRule="atLeast"/>
        </w:trPr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Trajectory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Risk Score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Key Drivers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Estimated Horizon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Reversibility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Type 2 Diabetes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HIGH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HOMA-IR 4.5 + TCF7L2 CT + glucose 98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5–7 years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58% (DPP)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★★★★★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Cardiovascular Disease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HIGH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ApoB 108 + Lp(a) 74 + APOE e3/e4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10–15 years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Modifiable (LDL, TG)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★★★★★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NAFLD / Steatosis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MODERATE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PNPLA3 CG + ALT 34 + TG 172 + IR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3–5 years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Highly reversible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★★★★☆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Cognitive Decline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MODERATE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APOE e3/e4 + insulin resistance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15–25 years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Lifestyle-modifiable</w:t>
            </w:r>
          </w:p>
        </w:tc>
        <w:tc>
          <w:tcPr>
            <w:tcW w:type="dxa" w:w="166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★★★☆☆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Autoimmune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LOW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All screens negative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N/A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N/A</w:t>
            </w:r>
          </w:p>
        </w:tc>
        <w:tc>
          <w:tcPr>
            <w:tcW w:type="dxa" w:w="166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★☆☆☆☆</w:t>
            </w:r>
          </w:p>
        </w:tc>
      </w:tr>
    </w:tbl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Diabetes Trajectory Detail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333333"/>
          <w:sz w:val="20"/>
        </w:rPr>
        <w:t>The composite diabetes genetic risk score integrates: TCF7L2 rs7903146 CT (1.4× per T allele), PPARG Pro12Ala (wild-type — no protective variant), SLC30A8, KCNJ11, and GCKR. Combined with the metabolic profile (HOMA-IR 4.5, fasting glucose 98, HbA1c 5.5%, triglycerides 172), the model estimates clinical diabetes onset in 5–7 years without intervention. The Diabetes Prevention Program demonstrated 58% risk reduction with lifestyle modification, and reversion to normal glucose reduces future diabetes risk by 56%. TCF7L2 carriers specifically benefit from reduced glycemic load.</w:t>
      </w:r>
    </w:p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Cardiovascular Trajectory Detail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333333"/>
          <w:sz w:val="20"/>
        </w:rPr>
        <w:t>The cardiovascular trajectory combines: APOE e3/e4 (↓ LDL receptor recycling), elevated ApoB 108 mg/dL (atherogenic particle burden above 90th percentile), Lp(a) 74 nmol/L (genetically elevated, stable, confers independent risk), LDL-C 128 mg/dL, HDL-C 39 mg/dL, and triglycerides 172 mg/dL. PCSK9 is wild-type (standard response to statin therapy expected). SLCO1B1 TC intermediate function genotype indicates myopathy risk with high-dose simvastatin → rosuvastatin or pravastatin preferred.</w:t>
      </w:r>
    </w:p>
    <w:p>
      <w:pPr>
        <w:spacing w:before="480" w:after="160"/>
        <w:jc w:val="left"/>
      </w:pPr>
      <w:r>
        <w:rPr>
          <w:rFonts w:ascii="Calibri" w:hAnsi="Calibri"/>
          <w:b/>
          <w:color w:val="1B2333"/>
          <w:sz w:val="36"/>
        </w:rPr>
        <w:t>7. GENOTYPE-ADJUSTED REFERENCE RANGES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333333"/>
          <w:sz w:val="21"/>
        </w:rPr>
        <w:t>Standard laboratory reference ranges are population averages that obscure individual genetic reality. The agent applies genotype-specific thresholds where evidence supports meaningful reclassification. The table below summarizes adjustments applied to this patient’s results.</w:t>
      </w:r>
    </w:p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Applied Genotype Adjustments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val="600" w:hRule="atLeast"/>
        </w:trPr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Analyte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Standard Range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Genotype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Adjusted Threshold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Patient Value</w:t>
            </w:r>
          </w:p>
        </w:tc>
        <w:tc>
          <w:tcPr>
            <w:tcW w:type="dxa" w:w="1662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Reclassification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ALT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7–56 U/L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PNPLA3 I148M CG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≤25 U/L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34 U/L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Normal → ELEVATED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TSH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0.4–4.0 µIU/mL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DIO2 Thr92Ala CT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≤2.5 optimal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3.6 µIU/mL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Normal → MONITOR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Homocysteine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5–15 µmol/L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MTHFR compound het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≤10 µmol/L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13.2 µmol/L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Normal → ELEVATED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Ferritin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24–336 ng/mL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HFE H63D CG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≥50 ng/mL optimal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22 ng/mL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Low → INVESTIGATE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Omega-3 Index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&gt;8% optimal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FADS1/2 CT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&gt;5% adjusted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4.2%</w:t>
            </w:r>
          </w:p>
        </w:tc>
        <w:tc>
          <w:tcPr>
            <w:tcW w:type="dxa" w:w="1662"/>
            <w:shd w:fill="FFF8E1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Low → SUPPLEMENT</w:t>
            </w:r>
          </w:p>
        </w:tc>
      </w:tr>
      <w:tr>
        <w:trPr>
          <w:trHeight w:val="480" w:hRule="atLeast"/>
        </w:trPr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Fasting Glucose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70–99 mg/dL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TCF7L2 CT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≤90 mg/dL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98 mg/dL</w:t>
            </w:r>
          </w:p>
        </w:tc>
        <w:tc>
          <w:tcPr>
            <w:tcW w:type="dxa" w:w="1662"/>
            <w:shd w:fill="FDEAEA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Normal → PRE-TRAJECTORY</w:t>
            </w:r>
          </w:p>
        </w:tc>
      </w:tr>
    </w:tbl>
    <w:p>
      <w:pPr>
        <w:spacing w:before="480" w:after="160"/>
        <w:jc w:val="left"/>
      </w:pPr>
      <w:r>
        <w:rPr>
          <w:rFonts w:ascii="Calibri" w:hAnsi="Calibri"/>
          <w:b/>
          <w:color w:val="1B2333"/>
          <w:sz w:val="36"/>
        </w:rPr>
        <w:t>8. PHARMACOGENOMIC GUIDANCE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333333"/>
          <w:sz w:val="21"/>
        </w:rPr>
        <w:t>The agent maps the patient’s pharmacogenomic profile to CPIC (Clinical Pharmacogenetics Implementation Consortium) guidelines, generating prescribing context for commonly encountered drug classes.</w:t>
      </w:r>
    </w:p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Drug Interaction Profile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rHeight w:val="600" w:hRule="atLeast"/>
        </w:trPr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Drug Class</w:t>
            </w:r>
          </w:p>
        </w:tc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Representative Agents</w:t>
            </w:r>
          </w:p>
        </w:tc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Gene</w:t>
            </w:r>
          </w:p>
        </w:tc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Phenotype</w:t>
            </w:r>
          </w:p>
        </w:tc>
        <w:tc>
          <w:tcPr>
            <w:tcW w:type="dxa" w:w="199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CPIC Recommendation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Opioid Analgesics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Codeine, Tramadol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CYP2D6 *1/*4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Intermediate metabolizer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Reduced activation → may need alternative analgesic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Antiplatelet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Clopidogrel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CYP2C19 *1/*2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Intermediate metabolizer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Reduced activation → consider prasugrel or ticagrelor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Statins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Simvastatin, Atorvastatin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SLCO1B1 TC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Intermediate function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Myopathy risk → use ≤20 mg simvastatin or switch to rosuvastatin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Anticoagulants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Warfarin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VKORC1 AG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Intermediate sensitivity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Standard-to-reduced initial dose; monitor INR closely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PPIs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Omeprazole, Pantoprazole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CYP2C19 *1/*2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Intermediate metabolizer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May need dose adjustment for H. pylori eradication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SSRIs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Escitalopram, Sertraline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CYP2C19 *1/*2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Intermediate metabolizer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Standard dosing acceptable; monitor for increased levels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Anti-Estrogen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Tamoxifen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CYP2D6 *1/*4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Intermediate metabolizer</w:t>
            </w:r>
          </w:p>
        </w:tc>
        <w:tc>
          <w:tcPr>
            <w:tcW w:type="dxa" w:w="199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Reduced endoxifen formation → consider alternative if indicated</w:t>
            </w:r>
          </w:p>
        </w:tc>
      </w:tr>
      <w:tr>
        <w:trPr>
          <w:trHeight w:val="480" w:hRule="atLeast"/>
        </w:trPr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Folate Supplementation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Folic acid vs. methylfolate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MTHFR compound het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Reduced conversion</w:t>
            </w:r>
          </w:p>
        </w:tc>
        <w:tc>
          <w:tcPr>
            <w:tcW w:type="dxa" w:w="199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Use L-methylfolate (5-MTHF) instead of folic acid</w:t>
            </w:r>
          </w:p>
        </w:tc>
      </w:tr>
    </w:tbl>
    <w:p>
      <w:pPr>
        <w:spacing w:before="480" w:after="160"/>
        <w:jc w:val="left"/>
      </w:pPr>
      <w:r>
        <w:rPr>
          <w:rFonts w:ascii="Calibri" w:hAnsi="Calibri"/>
          <w:b/>
          <w:color w:val="1B2333"/>
          <w:sz w:val="36"/>
        </w:rPr>
        <w:t>9. MULTI-CANCER EARLY DETECTION (GALLERI)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333333"/>
          <w:sz w:val="21"/>
        </w:rPr>
        <w:t>The Galleri multi-cancer early detection test (GRAIL) uses cell-free DNA methylation patterns to screen for 50+ cancer types with a single blood draw. This is a screening test, not a diagnostic assay.</w:t>
      </w:r>
    </w:p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Galleri Results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600" w:hRule="atLeast"/>
        </w:trPr>
        <w:tc>
          <w:tcPr>
            <w:tcW w:type="dxa" w:w="332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32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332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Interpretation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E8F5E9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Primary Result</w:t>
            </w:r>
          </w:p>
        </w:tc>
        <w:tc>
          <w:tcPr>
            <w:tcW w:type="dxa" w:w="3324"/>
            <w:shd w:fill="E8F5E9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No Cancer Signal Detected</w:t>
            </w:r>
          </w:p>
        </w:tc>
        <w:tc>
          <w:tcPr>
            <w:tcW w:type="dxa" w:w="3324"/>
            <w:shd w:fill="E8F5E9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Negative screen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Predicted Signal Origin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—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Only reported if signal detected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Follow-up Recommendation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Continue age-appropriate screening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Standard surveillance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Limitations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Does not replace standard screening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Mammography, colonoscopy, low-dose CT per guidelines</w:t>
            </w:r>
          </w:p>
        </w:tc>
      </w:tr>
    </w:tbl>
    <w:p>
      <w:pPr>
        <w:spacing w:before="480" w:after="160"/>
        <w:jc w:val="left"/>
      </w:pPr>
      <w:r>
        <w:rPr>
          <w:rFonts w:ascii="Calibri" w:hAnsi="Calibri"/>
          <w:b/>
          <w:color w:val="1B2333"/>
          <w:sz w:val="36"/>
        </w:rPr>
        <w:t>10. PERSONALIZED INTERVENTION PLAN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333333"/>
          <w:sz w:val="21"/>
        </w:rPr>
        <w:t>The agent generates an evidence-grounded intervention plan ranked by expected impact and tailored to the patient’s genotype-biomarker profile. Each recommendation cites the driving finding and genetic context.</w:t>
      </w:r>
    </w:p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Priority Interventions</w:t>
      </w:r>
    </w:p>
    <w:p>
      <w:pPr>
        <w:spacing w:after="80" w:before="40"/>
        <w:ind w:left="432"/>
      </w:pPr>
      <w:r>
        <w:rPr>
          <w:rFonts w:ascii="Calibri" w:hAnsi="Calibri"/>
          <w:b/>
          <w:color w:val="76B900"/>
          <w:sz w:val="20"/>
        </w:rPr>
        <w:t xml:space="preserve">1. </w:t>
      </w:r>
      <w:r>
        <w:rPr>
          <w:rFonts w:ascii="Calibri" w:hAnsi="Calibri"/>
          <w:b/>
          <w:color w:val="1B2333"/>
          <w:sz w:val="20"/>
        </w:rPr>
        <w:t>Insulin Sensitization (URGENT):</w:t>
      </w:r>
      <w:r>
        <w:rPr>
          <w:rFonts w:ascii="Calibri" w:hAnsi="Calibri"/>
          <w:b w:val="0"/>
          <w:color w:val="333333"/>
          <w:sz w:val="20"/>
        </w:rPr>
        <w:t xml:space="preserve"> Structured lifestyle modification targeting HOMA-IR reduction. TCF7L2 carriers benefit specifically from reduced glycemic load. Target: fasting glucose &lt;90, HOMA-IR &lt;2.5, HbA1c &lt;5.2%. Consider metformin if lifestyle alone insufficient after 6 months.</w:t>
      </w:r>
    </w:p>
    <w:p>
      <w:pPr>
        <w:spacing w:after="80" w:before="40"/>
        <w:ind w:left="432"/>
      </w:pPr>
      <w:r>
        <w:rPr>
          <w:rFonts w:ascii="Calibri" w:hAnsi="Calibri"/>
          <w:b/>
          <w:color w:val="76B900"/>
          <w:sz w:val="20"/>
        </w:rPr>
        <w:t xml:space="preserve">2. </w:t>
      </w:r>
      <w:r>
        <w:rPr>
          <w:rFonts w:ascii="Calibri" w:hAnsi="Calibri"/>
          <w:b/>
          <w:color w:val="1B2333"/>
          <w:sz w:val="20"/>
        </w:rPr>
        <w:t>Lipid Management (URGENT):</w:t>
      </w:r>
      <w:r>
        <w:rPr>
          <w:rFonts w:ascii="Calibri" w:hAnsi="Calibri"/>
          <w:b w:val="0"/>
          <w:color w:val="333333"/>
          <w:sz w:val="20"/>
        </w:rPr>
        <w:t xml:space="preserve"> Initiate statin therapy — rosuvastatin preferred (SLCO1B1 TC genotype contraindicates high-dose simvastatin). Target ApoB &lt;80 mg/dL. APOE e3/e4 context increases urgency. Lp(a) 74 nmol/L is genetically fixed; manage all modifiable risk factors aggressively. Add EPA/DHA supplementation (2–4 g/day) for triglycerides and FADS1/2 variant compensation.</w:t>
      </w:r>
    </w:p>
    <w:p>
      <w:pPr>
        <w:spacing w:after="80" w:before="40"/>
        <w:ind w:left="432"/>
      </w:pPr>
      <w:r>
        <w:rPr>
          <w:rFonts w:ascii="Calibri" w:hAnsi="Calibri"/>
          <w:b/>
          <w:color w:val="76B900"/>
          <w:sz w:val="20"/>
        </w:rPr>
        <w:t xml:space="preserve">3. </w:t>
      </w:r>
      <w:r>
        <w:rPr>
          <w:rFonts w:ascii="Calibri" w:hAnsi="Calibri"/>
          <w:b/>
          <w:color w:val="1B2333"/>
          <w:sz w:val="20"/>
        </w:rPr>
        <w:t>Methylfolate Supplementation:</w:t>
      </w:r>
      <w:r>
        <w:rPr>
          <w:rFonts w:ascii="Calibri" w:hAnsi="Calibri"/>
          <w:b w:val="0"/>
          <w:color w:val="333333"/>
          <w:sz w:val="20"/>
        </w:rPr>
        <w:t xml:space="preserve"> MTHFR compound heterozygote: switch from folic acid to L-methylfolate (1–2 mg/day). Target homocysteine &lt;10 µmol/L. Add B6 (P5P form) and B12 as cofactors. Recheck homocysteine in 8–12 weeks.</w:t>
      </w:r>
    </w:p>
    <w:p>
      <w:pPr>
        <w:spacing w:after="80" w:before="40"/>
        <w:ind w:left="432"/>
      </w:pPr>
      <w:r>
        <w:rPr>
          <w:rFonts w:ascii="Calibri" w:hAnsi="Calibri"/>
          <w:b/>
          <w:color w:val="76B900"/>
          <w:sz w:val="20"/>
        </w:rPr>
        <w:t xml:space="preserve">4. </w:t>
      </w:r>
      <w:r>
        <w:rPr>
          <w:rFonts w:ascii="Calibri" w:hAnsi="Calibri"/>
          <w:b/>
          <w:color w:val="1B2333"/>
          <w:sz w:val="20"/>
        </w:rPr>
        <w:t>Hepatic Steatosis Screening:</w:t>
      </w:r>
      <w:r>
        <w:rPr>
          <w:rFonts w:ascii="Calibri" w:hAnsi="Calibri"/>
          <w:b w:val="0"/>
          <w:color w:val="333333"/>
          <w:sz w:val="20"/>
        </w:rPr>
        <w:t xml:space="preserve"> Order liver ultrasound or MRI-PDFF to assess hepatic fat fraction. PNPLA3 CG genotype with insulin resistance creates high-risk context despite “normal” standard ALT. If steatosis confirmed, weight reduction of 7–10% body weight targets resolution.</w:t>
      </w:r>
    </w:p>
    <w:p>
      <w:pPr>
        <w:spacing w:after="80" w:before="40"/>
        <w:ind w:left="432"/>
      </w:pPr>
      <w:r>
        <w:rPr>
          <w:rFonts w:ascii="Calibri" w:hAnsi="Calibri"/>
          <w:b/>
          <w:color w:val="76B900"/>
          <w:sz w:val="20"/>
        </w:rPr>
        <w:t xml:space="preserve">5. </w:t>
      </w:r>
      <w:r>
        <w:rPr>
          <w:rFonts w:ascii="Calibri" w:hAnsi="Calibri"/>
          <w:b/>
          <w:color w:val="1B2333"/>
          <w:sz w:val="20"/>
        </w:rPr>
        <w:t>Thyroid Optimization:</w:t>
      </w:r>
      <w:r>
        <w:rPr>
          <w:rFonts w:ascii="Calibri" w:hAnsi="Calibri"/>
          <w:b w:val="0"/>
          <w:color w:val="333333"/>
          <w:sz w:val="20"/>
        </w:rPr>
        <w:t xml:space="preserve"> Order Free T3 measurement. DIO2 Thr92Ala CT carrier with TSH 3.6 — if symptomatic (fatigue, cold intolerance, weight gain), consider combination T4+T3 therapy trial. TPO/Tg antibodies negative → no autoimmune component.</w:t>
      </w:r>
    </w:p>
    <w:p>
      <w:pPr>
        <w:spacing w:after="80" w:before="40"/>
        <w:ind w:left="432"/>
      </w:pPr>
      <w:r>
        <w:rPr>
          <w:rFonts w:ascii="Calibri" w:hAnsi="Calibri"/>
          <w:b/>
          <w:color w:val="76B900"/>
          <w:sz w:val="20"/>
        </w:rPr>
        <w:t xml:space="preserve">6. </w:t>
      </w:r>
      <w:r>
        <w:rPr>
          <w:rFonts w:ascii="Calibri" w:hAnsi="Calibri"/>
          <w:b/>
          <w:color w:val="1B2333"/>
          <w:sz w:val="20"/>
        </w:rPr>
        <w:t>Iron Repletion:</w:t>
      </w:r>
      <w:r>
        <w:rPr>
          <w:rFonts w:ascii="Calibri" w:hAnsi="Calibri"/>
          <w:b w:val="0"/>
          <w:color w:val="333333"/>
          <w:sz w:val="20"/>
        </w:rPr>
        <w:t xml:space="preserve"> Investigate cause of low ferritin (22 ng/mL) in a male patient: dietary assessment, occult blood loss screen (fecal occult, celiac serologies). Supplement elemental iron with vitamin C for absorption. Target ferritin &gt;50 ng/mL.</w:t>
      </w:r>
    </w:p>
    <w:p>
      <w:pPr>
        <w:spacing w:after="80" w:before="40"/>
        <w:ind w:left="432"/>
      </w:pPr>
      <w:r>
        <w:rPr>
          <w:rFonts w:ascii="Calibri" w:hAnsi="Calibri"/>
          <w:b/>
          <w:color w:val="76B900"/>
          <w:sz w:val="20"/>
        </w:rPr>
        <w:t xml:space="preserve">7. </w:t>
      </w:r>
      <w:r>
        <w:rPr>
          <w:rFonts w:ascii="Calibri" w:hAnsi="Calibri"/>
          <w:b/>
          <w:color w:val="1B2333"/>
          <w:sz w:val="20"/>
        </w:rPr>
        <w:t>Vitamin D Repletion:</w:t>
      </w:r>
      <w:r>
        <w:rPr>
          <w:rFonts w:ascii="Calibri" w:hAnsi="Calibri"/>
          <w:b w:val="0"/>
          <w:color w:val="333333"/>
          <w:sz w:val="20"/>
        </w:rPr>
        <w:t xml:space="preserve"> Supplement vitamin D3 4,000–5,000 IU/day to achieve 25-OH level &gt;40 ng/mL. Recheck in 8–12 weeks. Vitamin D sufficiency supports insulin sensitivity and immune function.</w:t>
      </w:r>
    </w:p>
    <w:p>
      <w:pPr>
        <w:spacing w:after="80" w:before="40"/>
        <w:ind w:left="432"/>
      </w:pPr>
      <w:r>
        <w:rPr>
          <w:rFonts w:ascii="Calibri" w:hAnsi="Calibri"/>
          <w:b/>
          <w:color w:val="76B900"/>
          <w:sz w:val="20"/>
        </w:rPr>
        <w:t xml:space="preserve">8. </w:t>
      </w:r>
      <w:r>
        <w:rPr>
          <w:rFonts w:ascii="Calibri" w:hAnsi="Calibri"/>
          <w:b/>
          <w:color w:val="1B2333"/>
          <w:sz w:val="20"/>
        </w:rPr>
        <w:t>Omega-3 Optimization:</w:t>
      </w:r>
      <w:r>
        <w:rPr>
          <w:rFonts w:ascii="Calibri" w:hAnsi="Calibri"/>
          <w:b w:val="0"/>
          <w:color w:val="333333"/>
          <w:sz w:val="20"/>
        </w:rPr>
        <w:t xml:space="preserve"> FADS1/FADS2 CT variant reduces endogenous conversion of ALA to EPA/DHA. Direct EPA+DHA supplementation (2–4 g/day marine-source) recommended. Target Omega-3 Index &gt;8%. This also addresses the triglyceride elevation and pro-inflammatory omega-6:3 ratio.</w:t>
      </w:r>
    </w:p>
    <w:p>
      <w:pPr>
        <w:spacing w:before="480" w:after="160"/>
        <w:jc w:val="left"/>
      </w:pPr>
      <w:r>
        <w:rPr>
          <w:rFonts w:ascii="Calibri" w:hAnsi="Calibri"/>
          <w:b/>
          <w:color w:val="1B2333"/>
          <w:sz w:val="36"/>
        </w:rPr>
        <w:t>11. MONITORING SCHEDULE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333333"/>
          <w:sz w:val="21"/>
        </w:rPr>
        <w:t>Genotype-informed retest intervals replace standard annual screening where genetic context warrants accelerated surveillance.</w:t>
      </w:r>
    </w:p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Recommended Follow-up Timeline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600" w:hRule="atLeast"/>
        </w:trPr>
        <w:tc>
          <w:tcPr>
            <w:tcW w:type="dxa" w:w="332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Timeframe</w:t>
            </w:r>
          </w:p>
        </w:tc>
        <w:tc>
          <w:tcPr>
            <w:tcW w:type="dxa" w:w="332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Panel / Test</w:t>
            </w:r>
          </w:p>
        </w:tc>
        <w:tc>
          <w:tcPr>
            <w:tcW w:type="dxa" w:w="332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Rationale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8–12 weeks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Homocysteine, Vitamin D, Ferritin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Assess supplementation response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3 months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Fasting glucose, insulin, HOMA-IR, HbA1c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Track insulin sensitization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3 months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Lipid panel + ApoB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Assess statin response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3 months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Free T3 (new order)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DIO2 carrier thyroid assessment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6 months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Liver ultrasound / MRI-PDFF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PNPLA3 context hepatic screening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6 months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Full repeat panel (60+ analytes)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Longitudinal delta analysis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12 months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Full repeat panel + biological age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Annual trajectory comparison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12 months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Galleri repeat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Annual MCED surveillance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5 years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Lp(a) recheck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Genetically stable; infrequent monitoring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As needed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Pharmacogenomic card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Present to all prescribers</w:t>
            </w:r>
          </w:p>
        </w:tc>
      </w:tr>
    </w:tbl>
    <w:p>
      <w:pPr>
        <w:spacing w:before="480" w:after="160"/>
        <w:jc w:val="left"/>
      </w:pPr>
      <w:r>
        <w:rPr>
          <w:rFonts w:ascii="Calibri" w:hAnsi="Calibri"/>
          <w:b/>
          <w:color w:val="1B2333"/>
          <w:sz w:val="36"/>
        </w:rPr>
        <w:t>12. CANONICAL DATA PACKAGE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333333"/>
          <w:sz w:val="21"/>
        </w:rPr>
        <w:t>This is the canonical substrate for the agent: raw values + flags + provenance + derived features + longitudinal context. All downstream agents (Imaging, Genomics, Drug Discovery) reference this canonical record.</w:t>
      </w:r>
    </w:p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Ingestion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520" w:hRule="atLeast"/>
        </w:trPr>
        <w:tc>
          <w:tcPr>
            <w:tcW w:type="dxa" w:w="3168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Canonical Record ID</w:t>
            </w:r>
          </w:p>
        </w:tc>
        <w:tc>
          <w:tcPr>
            <w:tcW w:type="dxa" w:w="691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PB-20260131-0742-HG002</w:t>
            </w:r>
          </w:p>
        </w:tc>
      </w:tr>
      <w:tr>
        <w:trPr>
          <w:trHeight w:val="520" w:hRule="atLeast"/>
        </w:trPr>
        <w:tc>
          <w:tcPr>
            <w:tcW w:type="dxa" w:w="3168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Source</w:t>
            </w:r>
          </w:p>
        </w:tc>
        <w:tc>
          <w:tcPr>
            <w:tcW w:type="dxa" w:w="691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Comprehensive blood panel (base + add-ons) + Parabricks WGS</w:t>
            </w:r>
          </w:p>
        </w:tc>
      </w:tr>
      <w:tr>
        <w:trPr>
          <w:trHeight w:val="520" w:hRule="atLeast"/>
        </w:trPr>
        <w:tc>
          <w:tcPr>
            <w:tcW w:type="dxa" w:w="3168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Schema Version</w:t>
            </w:r>
          </w:p>
        </w:tc>
        <w:tc>
          <w:tcPr>
            <w:tcW w:type="dxa" w:w="691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PB-SCHEMA-1.0</w:t>
            </w:r>
          </w:p>
        </w:tc>
      </w:tr>
      <w:tr>
        <w:trPr>
          <w:trHeight w:val="520" w:hRule="atLeast"/>
        </w:trPr>
        <w:tc>
          <w:tcPr>
            <w:tcW w:type="dxa" w:w="3168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Units Policy</w:t>
            </w:r>
          </w:p>
        </w:tc>
        <w:tc>
          <w:tcPr>
            <w:tcW w:type="dxa" w:w="691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Single-vendor (no cross-vendor unit mixing)</w:t>
            </w:r>
          </w:p>
        </w:tc>
      </w:tr>
      <w:tr>
        <w:trPr>
          <w:trHeight w:val="520" w:hRule="atLeast"/>
        </w:trPr>
        <w:tc>
          <w:tcPr>
            <w:tcW w:type="dxa" w:w="3168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Derived Features</w:t>
            </w:r>
          </w:p>
        </w:tc>
        <w:tc>
          <w:tcPr>
            <w:tcW w:type="dxa" w:w="691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HOMA-IR, NLR, lipid ratios, PhenoAge, GrimAge, risk bundles, trajectory models</w:t>
            </w:r>
          </w:p>
        </w:tc>
      </w:tr>
      <w:tr>
        <w:trPr>
          <w:trHeight w:val="520" w:hRule="atLeast"/>
        </w:trPr>
        <w:tc>
          <w:tcPr>
            <w:tcW w:type="dxa" w:w="3168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Genomic Source</w:t>
            </w:r>
          </w:p>
        </w:tc>
        <w:tc>
          <w:tcPr>
            <w:tcW w:type="dxa" w:w="691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Parabricks 4.6 → GRCh38 VCF → 15 loci extracted</w:t>
            </w:r>
          </w:p>
        </w:tc>
      </w:tr>
      <w:tr>
        <w:trPr>
          <w:trHeight w:val="520" w:hRule="atLeast"/>
        </w:trPr>
        <w:tc>
          <w:tcPr>
            <w:tcW w:type="dxa" w:w="3168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Provenance</w:t>
            </w:r>
          </w:p>
        </w:tc>
        <w:tc>
          <w:tcPr>
            <w:tcW w:type="dxa" w:w="691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HCLS AI Factory | Precision Biomarker Agent v1.0</w:t>
            </w:r>
          </w:p>
        </w:tc>
      </w:tr>
      <w:tr>
        <w:trPr>
          <w:trHeight w:val="520" w:hRule="atLeast"/>
        </w:trPr>
        <w:tc>
          <w:tcPr>
            <w:tcW w:type="dxa" w:w="3168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Compute Platform</w:t>
            </w:r>
          </w:p>
        </w:tc>
        <w:tc>
          <w:tcPr>
            <w:tcW w:type="dxa" w:w="691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NVIDIA DGX Spark</w:t>
            </w:r>
          </w:p>
        </w:tc>
      </w:tr>
      <w:tr>
        <w:trPr>
          <w:trHeight w:val="520" w:hRule="atLeast"/>
        </w:trPr>
        <w:tc>
          <w:tcPr>
            <w:tcW w:type="dxa" w:w="3168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Analysis Timestamp</w:t>
            </w:r>
          </w:p>
        </w:tc>
        <w:tc>
          <w:tcPr>
            <w:tcW w:type="dxa" w:w="6912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2026-01-31T08:14:00Z</w:t>
            </w:r>
          </w:p>
        </w:tc>
      </w:tr>
      <w:tr>
        <w:trPr>
          <w:trHeight w:val="520" w:hRule="atLeast"/>
        </w:trPr>
        <w:tc>
          <w:tcPr>
            <w:tcW w:type="dxa" w:w="3168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b/>
                <w:color w:val="1AAFCC"/>
                <w:sz w:val="19"/>
              </w:rPr>
              <w:t>Report Version</w:t>
            </w:r>
          </w:p>
        </w:tc>
        <w:tc>
          <w:tcPr>
            <w:tcW w:type="dxa" w:w="6912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1.0</w:t>
            </w:r>
          </w:p>
        </w:tc>
      </w:tr>
    </w:tbl>
    <w:p>
      <w:pPr>
        <w:spacing w:before="480" w:after="160"/>
        <w:jc w:val="left"/>
      </w:pPr>
      <w:r>
        <w:rPr>
          <w:rFonts w:ascii="Calibri" w:hAnsi="Calibri"/>
          <w:b/>
          <w:color w:val="1B2333"/>
          <w:sz w:val="36"/>
        </w:rPr>
        <w:t>13. PIPELINE PERFORMANCE</w:t>
      </w:r>
    </w:p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End-to-End Processing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600" w:hRule="atLeast"/>
        </w:trPr>
        <w:tc>
          <w:tcPr>
            <w:tcW w:type="dxa" w:w="332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32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324"/>
            <w:shd w:fill="1AAFCC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Genomics (FASTQ → VCF)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120–240 min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NVIDIA Parabricks 4.6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Variant Extraction (15 loci)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 2 min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Pipeline VCF parser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Lab Panel Ingestion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 30 sec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Canonical data store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Biological Age Computation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 1 min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PhenoAge + GrimAge algorithms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7-Module Analysis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 3 min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Orchestrated pipeline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Trajectory Modeling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 2 min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Reasoning engine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RAG Evidence Grounding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 1 min</w:t>
            </w:r>
          </w:p>
        </w:tc>
        <w:tc>
          <w:tcPr>
            <w:tcW w:type="dxa" w:w="3324"/>
            <w:shd w:fill="FFFFFF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Med42-70B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Report Generation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 30 sec</w:t>
            </w:r>
          </w:p>
        </w:tc>
        <w:tc>
          <w:tcPr>
            <w:tcW w:type="dxa" w:w="3324"/>
            <w:shd w:fill="F8FAFB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Template engine</w:t>
            </w:r>
          </w:p>
        </w:tc>
      </w:tr>
      <w:tr>
        <w:trPr>
          <w:trHeight w:val="480" w:hRule="atLeast"/>
        </w:trPr>
        <w:tc>
          <w:tcPr>
            <w:tcW w:type="dxa" w:w="3324"/>
            <w:shd w:fill="E8F5E9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AAFCC"/>
                <w:sz w:val="18"/>
              </w:rPr>
              <w:t>Total End-to-End</w:t>
            </w:r>
          </w:p>
        </w:tc>
        <w:tc>
          <w:tcPr>
            <w:tcW w:type="dxa" w:w="3324"/>
            <w:shd w:fill="E8F5E9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&lt; 5 hours</w:t>
            </w:r>
          </w:p>
        </w:tc>
        <w:tc>
          <w:tcPr>
            <w:tcW w:type="dxa" w:w="3324"/>
            <w:shd w:fill="E8F5E9"/>
            <w:vAlign w:val="center"/>
            <w:tcBorders>
              <w:top w:val="single" w:sz="2" w:space="0" w:color="E0E0E0"/>
              <w:bottom w:val="single" w:sz="2" w:space="0" w:color="E0E0E0"/>
              <w:left w:val="single" w:sz="2" w:space="0" w:color="E0E0E0"/>
              <w:right w:val="single" w:sz="2" w:space="0" w:color="E0E0E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33333"/>
                <w:sz w:val="18"/>
              </w:rPr>
              <w:t>NVIDIA DGX Spark</w:t>
            </w:r>
          </w:p>
        </w:tc>
      </w:tr>
    </w:tbl>
    <w:p>
      <w:pPr>
        <w:spacing w:before="280" w:after="120"/>
        <w:jc w:val="left"/>
      </w:pPr>
      <w:r>
        <w:rPr>
          <w:rFonts w:ascii="Calibri" w:hAnsi="Calibri"/>
          <w:b/>
          <w:color w:val="1AAFCC"/>
          <w:sz w:val="26"/>
        </w:rPr>
        <w:t>Recommended Next Steps</w:t>
      </w:r>
    </w:p>
    <w:p>
      <w:pPr>
        <w:spacing w:after="80" w:before="40"/>
        <w:ind w:left="432"/>
      </w:pPr>
      <w:r>
        <w:rPr>
          <w:rFonts w:ascii="Calibri" w:hAnsi="Calibri"/>
          <w:b/>
          <w:color w:val="76B900"/>
          <w:sz w:val="20"/>
        </w:rPr>
        <w:t xml:space="preserve">1. </w:t>
      </w:r>
      <w:r>
        <w:rPr>
          <w:rFonts w:ascii="Calibri" w:hAnsi="Calibri"/>
          <w:b/>
          <w:color w:val="1B2333"/>
          <w:sz w:val="20"/>
        </w:rPr>
        <w:t>Implement priority interventions</w:t>
      </w:r>
      <w:r>
        <w:rPr>
          <w:rFonts w:ascii="Calibri" w:hAnsi="Calibri"/>
          <w:b w:val="0"/>
          <w:color w:val="333333"/>
          <w:sz w:val="20"/>
        </w:rPr>
        <w:t xml:space="preserve"> (insulin sensitization, lipid management, methylfolate)</w:t>
      </w:r>
    </w:p>
    <w:p>
      <w:pPr>
        <w:spacing w:after="80" w:before="40"/>
        <w:ind w:left="432"/>
      </w:pPr>
      <w:r>
        <w:rPr>
          <w:rFonts w:ascii="Calibri" w:hAnsi="Calibri"/>
          <w:b/>
          <w:color w:val="76B900"/>
          <w:sz w:val="20"/>
        </w:rPr>
        <w:t xml:space="preserve">2. </w:t>
      </w:r>
      <w:r>
        <w:rPr>
          <w:rFonts w:ascii="Calibri" w:hAnsi="Calibri"/>
          <w:b/>
          <w:color w:val="1B2333"/>
          <w:sz w:val="20"/>
        </w:rPr>
        <w:t>Order Free T3 and hepatic imaging</w:t>
      </w:r>
      <w:r>
        <w:rPr>
          <w:rFonts w:ascii="Calibri" w:hAnsi="Calibri"/>
          <w:b w:val="0"/>
          <w:color w:val="333333"/>
          <w:sz w:val="20"/>
        </w:rPr>
        <w:t xml:space="preserve"> to complete DIO2 and PNPLA3 assessment</w:t>
      </w:r>
    </w:p>
    <w:p>
      <w:pPr>
        <w:spacing w:after="80" w:before="40"/>
        <w:ind w:left="432"/>
      </w:pPr>
      <w:r>
        <w:rPr>
          <w:rFonts w:ascii="Calibri" w:hAnsi="Calibri"/>
          <w:b/>
          <w:color w:val="76B900"/>
          <w:sz w:val="20"/>
        </w:rPr>
        <w:t xml:space="preserve">3. </w:t>
      </w:r>
      <w:r>
        <w:rPr>
          <w:rFonts w:ascii="Calibri" w:hAnsi="Calibri"/>
          <w:b/>
          <w:color w:val="1B2333"/>
          <w:sz w:val="20"/>
        </w:rPr>
        <w:t>Present pharmacogenomic card</w:t>
      </w:r>
      <w:r>
        <w:rPr>
          <w:rFonts w:ascii="Calibri" w:hAnsi="Calibri"/>
          <w:b w:val="0"/>
          <w:color w:val="333333"/>
          <w:sz w:val="20"/>
        </w:rPr>
        <w:t xml:space="preserve"> to all prescribing clinicians</w:t>
      </w:r>
    </w:p>
    <w:p>
      <w:pPr>
        <w:spacing w:after="80" w:before="40"/>
        <w:ind w:left="432"/>
      </w:pPr>
      <w:r>
        <w:rPr>
          <w:rFonts w:ascii="Calibri" w:hAnsi="Calibri"/>
          <w:b/>
          <w:color w:val="76B900"/>
          <w:sz w:val="20"/>
        </w:rPr>
        <w:t xml:space="preserve">4. </w:t>
      </w:r>
      <w:r>
        <w:rPr>
          <w:rFonts w:ascii="Calibri" w:hAnsi="Calibri"/>
          <w:b/>
          <w:color w:val="1B2333"/>
          <w:sz w:val="20"/>
        </w:rPr>
        <w:t>Schedule 3-month follow-up panel</w:t>
      </w:r>
      <w:r>
        <w:rPr>
          <w:rFonts w:ascii="Calibri" w:hAnsi="Calibri"/>
          <w:b w:val="0"/>
          <w:color w:val="333333"/>
          <w:sz w:val="20"/>
        </w:rPr>
        <w:t xml:space="preserve"> for intervention response tracking</w:t>
      </w:r>
    </w:p>
    <w:p>
      <w:pPr>
        <w:spacing w:after="80" w:before="40"/>
        <w:ind w:left="432"/>
      </w:pPr>
      <w:r>
        <w:rPr>
          <w:rFonts w:ascii="Calibri" w:hAnsi="Calibri"/>
          <w:b/>
          <w:color w:val="76B900"/>
          <w:sz w:val="20"/>
        </w:rPr>
        <w:t xml:space="preserve">5. </w:t>
      </w:r>
      <w:r>
        <w:rPr>
          <w:rFonts w:ascii="Calibri" w:hAnsi="Calibri"/>
          <w:b/>
          <w:color w:val="1B2333"/>
          <w:sz w:val="20"/>
        </w:rPr>
        <w:t>Enroll in longitudinal monitoring</w:t>
      </w:r>
      <w:r>
        <w:rPr>
          <w:rFonts w:ascii="Calibri" w:hAnsi="Calibri"/>
          <w:b w:val="0"/>
          <w:color w:val="333333"/>
          <w:sz w:val="20"/>
        </w:rPr>
        <w:t xml:space="preserve"> for biological age trajectory tracking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trHeight w:val="120" w:hRule="atLeast"/>
        </w:trPr>
        <w:tc>
          <w:tcPr>
            <w:tcW w:type="dxa" w:w="9972"/>
            <w:shd w:fill="1B2333"/>
          </w:tcPr>
          <w:p>
            <w:pPr>
              <w:jc w:val="center"/>
            </w:pPr>
            <w:r>
              <w:rPr>
                <w:sz w:val="8"/>
              </w:rPr>
              <w:t xml:space="preserve"> </w:t>
            </w:r>
          </w:p>
        </w:tc>
      </w:tr>
    </w:tbl>
    <w:p>
      <w:pPr>
        <w:spacing w:before="160" w:after="40"/>
        <w:jc w:val="center"/>
      </w:pPr>
      <w:r>
        <w:rPr>
          <w:rFonts w:ascii="Calibri" w:hAnsi="Calibri"/>
          <w:b/>
          <w:color w:val="1B2333"/>
          <w:sz w:val="19"/>
        </w:rPr>
        <w:t>HCLS AI Factory</w:t>
      </w:r>
      <w:r>
        <w:rPr>
          <w:rFonts w:ascii="Calibri" w:hAnsi="Calibri"/>
          <w:b w:val="0"/>
          <w:color w:val="333333"/>
          <w:sz w:val="19"/>
        </w:rPr>
        <w:t xml:space="preserve"> | Precision Biomarker Intelligence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17"/>
        </w:rPr>
        <w:t>Generated: January 31, 2026 at 08:14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17"/>
        </w:rPr>
        <w:t>Platform: NVIDIA DGX Spark | Parabricks 4.6 | Med42-70B</w:t>
      </w:r>
    </w:p>
    <w:p>
      <w:pPr>
        <w:spacing w:after="80"/>
        <w:jc w:val="center"/>
      </w:pPr>
      <w:r>
        <w:rPr>
          <w:rFonts w:ascii="Calibri" w:hAnsi="Calibri"/>
          <w:b/>
          <w:color w:val="76B900"/>
          <w:sz w:val="18"/>
        </w:rPr>
        <w:t>Powered by NVIDIA Accelerated Computing</w:t>
      </w:r>
    </w:p>
    <w:p>
      <w:pPr>
        <w:spacing w:before="240" w:after="80"/>
        <w:jc w:val="center"/>
      </w:pPr>
      <w:r>
        <w:rPr>
          <w:rFonts w:ascii="Calibri" w:hAnsi="Calibri"/>
          <w:b w:val="0"/>
          <w:i/>
          <w:color w:val="666666"/>
          <w:sz w:val="15"/>
        </w:rPr>
        <w:t>DEMONSTRATION ONLY — Synthetic data generated for workflow development and testing. Not medical advice. Do not use for clinical diagnosis or treatment decisions.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