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pPr>
      <w:r>
        <w:rPr>
          <w:rFonts w:ascii="Calibri" w:hAnsi="Calibri"/>
          <w:color w:val="1AAFCC"/>
          <w:sz w:val="26"/>
        </w:rPr>
        <w:t>Executive briefing plan</w:t>
      </w:r>
    </w:p>
    <w:p>
      <w:pPr>
        <w:spacing w:after="80"/>
      </w:pPr>
      <w:r>
        <w:rPr>
          <w:rFonts w:ascii="Calibri" w:hAnsi="Calibri"/>
          <w:b/>
          <w:color w:val="1B2333"/>
          <w:sz w:val="60"/>
        </w:rPr>
        <w:t>5-Minute Executive Slot:</w:t>
        <w:br/>
        <w:t>Precision Biomarker Agent in the</w:t>
        <w:br/>
        <w:t>HCLS AI Factory</w:t>
      </w:r>
    </w:p>
    <w:p>
      <w:pPr>
        <w:spacing w:after="0"/>
      </w:pPr>
      <w:r>
        <w:rPr>
          <w:rFonts w:ascii="Calibri" w:hAnsi="Calibri"/>
          <w:color w:val="1B2333"/>
          <w:sz w:val="28"/>
        </w:rPr>
        <w:t>VAST AI OS + NVIDIA Accelerated Computing</w:t>
      </w:r>
    </w:p>
    <w:p>
      <w:pPr>
        <w:spacing w:after="0" w:before="0"/>
      </w:pPr>
    </w:p>
    <w:p>
      <w:pPr>
        <w:spacing w:after="0" w:before="0"/>
      </w:pPr>
    </w:p>
    <w:p>
      <w:pPr>
        <w:spacing w:after="0" w:before="0"/>
      </w:pPr>
    </w:p>
    <w:p>
      <w:pPr>
        <w:spacing w:after="0"/>
      </w:pPr>
      <w:r>
        <w:rPr>
          <w:rFonts w:ascii="Calibri" w:hAnsi="Calibri"/>
          <w:color w:val="666666"/>
          <w:sz w:val="18"/>
        </w:rPr>
        <w:t>01/26  |  Author: Adam Jones</w:t>
      </w:r>
    </w:p>
    <w:p>
      <w:r>
        <w:br w:type="page"/>
      </w:r>
    </w:p>
    <w:p>
      <w:pPr>
        <w:pStyle w:val="Heading1"/>
      </w:pPr>
      <w:r>
        <w:rPr>
          <w:rFonts w:ascii="Calibri" w:hAnsi="Calibri"/>
          <w:b/>
          <w:color w:val="1B2333"/>
          <w:sz w:val="56"/>
        </w:rPr>
        <w:t>Objective (5 minutes)</w:t>
      </w:r>
    </w:p>
    <w:p>
      <w:pPr/>
      <w:r>
        <w:rPr>
          <w:rFonts w:ascii="Calibri" w:hAnsi="Calibri"/>
          <w:color w:val="333333"/>
          <w:sz w:val="21"/>
        </w:rPr>
        <w:t>Deliver a crisp, executive-level narrative that makes the architecture inevitable: canonical biomarker profile + genomic variants → seven-module agentic analysis on DGX Spark → genotype-aware health intelligence → multimodal factory expansion. Leave them wanting the 15-minute deep dive.</w:t>
      </w:r>
    </w:p>
    <w:p>
      <w:pPr>
        <w:pStyle w:val="Heading1"/>
      </w:pPr>
      <w:r>
        <w:rPr>
          <w:rFonts w:ascii="Calibri" w:hAnsi="Calibri"/>
          <w:b/>
          <w:color w:val="1B2333"/>
          <w:sz w:val="56"/>
        </w:rPr>
        <w:t>Required assets</w:t>
      </w:r>
    </w:p>
    <w:p>
      <w:pPr>
        <w:pStyle w:val="ListBullet"/>
      </w:pPr>
      <w:r>
        <w:rPr>
          <w:rFonts w:ascii="Calibri" w:hAnsi="Calibri"/>
          <w:b/>
          <w:color w:val="333333"/>
          <w:sz w:val="21"/>
        </w:rPr>
        <w:t>One slide:</w:t>
      </w:r>
      <w:r>
        <w:rPr>
          <w:rFonts w:ascii="Calibri" w:hAnsi="Calibri"/>
          <w:color w:val="333333"/>
          <w:sz w:val="21"/>
        </w:rPr>
        <w:t xml:space="preserve"> 3-plane architecture (Data / Execution / Reasoning) with NVIDIA overlay—showing DataStore canonical biomarker profiles, DataEngine orchestrating seven analysis modules on DGX Spark, and DataBase + InsightEngine for longitudinal trajectory reasoning and RAG-enriched evidence grounding via Med42-70B.</w:t>
      </w:r>
    </w:p>
    <w:p>
      <w:pPr>
        <w:pStyle w:val="ListBullet"/>
      </w:pPr>
      <w:r>
        <w:rPr>
          <w:rFonts w:ascii="Calibri" w:hAnsi="Calibri"/>
          <w:b/>
          <w:color w:val="333333"/>
          <w:sz w:val="21"/>
        </w:rPr>
        <w:t>One slide:</w:t>
      </w:r>
      <w:r>
        <w:rPr>
          <w:rFonts w:ascii="Calibri" w:hAnsi="Calibri"/>
          <w:color w:val="333333"/>
          <w:sz w:val="21"/>
        </w:rPr>
        <w:t xml:space="preserve"> 3 example intelligence outputs: (1) prediabetic trajectory detection with TCF7L2 genetic context and DPP intervention evidence, (2) genotype-adjusted reference range reclassification (PNPLA3-masked liver risk, DIO2-masked thyroid dysfunction), (3) pharmacogenomic drug interaction profile (CYP2D6, CYP2C19, SLCO1B1, VKORC1) with CPIC-aligned guidance.</w:t>
      </w:r>
    </w:p>
    <w:p>
      <w:pPr>
        <w:pStyle w:val="ListBullet"/>
      </w:pPr>
      <w:r>
        <w:rPr>
          <w:rFonts w:ascii="Calibri" w:hAnsi="Calibri"/>
          <w:b/>
          <w:color w:val="333333"/>
          <w:sz w:val="21"/>
        </w:rPr>
        <w:t>Optional:</w:t>
      </w:r>
      <w:r>
        <w:rPr>
          <w:rFonts w:ascii="Calibri" w:hAnsi="Calibri"/>
          <w:color w:val="333333"/>
          <w:sz w:val="21"/>
        </w:rPr>
        <w:t xml:space="preserve"> one slide tying biomarker outputs into imaging (Imaging AI Agent), genomics (Parabricks), and therapy/drug discovery (BioNeMo) across the HCLS AI Factory—showing how biomarker-defined cohorts feed downstream pipelines.</w:t>
      </w:r>
    </w:p>
    <w:p>
      <w:pPr>
        <w:pStyle w:val="Heading1"/>
      </w:pPr>
      <w:r>
        <w:rPr>
          <w:rFonts w:ascii="Calibri" w:hAnsi="Calibri"/>
          <w:b/>
          <w:color w:val="1B2333"/>
          <w:sz w:val="56"/>
        </w:rPr>
        <w:t>Minute-by-minute talk track</w:t>
      </w:r>
    </w:p>
    <w:p>
      <w:pPr>
        <w:pStyle w:val="ListBullet"/>
      </w:pPr>
      <w:r>
        <w:rPr>
          <w:rFonts w:ascii="Calibri" w:hAnsi="Calibri"/>
          <w:b/>
          <w:color w:val="333333"/>
          <w:sz w:val="21"/>
        </w:rPr>
        <w:t>0:00–0:30 — Hook:</w:t>
      </w:r>
      <w:r>
        <w:rPr>
          <w:rFonts w:ascii="Calibri" w:hAnsi="Calibri"/>
          <w:color w:val="333333"/>
          <w:sz w:val="21"/>
        </w:rPr>
        <w:t xml:space="preserve"> “You saw the genomics factory with VCF as the canonical leverage point; you saw imaging with canonical imaging state. Blood biomarkers are the third canonical substrate—160+ analytes correlated with genomic variants to produce genotype-aware health intelligence that population-averaged reference ranges miss.”</w:t>
      </w:r>
    </w:p>
    <w:p>
      <w:pPr>
        <w:pStyle w:val="ListBullet"/>
      </w:pPr>
      <w:r>
        <w:rPr>
          <w:rFonts w:ascii="Calibri" w:hAnsi="Calibri"/>
          <w:b/>
          <w:color w:val="333333"/>
          <w:sz w:val="21"/>
        </w:rPr>
        <w:t>0:30–1:30 — Canonical biomarker profile:</w:t>
      </w:r>
      <w:r>
        <w:rPr>
          <w:rFonts w:ascii="Calibri" w:hAnsi="Calibri"/>
          <w:color w:val="333333"/>
          <w:sz w:val="21"/>
        </w:rPr>
        <w:t xml:space="preserve"> comprehensive blood panel + Parabricks WGS-derived genotypes (15 clinically actionable loci: MTHFR, APOE, TCF7L2, PCSK9, PNPLA3, HFE, FADS1/FADS2, DIO2, CYP2D6, CYP2C19, SLCO1B1, VKORC1) stored once in VAST AI OS DataStore as a canonical profile—raw values, flags, derived indices, biological age scores, and full provenance—continuously computable.</w:t>
      </w:r>
    </w:p>
    <w:p>
      <w:pPr>
        <w:pStyle w:val="ListBullet"/>
      </w:pPr>
      <w:r>
        <w:rPr>
          <w:rFonts w:ascii="Calibri" w:hAnsi="Calibri"/>
          <w:b/>
          <w:color w:val="333333"/>
          <w:sz w:val="21"/>
        </w:rPr>
        <w:t>1:30–3:00 — 3-plane model:</w:t>
      </w:r>
      <w:r>
        <w:rPr>
          <w:rFonts w:ascii="Calibri" w:hAnsi="Calibri"/>
          <w:color w:val="333333"/>
          <w:sz w:val="21"/>
        </w:rPr>
        <w:t xml:space="preserve"> DataSpace/DataStore (data plane), DataEngine orchestrating seven analysis modules on DGX Spark (execution plane), DataBase (SQL+vector) + InsightEngine with Med42-70B RAG (reasoning plane). Show how longitudinal trajectory modeling detects pre-symptomatic disease 5–7 years before clinical diagnosis.</w:t>
      </w:r>
    </w:p>
    <w:p>
      <w:pPr>
        <w:pStyle w:val="ListBullet"/>
      </w:pPr>
      <w:r>
        <w:rPr>
          <w:rFonts w:ascii="Calibri" w:hAnsi="Calibri"/>
          <w:b/>
          <w:color w:val="333333"/>
          <w:sz w:val="21"/>
        </w:rPr>
        <w:t>3:00–4:30 — Three intelligence examples:</w:t>
      </w:r>
      <w:r>
        <w:rPr>
          <w:rFonts w:ascii="Calibri" w:hAnsi="Calibri"/>
          <w:color w:val="333333"/>
          <w:sz w:val="21"/>
        </w:rPr>
        <w:t xml:space="preserve"> (1) Prediabetic trajectory: HOMA-IR 4.5 + TCF7L2 CT → 5–7 year horizon, 58% reversible (DPP). (2) Genotype-masked liver risk: ALT 34 appears “normal” but PNPLA3 CG threshold is ≤25 → reclassified as ELEVATED. (3) Pharmacogenomic card: CYP2D6 *1/*4 intermediate metabolizer → codeine/tramadol dose adjustment; SLCO1B1 TC → statin selection guidance.</w:t>
      </w:r>
    </w:p>
    <w:p>
      <w:pPr>
        <w:pStyle w:val="ListBullet"/>
      </w:pPr>
      <w:r>
        <w:rPr>
          <w:rFonts w:ascii="Calibri" w:hAnsi="Calibri"/>
          <w:b/>
          <w:color w:val="333333"/>
          <w:sz w:val="21"/>
        </w:rPr>
        <w:t>4:30–5:00 — Close:</w:t>
      </w:r>
      <w:r>
        <w:rPr>
          <w:rFonts w:ascii="Calibri" w:hAnsi="Calibri"/>
          <w:color w:val="333333"/>
          <w:sz w:val="21"/>
        </w:rPr>
        <w:t xml:space="preserve"> “This makes blood biomarkers a first-class evidence stream in the HCLS AI Factory—biomarker phenotypes correlate with imaging findings from the Imaging AI Agent, genomic context from Parabricks, and drug candidate scoring from BioNeMo, all on one substrate.” Ask for 15-minute follow-up.</w:t>
      </w:r>
    </w:p>
    <w:p>
      <w:pPr>
        <w:pStyle w:val="Heading1"/>
      </w:pPr>
      <w:r>
        <w:rPr>
          <w:rFonts w:ascii="Calibri" w:hAnsi="Calibri"/>
          <w:b/>
          <w:color w:val="1B2333"/>
          <w:sz w:val="56"/>
        </w:rPr>
        <w:t>Anticipated questions (short answers)</w:t>
      </w:r>
    </w:p>
    <w:p>
      <w:pPr>
        <w:pStyle w:val="ListBullet"/>
      </w:pPr>
      <w:r>
        <w:rPr>
          <w:rFonts w:ascii="Calibri" w:hAnsi="Calibri"/>
          <w:b/>
          <w:color w:val="333333"/>
          <w:sz w:val="21"/>
        </w:rPr>
        <w:t>Data sources and standards:</w:t>
      </w:r>
      <w:r>
        <w:rPr>
          <w:rFonts w:ascii="Calibri" w:hAnsi="Calibri"/>
          <w:color w:val="333333"/>
          <w:sz w:val="21"/>
        </w:rPr>
        <w:t xml:space="preserve"> the agent ingests comprehensive blood panels (any vendor schema) alongside Parabricks-processed WGS VCF files. Outputs include structured canonical records, FHIR-compatible diagnostic reports, and pharmacogenomic cards aligned to CPIC consortium guidelines.</w:t>
      </w:r>
    </w:p>
    <w:p>
      <w:pPr>
        <w:pStyle w:val="ListBullet"/>
      </w:pPr>
      <w:r>
        <w:rPr>
          <w:rFonts w:ascii="Calibri" w:hAnsi="Calibri"/>
          <w:b/>
          <w:color w:val="333333"/>
          <w:sz w:val="21"/>
        </w:rPr>
        <w:t>Clinical safety:</w:t>
      </w:r>
      <w:r>
        <w:rPr>
          <w:rFonts w:ascii="Calibri" w:hAnsi="Calibri"/>
          <w:color w:val="333333"/>
          <w:sz w:val="21"/>
        </w:rPr>
        <w:t xml:space="preserve"> decision support, not autonomous diagnosis. All outputs are structured, evidence-grounded with literature citations, and clinician-reviewable. Genotype-adjusted thresholds are applied only where published evidence supports meaningful reclassification.</w:t>
      </w:r>
    </w:p>
    <w:p>
      <w:pPr>
        <w:pStyle w:val="ListBullet"/>
      </w:pPr>
      <w:r>
        <w:rPr>
          <w:rFonts w:ascii="Calibri" w:hAnsi="Calibri"/>
          <w:b/>
          <w:color w:val="333333"/>
          <w:sz w:val="21"/>
        </w:rPr>
        <w:t>Scale:</w:t>
      </w:r>
      <w:r>
        <w:rPr>
          <w:rFonts w:ascii="Calibri" w:hAnsi="Calibri"/>
          <w:color w:val="333333"/>
          <w:sz w:val="21"/>
        </w:rPr>
        <w:t xml:space="preserve"> designed for DGX Spark at department level scaling to DGX SuperPOD for population-scale cohort analysis. Event-driven orchestration enables thousands of patient profiles in parallel. DataSpace global namespace supports multi-site longitudinal tracking.</w:t>
      </w:r>
    </w:p>
    <w:p>
      <w:pPr>
        <w:pStyle w:val="ListBullet"/>
      </w:pPr>
      <w:r>
        <w:rPr>
          <w:rFonts w:ascii="Calibri" w:hAnsi="Calibri"/>
          <w:b/>
          <w:color w:val="333333"/>
          <w:sz w:val="21"/>
        </w:rPr>
        <w:t>Competitive differentiation:</w:t>
      </w:r>
      <w:r>
        <w:rPr>
          <w:rFonts w:ascii="Calibri" w:hAnsi="Calibri"/>
          <w:color w:val="333333"/>
          <w:sz w:val="21"/>
        </w:rPr>
        <w:t xml:space="preserve"> DDN and WEKA can store and serve data, but the agent substrate must be assembled from external systems (workflow orchestrator + relational DB + vector DB + reasoning engine), increasing integration complexity and operational burden. VAST AI OS provides the native substrate in a single platform.</w:t>
      </w:r>
    </w:p>
    <w:p>
      <w:pPr>
        <w:pStyle w:val="Heading1"/>
      </w:pPr>
      <w:r>
        <w:rPr>
          <w:rFonts w:ascii="Calibri" w:hAnsi="Calibri"/>
          <w:b/>
          <w:color w:val="1B2333"/>
          <w:sz w:val="56"/>
        </w:rPr>
        <w:t>Success criteria</w:t>
      </w:r>
    </w:p>
    <w:p>
      <w:pPr>
        <w:pStyle w:val="ListBullet"/>
      </w:pPr>
      <w:r>
        <w:rPr>
          <w:rFonts w:ascii="Calibri" w:hAnsi="Calibri"/>
          <w:b/>
          <w:color w:val="333333"/>
          <w:sz w:val="21"/>
        </w:rPr>
      </w:r>
      <w:r>
        <w:rPr>
          <w:rFonts w:ascii="Calibri" w:hAnsi="Calibri"/>
          <w:color w:val="333333"/>
          <w:sz w:val="21"/>
        </w:rPr>
        <w:t xml:space="preserve"> They repeat back the pattern: “Canonical biomarker profile + genomic variants running seven analysis modules on VAST AI OS.”</w:t>
      </w:r>
    </w:p>
    <w:p>
      <w:pPr>
        <w:pStyle w:val="ListBullet"/>
      </w:pPr>
      <w:r>
        <w:rPr>
          <w:rFonts w:ascii="Calibri" w:hAnsi="Calibri"/>
          <w:b/>
          <w:color w:val="333333"/>
          <w:sz w:val="21"/>
        </w:rPr>
      </w:r>
      <w:r>
        <w:rPr>
          <w:rFonts w:ascii="Calibri" w:hAnsi="Calibri"/>
          <w:color w:val="333333"/>
          <w:sz w:val="21"/>
        </w:rPr>
        <w:t xml:space="preserve"> They ask for the deeper technical walk-through or reference architecture packaging.</w:t>
      </w:r>
    </w:p>
    <w:p>
      <w:pPr>
        <w:pStyle w:val="ListBullet"/>
      </w:pPr>
      <w:r>
        <w:rPr>
          <w:rFonts w:ascii="Calibri" w:hAnsi="Calibri"/>
          <w:b/>
          <w:color w:val="333333"/>
          <w:sz w:val="21"/>
        </w:rPr>
      </w:r>
      <w:r>
        <w:rPr>
          <w:rFonts w:ascii="Calibri" w:hAnsi="Calibri"/>
          <w:color w:val="333333"/>
          <w:sz w:val="21"/>
        </w:rPr>
        <w:t xml:space="preserve"> They identify pilot cohorts, clinical partners, or enterprise wellness programs to engage next.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 A S T  |  Precision Biomarker Agent — 5-Minute Executive Plan  |  01/26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