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pPr>
      <w:r>
        <w:rPr>
          <w:rFonts w:ascii="Calibri" w:hAnsi="Calibri"/>
          <w:color w:val="1AAFCC"/>
          <w:sz w:val="26"/>
        </w:rPr>
        <w:t>Executive talking points</w:t>
      </w:r>
    </w:p>
    <w:p>
      <w:pPr>
        <w:spacing w:after="80"/>
      </w:pPr>
      <w:r>
        <w:rPr>
          <w:rFonts w:ascii="Calibri" w:hAnsi="Calibri"/>
          <w:b/>
          <w:color w:val="1B2333"/>
          <w:sz w:val="60"/>
        </w:rPr>
        <w:t>How VAST AI OS Transforms</w:t>
        <w:br/>
        <w:t>Precision Biomarker Intelligence</w:t>
      </w:r>
    </w:p>
    <w:p>
      <w:pPr>
        <w:spacing w:after="0"/>
      </w:pPr>
      <w:r>
        <w:rPr>
          <w:rFonts w:ascii="Calibri" w:hAnsi="Calibri"/>
          <w:color w:val="1B2333"/>
          <w:sz w:val="28"/>
        </w:rPr>
        <w:t>Eight technically grounded points for executive conversations</w:t>
      </w:r>
    </w:p>
    <w:p>
      <w:pPr>
        <w:spacing w:after="0" w:before="0"/>
      </w:pPr>
    </w:p>
    <w:p>
      <w:pPr>
        <w:spacing w:after="0" w:before="0"/>
      </w:pPr>
    </w:p>
    <w:p>
      <w:pPr>
        <w:spacing w:after="0" w:before="0"/>
      </w:pPr>
    </w:p>
    <w:p>
      <w:pPr>
        <w:spacing w:after="0"/>
      </w:pPr>
      <w:r>
        <w:rPr>
          <w:rFonts w:ascii="Calibri" w:hAnsi="Calibri"/>
          <w:color w:val="666666"/>
          <w:sz w:val="18"/>
        </w:rPr>
        <w:t>01/26  |  Author: Adam Jones</w:t>
      </w:r>
    </w:p>
    <w:p>
      <w:r>
        <w:br w:type="page"/>
      </w:r>
    </w:p>
    <w:p>
      <w:pPr>
        <w:pStyle w:val="Heading1"/>
      </w:pPr>
      <w:r>
        <w:rPr>
          <w:rFonts w:ascii="Calibri" w:hAnsi="Calibri"/>
          <w:b/>
          <w:color w:val="1B2333"/>
          <w:sz w:val="56"/>
        </w:rPr>
        <w:t>How VAST AI OS Transforms Precision Biomarker Intelligence</w:t>
      </w:r>
    </w:p>
    <w:p>
      <w:pPr/>
      <w:r>
        <w:rPr>
          <w:rFonts w:ascii="Calibri" w:hAnsi="Calibri"/>
          <w:color w:val="333333"/>
          <w:sz w:val="21"/>
        </w:rPr>
        <w:t>Eight technically grounded points aligned to the Precision Biomarker Agent and the broader HCLS AI Factory:</w:t>
      </w:r>
    </w:p>
    <w:p>
      <w:pPr>
        <w:pStyle w:val="ListBullet"/>
      </w:pPr>
      <w:r>
        <w:rPr>
          <w:rFonts w:ascii="Calibri" w:hAnsi="Calibri"/>
          <w:b/>
          <w:color w:val="333333"/>
          <w:sz w:val="21"/>
        </w:rPr>
        <w:t>Blood biomarkers become canonical, continuously computable data:</w:t>
      </w:r>
      <w:r>
        <w:rPr>
          <w:rFonts w:ascii="Calibri" w:hAnsi="Calibri"/>
          <w:color w:val="333333"/>
          <w:sz w:val="21"/>
        </w:rPr>
        <w:t xml:space="preserve"> comprehensive blood panels (160+ analytes) are ingested alongside whole-genome sequencing data processed by NVIDIA Parabricks 4.6 and preserved as a canonical biomarker profile—raw values, reference intervals, flags, derived indices (HOMA-IR, NLR, lipid ratios), biological age scores (PhenoAge, GrimAge), and full provenance—enabling consistent reuse and controlled re-analysis without rebuilding pipelines.</w:t>
      </w:r>
    </w:p>
    <w:p>
      <w:pPr>
        <w:pStyle w:val="ListBullet"/>
      </w:pPr>
      <w:r>
        <w:rPr>
          <w:rFonts w:ascii="Calibri" w:hAnsi="Calibri"/>
          <w:b/>
          <w:color w:val="333333"/>
          <w:sz w:val="21"/>
        </w:rPr>
        <w:t>Genomic variants become first-class queryable objects:</w:t>
      </w:r>
      <w:r>
        <w:rPr>
          <w:rFonts w:ascii="Calibri" w:hAnsi="Calibri"/>
          <w:color w:val="333333"/>
          <w:sz w:val="21"/>
        </w:rPr>
        <w:t xml:space="preserve"> clinically actionable genotypes (MTHFR C677T/A1298C, APOE alleles, TCF7L2, PCSK9, PNPLA3 I148M, TM6SF2, HSD17B13, HFE C282Y/H63D, FADS1/FADS2, DIO2 Thr92Ala, CYP2D6, CYP2C19, SLCO1B1, VKORC1) are stored in VAST DataStore with population frequencies and effect sizes, enabling genotype-adjusted reference range computation and pharmacogenomic guidance across every downstream module.</w:t>
      </w:r>
    </w:p>
    <w:p>
      <w:pPr>
        <w:pStyle w:val="ListBullet"/>
      </w:pPr>
      <w:r>
        <w:rPr>
          <w:rFonts w:ascii="Calibri" w:hAnsi="Calibri"/>
          <w:b/>
          <w:color w:val="333333"/>
          <w:sz w:val="21"/>
        </w:rPr>
        <w:t>Makes AI execution native to the data plane:</w:t>
      </w:r>
      <w:r>
        <w:rPr>
          <w:rFonts w:ascii="Calibri" w:hAnsi="Calibri"/>
          <w:color w:val="333333"/>
          <w:sz w:val="21"/>
        </w:rPr>
        <w:t xml:space="preserve"> DataEngine orchestrates seven analysis modules—biological age estimation, pre-symptomatic disease trajectory modeling, genotype-adjusted reference ranges, inflammatory phenotyping, pharmacogenomic mapping, personalized intervention planning, and longitudinal monitoring—as event-driven pipelines on NVIDIA DGX Spark. Outputs are persisted as canonical artifacts, replacing brittle batch chains and glue code.</w:t>
      </w:r>
    </w:p>
    <w:p>
      <w:pPr>
        <w:pStyle w:val="ListBullet"/>
      </w:pPr>
      <w:r>
        <w:rPr>
          <w:rFonts w:ascii="Calibri" w:hAnsi="Calibri"/>
          <w:b/>
          <w:color w:val="333333"/>
          <w:sz w:val="21"/>
        </w:rPr>
        <w:t>Replaces population-averaged interpretation with genotype-aware intelligence:</w:t>
      </w:r>
      <w:r>
        <w:rPr>
          <w:rFonts w:ascii="Calibri" w:hAnsi="Calibri"/>
          <w:color w:val="333333"/>
          <w:sz w:val="21"/>
        </w:rPr>
        <w:t xml:space="preserve"> standard reference ranges are population averages that obscure individual genetic reality. A PNPLA3 I148M carrier may have “normal” ALT while accumulating liver fat. A TCF7L2 TT carrier may have “normal” fasting glucose while beta cells are failing. A DIO2 Thr92Ala carrier may have “normal” TSH while experiencing subclinical hypothyroid symptoms. The agent applies genotype-specific thresholds where evidence supports meaningful reclassification.</w:t>
      </w:r>
    </w:p>
    <w:p>
      <w:pPr>
        <w:pStyle w:val="ListBullet"/>
      </w:pPr>
      <w:r>
        <w:rPr>
          <w:rFonts w:ascii="Calibri" w:hAnsi="Calibri"/>
          <w:b/>
          <w:color w:val="333333"/>
          <w:sz w:val="21"/>
        </w:rPr>
        <w:t>Unifies structured + semantic querying for biomarker intelligence:</w:t>
      </w:r>
      <w:r>
        <w:rPr>
          <w:rFonts w:ascii="Calibri" w:hAnsi="Calibri"/>
          <w:color w:val="333333"/>
          <w:sz w:val="21"/>
        </w:rPr>
        <w:t xml:space="preserve"> VAST DataBase supports SQL-style access for structured lab results and longitudinal trends alongside vector similarity search for patient phenotype matching and cohort retrieval within a single query plane, reducing reliance on separate external databases.</w:t>
      </w:r>
    </w:p>
    <w:p>
      <w:pPr>
        <w:pStyle w:val="ListBullet"/>
      </w:pPr>
      <w:r>
        <w:rPr>
          <w:rFonts w:ascii="Calibri" w:hAnsi="Calibri"/>
          <w:b/>
          <w:color w:val="333333"/>
          <w:sz w:val="21"/>
        </w:rPr>
        <w:t>Enables longitudinal trajectory modeling with a global namespace:</w:t>
      </w:r>
      <w:r>
        <w:rPr>
          <w:rFonts w:ascii="Calibri" w:hAnsi="Calibri"/>
          <w:color w:val="333333"/>
          <w:sz w:val="21"/>
        </w:rPr>
        <w:t xml:space="preserve"> DataSpace provides a global namespace across edge/core/cloud so prior panels, derived indices, biological age trajectories, and disease risk scores remain addressable without redesigning data placement. Pre-symptomatic disease detection identifies progression toward type 2 diabetes (5–7 years before diagnosis), cardiovascular disease, NAFLD, and autoimmune conditions years before clinical onset.</w:t>
      </w:r>
    </w:p>
    <w:p>
      <w:pPr>
        <w:pStyle w:val="ListBullet"/>
      </w:pPr>
      <w:r>
        <w:rPr>
          <w:rFonts w:ascii="Calibri" w:hAnsi="Calibri"/>
          <w:b/>
          <w:color w:val="333333"/>
          <w:sz w:val="21"/>
        </w:rPr>
        <w:t>Strengthens governance, reproducibility, and auditability:</w:t>
      </w:r>
      <w:r>
        <w:rPr>
          <w:rFonts w:ascii="Calibri" w:hAnsi="Calibri"/>
          <w:color w:val="333333"/>
          <w:sz w:val="21"/>
        </w:rPr>
        <w:t xml:space="preserve"> canonical outputs are stored with model/version metadata, analysis parameters, timestamps, and artifact lineage to support reproducible runs, controlled reprocessing as algorithms evolve, and full auditability. Pharmacogenomic guidance maps to CPIC consortium standards. All outputs are structured, evidence-grounded, and clinician-reviewable.</w:t>
      </w:r>
    </w:p>
    <w:p>
      <w:pPr>
        <w:pStyle w:val="ListBullet"/>
      </w:pPr>
      <w:r>
        <w:rPr>
          <w:rFonts w:ascii="Calibri" w:hAnsi="Calibri"/>
          <w:b/>
          <w:color w:val="333333"/>
          <w:sz w:val="21"/>
        </w:rPr>
        <w:t>Creates a unified substrate for total patient care across the HCLS AI Factory:</w:t>
      </w:r>
      <w:r>
        <w:rPr>
          <w:rFonts w:ascii="Calibri" w:hAnsi="Calibri"/>
          <w:color w:val="333333"/>
          <w:sz w:val="21"/>
        </w:rPr>
        <w:t xml:space="preserve"> biomarker-derived signals link directly with imaging (the Imaging AI Agent surfaces phenotypic findings; the Biomarker Agent provides metabolic and genetic context), genomics (Parabricks), and downstream therapeutic workflows (BioNeMo)—biomarker-defined patient cohorts (e.g., PNPLA3 carriers with elevated ALT and insulin resistance) can feed drug discovery pipelines, all on one platform without building separate data islands per modality.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 A S T  |  Precision Biomarker Agent — Executive Talking Points  |  01/26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