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Precision Biomarker Intelligence Agent -- Demo Guide</w:t>
      </w:r>
    </w:p>
    <w:p>
      <w:r/>
      <w:r>
        <w:rPr>
          <w:b/>
        </w:rPr>
        <w:t>Author:</w:t>
      </w:r>
      <w:r>
        <w:t xml:space="preserve"> Adam Jones</w:t>
      </w:r>
    </w:p>
    <w:p>
      <w:r/>
      <w:r>
        <w:rPr>
          <w:b/>
        </w:rPr>
        <w:t>Date:</w:t>
      </w:r>
      <w:r>
        <w:t xml:space="preserve"> March 2026</w:t>
      </w:r>
    </w:p>
    <w:p>
      <w:r/>
      <w:r>
        <w:rPr>
          <w:b/>
        </w:rPr>
        <w:t>Version:</w:t>
      </w:r>
      <w:r>
        <w:t xml:space="preserve"> 1.0.0</w:t>
      </w:r>
    </w:p>
    <w:p>
      <w:r>
        <w:t>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[Overview](#1-overview)</w:t>
      </w:r>
    </w:p>
    <w:p>
      <w:pPr>
        <w:pStyle w:val="ListNumber"/>
      </w:pPr>
      <w:r>
        <w:t>[Prerequisites](#2-prerequisites)</w:t>
      </w:r>
    </w:p>
    <w:p>
      <w:pPr>
        <w:pStyle w:val="ListNumber"/>
      </w:pPr>
      <w:r>
        <w:t>[Demo Flow Overview](#3-demo-flow-overview)</w:t>
      </w:r>
    </w:p>
    <w:p>
      <w:pPr>
        <w:pStyle w:val="ListNumber"/>
      </w:pPr>
      <w:r>
        <w:t>[Tab-by-Tab Walkthrough](#4-tab-by-tab-walkthrough)</w:t>
      </w:r>
    </w:p>
    <w:p>
      <w:pPr>
        <w:pStyle w:val="ListNumber"/>
      </w:pPr>
      <w:r>
        <w:t>[API Demo](#5-api-demo)</w:t>
      </w:r>
    </w:p>
    <w:p>
      <w:pPr>
        <w:pStyle w:val="ListNumber"/>
      </w:pPr>
      <w:r>
        <w:t>[Talking Points for Each Feature](#6-talking-points-for-each-feature)</w:t>
      </w:r>
    </w:p>
    <w:p>
      <w:pPr>
        <w:pStyle w:val="ListNumber"/>
      </w:pPr>
      <w:r>
        <w:t>[Troubleshooting Common Demo Issues](#7-troubleshooting-common-demo-issues)</w:t>
      </w:r>
    </w:p>
    <w:p>
      <w:r>
        <w:t>____________________________________________________________</w:t>
      </w:r>
    </w:p>
    <w:p>
      <w:pPr>
        <w:pStyle w:val="Heading2"/>
      </w:pPr>
      <w:r>
        <w:t>1. Overview</w:t>
      </w:r>
    </w:p>
    <w:p>
      <w:r>
        <w:t>The Precision Biomarker Intelligence Agent transforms raw clinical biomarker data and</w:t>
      </w:r>
    </w:p>
    <w:p>
      <w:r>
        <w:t>genomic variants into actionable clinical intelligence. It combines laboratory result</w:t>
      </w:r>
    </w:p>
    <w:p>
      <w:r>
        <w:t>interpretation, pharmacogenomic profiling, biological age estimation, disease risk</w:t>
      </w:r>
    </w:p>
    <w:p>
      <w:r>
        <w:t>trajectory modeling, and RAG-powered evidence retrieval into a single unified platform.</w:t>
      </w:r>
    </w:p>
    <w:p>
      <w:r/>
      <w:r>
        <w:rPr>
          <w:b/>
        </w:rPr>
        <w:t>What the agent does:</w:t>
      </w:r>
      <w:r/>
    </w:p>
    <w:p>
      <w:pPr>
        <w:pStyle w:val="ListBullet"/>
        <w:ind w:left="720"/>
      </w:pPr>
      <w:r>
        <w:t>Ingests patient demographics, lab panels, medications, and genomic data (VCF)</w:t>
      </w:r>
    </w:p>
    <w:p>
      <w:pPr>
        <w:pStyle w:val="ListBullet"/>
        <w:ind w:left="720"/>
      </w:pPr>
      <w:r>
        <w:t>Applies genotype-aware reference range adjustments and critical value detection</w:t>
      </w:r>
    </w:p>
    <w:p>
      <w:pPr>
        <w:pStyle w:val="ListBullet"/>
        <w:ind w:left="720"/>
      </w:pPr>
      <w:r>
        <w:t>Calculates biological age using PhenoAge and GrimAge surrogate algorithms</w:t>
      </w:r>
    </w:p>
    <w:p>
      <w:pPr>
        <w:pStyle w:val="ListBullet"/>
        <w:ind w:left="720"/>
      </w:pPr>
      <w:r>
        <w:t>Predicts disease trajectories across 9 clinical categories</w:t>
      </w:r>
    </w:p>
    <w:p>
      <w:pPr>
        <w:pStyle w:val="ListBullet"/>
        <w:ind w:left="720"/>
      </w:pPr>
      <w:r>
        <w:t>Maps pharmacogenomic star alleles to metabolizer phenotypes with CPIC-guided dosing</w:t>
      </w:r>
    </w:p>
    <w:p>
      <w:pPr>
        <w:pStyle w:val="ListBullet"/>
        <w:ind w:left="720"/>
      </w:pPr>
      <w:r>
        <w:t>Searches 14 Milvus vector collections via RAG for evidence-backed interpretation</w:t>
      </w:r>
    </w:p>
    <w:p>
      <w:pPr>
        <w:pStyle w:val="ListBullet"/>
        <w:ind w:left="720"/>
      </w:pPr>
      <w:r>
        <w:t>Generates 12-section clinical reports with PDF export and FHIR R4 bundle output</w:t>
      </w:r>
    </w:p>
    <w:p>
      <w:pPr>
        <w:pStyle w:val="ListBullet"/>
        <w:ind w:left="720"/>
      </w:pPr>
      <w:r>
        <w:t>Provides longitudinal trend tracking and rate-of-change analysis</w:t>
      </w:r>
    </w:p>
    <w:p>
      <w:r/>
      <w:r>
        <w:rPr>
          <w:b/>
        </w:rPr>
        <w:t>Demo duration:</w:t>
      </w:r>
      <w:r>
        <w:t xml:space="preserve"> ~20 minutes for the full walkthrough. Individual tabs can be</w:t>
      </w:r>
    </w:p>
    <w:p>
      <w:r>
        <w:t>demonstrated independently in 2--3 minutes each.</w:t>
      </w:r>
    </w:p>
    <w:p>
      <w:r/>
      <w:r>
        <w:rPr>
          <w:b/>
        </w:rPr>
        <w:t>Architecture at a glance: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Streamlit UI (:8528)  --&gt;  FastAPI Backend (:8529)  --&gt;  Milvus Vector DB</w:t>
        <w:br/>
        <w:t xml:space="preserve">                                  |</w:t>
        <w:br/>
        <w:t xml:space="preserve">                      +-----------+-----------+</w:t>
        <w:br/>
        <w:t xml:space="preserve">                      |           |           |</w:t>
        <w:br/>
        <w:t xml:space="preserve">                  Biomarker   PGx Engine   RAG Engine</w:t>
        <w:br/>
        <w:t xml:space="preserve">                  Analysis    (14 genes)   (14 collections)</w:t>
        <w:br/>
        <w:t xml:space="preserve">                      |           |           |</w:t>
        <w:br/>
        <w:t xml:space="preserve">                  Claude LLM  CPIC DB     BGE-small-en-v1.5</w:t>
        <w:br/>
        <w:t xml:space="preserve">                                          (384-dim embeddings)</w:t>
      </w:r>
    </w:p>
    <w:p>
      <w:r>
        <w:t>____________________________________________________________</w:t>
      </w:r>
    </w:p>
    <w:p>
      <w:pPr>
        <w:pStyle w:val="Heading2"/>
      </w:pPr>
      <w:r>
        <w:t>2. Prerequisites</w:t>
      </w:r>
    </w:p>
    <w:p>
      <w:pPr>
        <w:pStyle w:val="Heading3"/>
      </w:pPr>
      <w:r>
        <w:t>2.1 Services That Must Be Running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Port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Health Check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Streamlit UI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8528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`curl http://localhost:8528`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FastAPI Backend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8529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`curl http://localhost:8529/health`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Milvus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19530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`curl http://localhost:9091/healthz`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etcd (Milvus dep)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2379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Checked via Milvus health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MinIO (Milvus dep)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9000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`curl http://localhost:9000/minio/health/live`</w:t>
            </w:r>
          </w:p>
        </w:tc>
      </w:tr>
    </w:tbl>
    <w:p>
      <w:pPr>
        <w:pStyle w:val="Heading3"/>
      </w:pPr>
      <w:r>
        <w:t>2.2 Environment Variables</w:t>
      </w:r>
    </w:p>
    <w:p>
      <w:r>
        <w:t>Confirm the following are set before launching: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Required</w:t>
        <w:br/>
        <w:t>export ANTHROPIC_API_KEY="sk-ant-..."</w:t>
        <w:br/>
        <w:br/>
        <w:t># Verify services</w:t>
        <w:br/>
        <w:t>curl -s http://localhost:8529/health | python3 -m json.tool</w:t>
      </w:r>
    </w:p>
    <w:p>
      <w:pPr>
        <w:pStyle w:val="Heading3"/>
      </w:pPr>
      <w:r>
        <w:t>2.3 Quick Start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From the agent directory</w:t>
        <w:br/>
        <w:t>cd /home/adam/projects/hcls-ai-factory/ai_agent_adds/precision_biomarker_agent</w:t>
        <w:br/>
        <w:br/>
        <w:t># Start backend</w:t>
        <w:br/>
        <w:t>python -m uvicorn api.main:app --host 0.0.0.0 --port 8529 &amp;</w:t>
        <w:br/>
        <w:br/>
        <w:t># Start UI</w:t>
        <w:br/>
        <w:t>streamlit run app/biomarker_ui.py --server.port 8528 &amp;</w:t>
      </w:r>
    </w:p>
    <w:p>
      <w:r>
        <w:t>Alternatively, use Docker Compose: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docker compose up -d</w:t>
      </w:r>
    </w:p>
    <w:p>
      <w:pPr>
        <w:pStyle w:val="Heading3"/>
      </w:pPr>
      <w:r>
        <w:t>2.4 Demo Data</w:t>
      </w:r>
    </w:p>
    <w:p>
      <w:r>
        <w:t>Two demo patients are pre-loaded. No additional data ingestion is required.</w:t>
      </w:r>
    </w:p>
    <w:p>
      <w:r>
        <w:t>____________________________________________________________</w:t>
      </w:r>
    </w:p>
    <w:p>
      <w:pPr>
        <w:pStyle w:val="Heading2"/>
      </w:pPr>
      <w:r>
        <w:t>3. Demo Flow Overview</w:t>
      </w:r>
    </w:p>
    <w:p>
      <w:r>
        <w:t>The recommended demo path walks through all 8 tabs in sequence. Each tab builds on</w:t>
      </w:r>
    </w:p>
    <w:p>
      <w:r>
        <w:t>context from the previous one, creating a narrative arc from raw biomarkers to</w:t>
      </w:r>
    </w:p>
    <w:p>
      <w:r>
        <w:t>clinical decision support.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Tab 1: Biomarker Analysis     -- "What do the labs show?"</w:t>
        <w:br/>
        <w:t xml:space="preserve">  |</w:t>
        <w:br/>
        <w:t>Tab 2: Biological Age         -- "How old is this patient biologically?"</w:t>
        <w:br/>
        <w:t xml:space="preserve">  |</w:t>
        <w:br/>
        <w:t>Tab 3: Disease Risk            -- "Where is this patient heading?"</w:t>
        <w:br/>
        <w:t xml:space="preserve">  |</w:t>
        <w:br/>
        <w:t>Tab 4: PGx Profile             -- "How should we dose medications?"</w:t>
        <w:br/>
        <w:t xml:space="preserve">  |</w:t>
        <w:br/>
        <w:t>Tab 5: Evidence Explorer       -- "What does the literature say?"</w:t>
        <w:br/>
        <w:t xml:space="preserve">  |</w:t>
        <w:br/>
        <w:t>Tab 6: Reports                 -- "Package it for the clinician."</w:t>
        <w:br/>
        <w:t xml:space="preserve">  |</w:t>
        <w:br/>
        <w:t>Tab 7: Patient 360             -- "See everything in one place."</w:t>
        <w:br/>
        <w:t xml:space="preserve">  |</w:t>
        <w:br/>
        <w:t>Tab 8: Longitudinal            -- "How are things changing over time?"</w:t>
      </w:r>
    </w:p>
    <w:p>
      <w:r/>
      <w:r>
        <w:rPr>
          <w:b/>
        </w:rPr>
        <w:t>Narrative arc:</w:t>
      </w:r>
      <w:r>
        <w:t xml:space="preserve"> Start with the raw data (Tab 1), derive deeper insights (Tabs 2--4),</w:t>
      </w:r>
    </w:p>
    <w:p>
      <w:r>
        <w:t>validate with evidence (Tab 5), package for clinical use (Tab 6), then show the</w:t>
      </w:r>
    </w:p>
    <w:p>
      <w:r>
        <w:t>unified and temporal views (Tabs 7--8).</w:t>
      </w:r>
    </w:p>
    <w:p>
      <w:r>
        <w:t>____________________________________________________________</w:t>
      </w:r>
    </w:p>
    <w:p>
      <w:pPr>
        <w:pStyle w:val="Heading2"/>
      </w:pPr>
      <w:r>
        <w:t>4. Tab-by-Tab Walkthrough</w:t>
      </w:r>
    </w:p>
    <w:p>
      <w:pPr>
        <w:pStyle w:val="Heading3"/>
      </w:pPr>
      <w:r>
        <w:t>Demo Patients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Patient 1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Patient 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**ID**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HCLS-BIO-2026-00001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HCLS-BIO-2026-00002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**Age/Sex**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45M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**Ethnicity**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Ashkenazi Jewish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Ashkenazi Jewish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**Genome**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HG002 (NA24385)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--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**BMI**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23.7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22.6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**Medications**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Atorvastatin 10mg, Metformin 500mg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OCP (ethinyl estradiol/norgestimate)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Tab 1: Biomarker Analysis</w:t>
      </w:r>
    </w:p>
    <w:p>
      <w:r/>
      <w:r>
        <w:rPr>
          <w:b/>
        </w:rPr>
        <w:t>Purpose:</w:t>
      </w:r>
      <w:r>
        <w:t xml:space="preserve"> Load a patient and review the full biomarker panel with intelligent</w:t>
      </w:r>
    </w:p>
    <w:p>
      <w:r>
        <w:t>interpretation.</w:t>
      </w:r>
    </w:p>
    <w:p>
      <w:r/>
      <w:r>
        <w:rPr>
          <w:b/>
        </w:rPr>
        <w:t>Steps:</w:t>
      </w:r>
      <w:r/>
    </w:p>
    <w:p>
      <w:pPr>
        <w:pStyle w:val="ListNumber"/>
      </w:pPr>
      <w:r/>
      <w:r>
        <w:rPr>
          <w:b/>
        </w:rPr>
        <w:t>Select demo patient.</w:t>
      </w:r>
      <w:r>
        <w:t xml:space="preserve"> From the patient selector dropdown, choose</w:t>
      </w:r>
    </w:p>
    <w:p>
      <w:r/>
      <w:r>
        <w:rPr>
          <w:rFonts w:ascii="Consolas" w:hAnsi="Consolas"/>
          <w:color w:val="2E864B"/>
          <w:sz w:val="20"/>
        </w:rPr>
        <w:t>HCLS-BIO-2026-00001</w:t>
      </w:r>
      <w:r>
        <w:t xml:space="preserve"> (45M, Ashkenazi Jewish, HG002).</w:t>
      </w:r>
    </w:p>
    <w:p>
      <w:pPr>
        <w:pStyle w:val="ListNumber"/>
      </w:pPr>
      <w:r/>
      <w:r>
        <w:rPr>
          <w:b/>
        </w:rPr>
        <w:t>Review the biomarker dashboard.</w:t>
      </w:r>
      <w:r>
        <w:t xml:space="preserve"> The system displays 67+ biomarker results</w:t>
      </w:r>
    </w:p>
    <w:p>
      <w:r>
        <w:t>organized by clinical category.</w:t>
      </w:r>
    </w:p>
    <w:p>
      <w:pPr>
        <w:pStyle w:val="ListNumber"/>
      </w:pPr>
      <w:r/>
      <w:r>
        <w:rPr>
          <w:b/>
        </w:rPr>
        <w:t>Highlight genotype adjustments.</w:t>
      </w:r>
      <w:r>
        <w:t xml:space="preserve"> Point out biomarkers where the system has</w:t>
      </w:r>
    </w:p>
    <w:p>
      <w:r>
        <w:t>adjusted reference ranges based on the patient's Ashkenazi Jewish ancestry and</w:t>
      </w:r>
    </w:p>
    <w:p>
      <w:r>
        <w:t>known genomic variants. These appear with a gene icon indicator.</w:t>
      </w:r>
    </w:p>
    <w:p>
      <w:r>
        <w:t xml:space="preserve">&gt; </w:t>
      </w:r>
      <w:r>
        <w:rPr>
          <w:i/>
        </w:rPr>
        <w:t>Talking point:</w:t>
      </w:r>
      <w:r>
        <w:t xml:space="preserve"> "Traditional lab reports use population-wide reference ranges.</w:t>
      </w:r>
    </w:p>
    <w:p>
      <w:r>
        <w:t>&gt; Our agent adjusts ranges based on the patient's actual genotype -- for example,</w:t>
      </w:r>
    </w:p>
    <w:p>
      <w:r>
        <w:t>&gt; creatinine reference ranges shift when we know the patient's ancestry and body</w:t>
      </w:r>
    </w:p>
    <w:p>
      <w:r>
        <w:t>&gt; composition."</w:t>
      </w:r>
    </w:p>
    <w:p>
      <w:pPr>
        <w:pStyle w:val="ListNumber"/>
      </w:pPr>
      <w:r/>
      <w:r>
        <w:rPr>
          <w:b/>
        </w:rPr>
        <w:t>Show critical values.</w:t>
      </w:r>
      <w:r>
        <w:t xml:space="preserve"> Any biomarker flagged as critically high or low appears</w:t>
      </w:r>
    </w:p>
    <w:p>
      <w:r>
        <w:t>with a red alert banner. Click on a critical value to see the recommended clinical</w:t>
      </w:r>
    </w:p>
    <w:p>
      <w:r>
        <w:t>action.</w:t>
      </w:r>
    </w:p>
    <w:p>
      <w:r>
        <w:t xml:space="preserve">&gt; </w:t>
      </w:r>
      <w:r>
        <w:rPr>
          <w:i/>
        </w:rPr>
        <w:t>Talking point:</w:t>
      </w:r>
      <w:r>
        <w:t xml:space="preserve"> "Critical values trigger immediate alerts. The system doesn't</w:t>
      </w:r>
    </w:p>
    <w:p>
      <w:r>
        <w:t>&gt; just flag them -- it provides context on why the value is critical for THIS</w:t>
      </w:r>
    </w:p>
    <w:p>
      <w:r>
        <w:t>&gt; specific patient."</w:t>
      </w:r>
    </w:p>
    <w:p>
      <w:pPr>
        <w:pStyle w:val="ListNumber"/>
      </w:pPr>
      <w:r/>
      <w:r>
        <w:rPr>
          <w:b/>
        </w:rPr>
        <w:t>Demonstrate discordance alerts.</w:t>
      </w:r>
      <w:r>
        <w:t xml:space="preserve"> Show cases where biomarker values conflict</w:t>
      </w:r>
    </w:p>
    <w:p>
      <w:r>
        <w:t>with each other or with genomic data. The discordance detector cross-references</w:t>
      </w:r>
    </w:p>
    <w:p>
      <w:r>
        <w:t>related biomarkers to catch inconsistencies.</w:t>
      </w:r>
    </w:p>
    <w:p>
      <w:r>
        <w:t xml:space="preserve">&gt; </w:t>
      </w:r>
      <w:r>
        <w:rPr>
          <w:i/>
        </w:rPr>
        <w:t>Talking point:</w:t>
      </w:r>
      <w:r>
        <w:t xml:space="preserve"> "Discordance detection is something a seasoned clinician does</w:t>
      </w:r>
    </w:p>
    <w:p>
      <w:r>
        <w:t>&gt; intuitively -- checking whether related labs tell a consistent story. We automate</w:t>
      </w:r>
    </w:p>
    <w:p>
      <w:r>
        <w:t>&gt; that pattern recognition across all 67+ biomarkers simultaneously."</w:t>
      </w:r>
    </w:p>
    <w:p>
      <w:pPr>
        <w:pStyle w:val="ListNumber"/>
      </w:pPr>
      <w:r/>
      <w:r>
        <w:rPr>
          <w:b/>
        </w:rPr>
        <w:t>Optionally switch to Patient 2</w:t>
      </w:r>
      <w:r>
        <w:t xml:space="preserve"> (HCLS-BIO-2026-00002, 38F) to show how the</w:t>
      </w:r>
    </w:p>
    <w:p>
      <w:r>
        <w:t>same panel adjusts for sex-specific reference ranges and OCP medication effects.</w:t>
      </w:r>
    </w:p>
    <w:p>
      <w:r>
        <w:t>____________________________________________________________</w:t>
      </w:r>
    </w:p>
    <w:p>
      <w:pPr>
        <w:pStyle w:val="Heading3"/>
      </w:pPr>
      <w:r>
        <w:t>Tab 2: Biological Age</w:t>
      </w:r>
    </w:p>
    <w:p>
      <w:r/>
      <w:r>
        <w:rPr>
          <w:b/>
        </w:rPr>
        <w:t>Purpose:</w:t>
      </w:r>
      <w:r>
        <w:t xml:space="preserve"> Demonstrate the gap between chronological and biological age using</w:t>
      </w:r>
    </w:p>
    <w:p>
      <w:r>
        <w:t>validated algorithms.</w:t>
      </w:r>
    </w:p>
    <w:p>
      <w:r/>
      <w:r>
        <w:rPr>
          <w:b/>
        </w:rPr>
        <w:t>Steps:</w:t>
      </w:r>
      <w:r/>
    </w:p>
    <w:p>
      <w:pPr>
        <w:pStyle w:val="ListNumber"/>
      </w:pPr>
      <w:r/>
      <w:r>
        <w:rPr>
          <w:b/>
        </w:rPr>
        <w:t>Review PhenoAge calculation.</w:t>
      </w:r>
      <w:r>
        <w:t xml:space="preserve"> The system uses 9 clinical biomarkers to compute</w:t>
      </w:r>
    </w:p>
    <w:p>
      <w:r>
        <w:t>PhenoAge:</w:t>
      </w:r>
    </w:p>
    <w:p>
      <w:pPr>
        <w:pStyle w:val="ListBullet"/>
        <w:ind w:left="1077"/>
      </w:pPr>
      <w:r>
        <w:t>Albumin</w:t>
      </w:r>
    </w:p>
    <w:p>
      <w:pPr>
        <w:pStyle w:val="ListBullet"/>
        <w:ind w:left="1077"/>
      </w:pPr>
      <w:r>
        <w:t>Creatinine</w:t>
      </w:r>
    </w:p>
    <w:p>
      <w:pPr>
        <w:pStyle w:val="ListBullet"/>
        <w:ind w:left="1077"/>
      </w:pPr>
      <w:r>
        <w:t>Glucose</w:t>
      </w:r>
    </w:p>
    <w:p>
      <w:pPr>
        <w:pStyle w:val="ListBullet"/>
        <w:ind w:left="1077"/>
      </w:pPr>
      <w:r>
        <w:t>C-Reactive Protein (CRP)</w:t>
      </w:r>
    </w:p>
    <w:p>
      <w:pPr>
        <w:pStyle w:val="ListBullet"/>
        <w:ind w:left="1077"/>
      </w:pPr>
      <w:r>
        <w:t>Lymphocyte Percent</w:t>
      </w:r>
    </w:p>
    <w:p>
      <w:pPr>
        <w:pStyle w:val="ListBullet"/>
        <w:ind w:left="1077"/>
      </w:pPr>
      <w:r>
        <w:t>Mean Cell Volume (MCV)</w:t>
      </w:r>
    </w:p>
    <w:p>
      <w:pPr>
        <w:pStyle w:val="ListBullet"/>
        <w:ind w:left="1077"/>
      </w:pPr>
      <w:r>
        <w:t>Red Cell Distribution Width (RDW)</w:t>
      </w:r>
    </w:p>
    <w:p>
      <w:pPr>
        <w:pStyle w:val="ListBullet"/>
        <w:ind w:left="1077"/>
      </w:pPr>
      <w:r>
        <w:t>Alkaline Phosphatase</w:t>
      </w:r>
    </w:p>
    <w:p>
      <w:pPr>
        <w:pStyle w:val="ListBullet"/>
        <w:ind w:left="1077"/>
      </w:pPr>
      <w:r>
        <w:t>White Blood Cell Count</w:t>
      </w:r>
    </w:p>
    <w:p>
      <w:pPr>
        <w:pStyle w:val="ListNumber"/>
      </w:pPr>
      <w:r/>
      <w:r>
        <w:rPr>
          <w:b/>
        </w:rPr>
        <w:t>Show the GrimAge surrogate.</w:t>
      </w:r>
      <w:r>
        <w:t xml:space="preserve"> A secondary biological age estimate using surrogate</w:t>
      </w:r>
    </w:p>
    <w:p>
      <w:r>
        <w:t>markers when DNA methylation data is unavailable.</w:t>
      </w:r>
    </w:p>
    <w:p>
      <w:pPr>
        <w:pStyle w:val="ListNumber"/>
      </w:pPr>
      <w:r/>
      <w:r>
        <w:rPr>
          <w:b/>
        </w:rPr>
        <w:t>Explain age acceleration/deceleration.</w:t>
      </w:r>
      <w:r>
        <w:t xml:space="preserve"> The delta between chronological age (45)</w:t>
      </w:r>
    </w:p>
    <w:p>
      <w:r>
        <w:t>and biological age is displayed as either acceleration (biological &gt; chronological,</w:t>
      </w:r>
    </w:p>
    <w:p>
      <w:r>
        <w:t>higher risk) or deceleration (biological &lt; chronological, protective).</w:t>
      </w:r>
    </w:p>
    <w:p>
      <w:r>
        <w:t xml:space="preserve">&gt; </w:t>
      </w:r>
      <w:r>
        <w:rPr>
          <w:i/>
        </w:rPr>
        <w:t>Talking point:</w:t>
      </w:r>
      <w:r>
        <w:t xml:space="preserve"> "PhenoAge was developed from NHANES III data and validated</w:t>
      </w:r>
    </w:p>
    <w:p>
      <w:r>
        <w:t>&gt; against mortality outcomes. A patient who is chronologically 45 but biologically</w:t>
      </w:r>
    </w:p>
    <w:p>
      <w:r>
        <w:t>&gt; 52 has the disease risk profile of a 52-year-old. This single number synthesizes</w:t>
      </w:r>
    </w:p>
    <w:p>
      <w:r>
        <w:t>&gt; 9 biomarkers into an actionable aging metric."</w:t>
      </w:r>
    </w:p>
    <w:p>
      <w:pPr>
        <w:pStyle w:val="ListNumber"/>
      </w:pPr>
      <w:r/>
      <w:r>
        <w:rPr>
          <w:b/>
        </w:rPr>
        <w:t>Point out which biomarkers are driving the result.</w:t>
      </w:r>
      <w:r>
        <w:t xml:space="preserve"> The breakdown shows each</w:t>
      </w:r>
    </w:p>
    <w:p>
      <w:r>
        <w:t>biomarker's contribution to the biological age estimate, highlighting which ones</w:t>
      </w:r>
    </w:p>
    <w:p>
      <w:r>
        <w:t>are aging the patient faster or slower.</w:t>
      </w:r>
    </w:p>
    <w:p>
      <w:r>
        <w:t>____________________________________________________________</w:t>
      </w:r>
    </w:p>
    <w:p>
      <w:pPr>
        <w:pStyle w:val="Heading3"/>
      </w:pPr>
      <w:r>
        <w:t>Tab 3: Disease Risk</w:t>
      </w:r>
    </w:p>
    <w:p>
      <w:r/>
      <w:r>
        <w:rPr>
          <w:b/>
        </w:rPr>
        <w:t>Purpose:</w:t>
      </w:r>
      <w:r>
        <w:t xml:space="preserve"> Show predicted disease trajectories based on current biomarker patterns.</w:t>
      </w:r>
    </w:p>
    <w:p>
      <w:r/>
      <w:r>
        <w:rPr>
          <w:b/>
        </w:rPr>
        <w:t>Steps:</w:t>
      </w:r>
      <w:r/>
    </w:p>
    <w:p>
      <w:pPr>
        <w:pStyle w:val="ListNumber"/>
      </w:pPr>
      <w:r/>
      <w:r>
        <w:rPr>
          <w:b/>
        </w:rPr>
        <w:t>Review the 9 disease trajectory categories: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Key Biomarkers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Cardiovascular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Lipid panel, CRP, homocysteine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Metabolic / Diabetes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Glucose, HbA1c, insulin, HOMA-IR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Liver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ALT, AST, bilirubin, albumin, GGT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Kidney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Creatinine, BUN, eGFR, cystatin 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Thyroid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TSH, free T4, free T3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Iron Metabolism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Ferritin, transferrin sat, serum iron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Nutritional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Omega-3, Vit D, B12, folate, Mg, Zn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Cognitive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Homocysteine, B12, folate, hs-CRP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Bone Health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Calcium, PTH, Vit D, CTX, P1NP</w:t>
            </w:r>
          </w:p>
        </w:tc>
      </w:tr>
    </w:tbl>
    <w:p>
      <w:pPr>
        <w:pStyle w:val="ListNumber"/>
      </w:pPr>
      <w:r/>
      <w:r>
        <w:rPr>
          <w:b/>
        </w:rPr>
        <w:t>Walk through the cardiovascular risk panel for Patient 1.</w:t>
      </w:r>
      <w:r>
        <w:t xml:space="preserve"> Note that</w:t>
      </w:r>
    </w:p>
    <w:p>
      <w:r>
        <w:t>Atorvastatin 10mg is already prescribed -- the system factors current medications</w:t>
      </w:r>
    </w:p>
    <w:p>
      <w:r>
        <w:t>into risk projections.</w:t>
      </w:r>
    </w:p>
    <w:p>
      <w:pPr>
        <w:pStyle w:val="ListNumber"/>
      </w:pPr>
      <w:r/>
      <w:r>
        <w:rPr>
          <w:b/>
        </w:rPr>
        <w:t>Show the metabolic/diabetes trajectory.</w:t>
      </w:r>
      <w:r>
        <w:t xml:space="preserve"> Patient 1 is on Metformin 500mg.</w:t>
      </w:r>
    </w:p>
    <w:p>
      <w:r>
        <w:t>The system models expected trajectory with and without continued treatment.</w:t>
      </w:r>
    </w:p>
    <w:p>
      <w:pPr>
        <w:pStyle w:val="ListNumber"/>
      </w:pPr>
      <w:r/>
      <w:r>
        <w:rPr>
          <w:b/>
        </w:rPr>
        <w:t>Demonstrate sex-specific differences.</w:t>
      </w:r>
      <w:r>
        <w:t xml:space="preserve"> Switch to Patient 2 to show how the</w:t>
      </w:r>
    </w:p>
    <w:p>
      <w:r>
        <w:t>risk categories change for a 38F on OCP, including estrogen-related</w:t>
      </w:r>
    </w:p>
    <w:p>
      <w:r>
        <w:t>cardiovascular risk modifiers.</w:t>
      </w:r>
    </w:p>
    <w:p>
      <w:r>
        <w:t xml:space="preserve">&gt; </w:t>
      </w:r>
      <w:r>
        <w:rPr>
          <w:i/>
        </w:rPr>
        <w:t>Talking point:</w:t>
      </w:r>
      <w:r>
        <w:t xml:space="preserve"> "We don't just flag abnormal values -- we project trajectories.</w:t>
      </w:r>
    </w:p>
    <w:p>
      <w:r>
        <w:t>&gt; A fasting glucose of 105 means something very different in a 45-year-old already</w:t>
      </w:r>
    </w:p>
    <w:p>
      <w:r>
        <w:t>&gt; on Metformin versus a 38-year-old with no metabolic history."</w:t>
      </w:r>
    </w:p>
    <w:p>
      <w:r>
        <w:t>____________________________________________________________</w:t>
      </w:r>
    </w:p>
    <w:p>
      <w:pPr>
        <w:pStyle w:val="Heading3"/>
      </w:pPr>
      <w:r>
        <w:t>Tab 4: PGx Profile</w:t>
      </w:r>
    </w:p>
    <w:p>
      <w:r/>
      <w:r>
        <w:rPr>
          <w:b/>
        </w:rPr>
        <w:t>Purpose:</w:t>
      </w:r>
      <w:r>
        <w:t xml:space="preserve"> Demonstrate pharmacogenomic profiling from genomic data to drug dosing</w:t>
      </w:r>
    </w:p>
    <w:p>
      <w:r>
        <w:t>recommendations.</w:t>
      </w:r>
    </w:p>
    <w:p>
      <w:r/>
      <w:r>
        <w:rPr>
          <w:b/>
        </w:rPr>
        <w:t>Steps:</w:t>
      </w:r>
      <w:r/>
    </w:p>
    <w:p>
      <w:pPr>
        <w:pStyle w:val="ListNumber"/>
      </w:pPr>
      <w:r/>
      <w:r>
        <w:rPr>
          <w:b/>
        </w:rPr>
        <w:t>Review the 14 pharmacogenes:</w:t>
      </w:r>
      <w:r>
        <w:t xml:space="preserve"> Show each gene with its detected star alleles,</w:t>
      </w:r>
    </w:p>
    <w:p>
      <w:r>
        <w:t>diplotype, and resulting metabolizer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Gene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Example Phenotype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Clinical Impact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CYP2D6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Intermediate Metabolizer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Codeine, tamoxifen, SSRIs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CYP2C19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Poor Metabolizer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Clopidogrel, PPIs, voriconazole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CYP2C9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Normal Metabolizer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Warfarin, NSAIDs, phenytoin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CYP3A5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Non-Expressor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Tacrolimus, many statins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SLCO1B1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Decreased Function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Statin myopathy risk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VKORC1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High Sensitivity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Warfarin dose reduction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MTHFR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Reduced Activity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Folate metabolism, methotrexate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TPMT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Normal Metabolizer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Thiopurines (azathioprine)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DPYD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Normal Metabolizer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Fluoropyrimidines (5-FU, capecitabine)</w:t>
            </w:r>
          </w:p>
        </w:tc>
      </w:tr>
    </w:tbl>
    <w:p>
      <w:pPr>
        <w:pStyle w:val="ListNumber"/>
      </w:pPr>
      <w:r/>
      <w:r>
        <w:rPr>
          <w:b/>
        </w:rPr>
        <w:t>Highlight the star allele to phenotype mapping.</w:t>
      </w:r>
      <w:r>
        <w:t xml:space="preserve"> Click on CYP2D6 to show</w:t>
      </w:r>
    </w:p>
    <w:p>
      <w:r>
        <w:t xml:space="preserve">the full star allele detail (e.g., </w:t>
      </w:r>
      <w:r>
        <w:rPr>
          <w:i/>
        </w:rPr>
        <w:t>1/</w:t>
      </w:r>
      <w:r>
        <w:t>4 -&gt; Intermediate Metabolizer).</w:t>
      </w:r>
    </w:p>
    <w:p>
      <w:pPr>
        <w:pStyle w:val="ListNumber"/>
      </w:pPr>
      <w:r/>
      <w:r>
        <w:rPr>
          <w:b/>
        </w:rPr>
        <w:t>Show drug interaction with current medications.</w:t>
      </w:r>
      <w:r>
        <w:t xml:space="preserve"> For Patient 1 on Atorvastatin:</w:t>
      </w:r>
    </w:p>
    <w:p>
      <w:pPr>
        <w:pStyle w:val="ListBullet"/>
        <w:ind w:left="1077"/>
      </w:pPr>
      <w:r>
        <w:t>Check SLCO1B1 status (statin transport gene)</w:t>
      </w:r>
    </w:p>
    <w:p>
      <w:pPr>
        <w:pStyle w:val="ListBullet"/>
        <w:ind w:left="1077"/>
      </w:pPr>
      <w:r>
        <w:t>If decreased function is detected, the system recommends dose adjustment or</w:t>
      </w:r>
    </w:p>
    <w:p>
      <w:r>
        <w:t>alternative statin selection per CPIC guidelines</w:t>
      </w:r>
    </w:p>
    <w:p>
      <w:pPr>
        <w:pStyle w:val="ListNumber"/>
      </w:pPr>
      <w:r/>
      <w:r>
        <w:rPr>
          <w:b/>
        </w:rPr>
        <w:t>Demonstrate CPIC guidance integration.</w:t>
      </w:r>
      <w:r>
        <w:t xml:space="preserve"> Each gene-drug pair links to the</w:t>
      </w:r>
    </w:p>
    <w:p>
      <w:r>
        <w:t>relevant CPIC guideline with strength of recommendation and evidence level.</w:t>
      </w:r>
    </w:p>
    <w:p>
      <w:r>
        <w:t xml:space="preserve">&gt; </w:t>
      </w:r>
      <w:r>
        <w:rPr>
          <w:i/>
        </w:rPr>
        <w:t>Talking point:</w:t>
      </w:r>
      <w:r>
        <w:t xml:space="preserve"> "Ashkenazi Jewish populations have elevated carrier frequencies</w:t>
      </w:r>
    </w:p>
    <w:p>
      <w:r>
        <w:t>&gt; for several pharmacogenomic variants. Patient 1's HG002 genome gives us real</w:t>
      </w:r>
    </w:p>
    <w:p>
      <w:r>
        <w:t>&gt; variant calls -- not imputed data -- so the star allele assignments are</w:t>
      </w:r>
    </w:p>
    <w:p>
      <w:r>
        <w:t>&gt; high-confidence."</w:t>
      </w:r>
    </w:p>
    <w:p>
      <w:pPr>
        <w:pStyle w:val="ListNumber"/>
      </w:pPr>
      <w:r/>
      <w:r>
        <w:rPr>
          <w:b/>
        </w:rPr>
        <w:t>Show the dosing recommendation panel.</w:t>
      </w:r>
      <w:r>
        <w:t xml:space="preserve"> For each active medication, the system</w:t>
      </w:r>
    </w:p>
    <w:p>
      <w:r>
        <w:t>provides a traffic-light recommendation: green (standard dose), yellow (consider</w:t>
      </w:r>
    </w:p>
    <w:p>
      <w:r>
        <w:t>adjustment), red (contraindicated or major dose change needed).</w:t>
      </w:r>
    </w:p>
    <w:p>
      <w:r>
        <w:t>____________________________________________________________</w:t>
      </w:r>
    </w:p>
    <w:p>
      <w:pPr>
        <w:pStyle w:val="Heading3"/>
      </w:pPr>
      <w:r>
        <w:t>Tab 5: Evidence Explorer</w:t>
      </w:r>
    </w:p>
    <w:p>
      <w:r/>
      <w:r>
        <w:rPr>
          <w:b/>
        </w:rPr>
        <w:t>Purpose:</w:t>
      </w:r>
      <w:r>
        <w:t xml:space="preserve"> Demonstrate RAG-powered search across the biomarker knowledge base.</w:t>
      </w:r>
    </w:p>
    <w:p>
      <w:r/>
      <w:r>
        <w:rPr>
          <w:b/>
        </w:rPr>
        <w:t>Steps:</w:t>
      </w:r>
      <w:r/>
    </w:p>
    <w:p>
      <w:pPr>
        <w:pStyle w:val="ListNumber"/>
      </w:pPr>
      <w:r/>
      <w:r>
        <w:rPr>
          <w:b/>
        </w:rPr>
        <w:t>Show the 14 collections available for search:</w:t>
      </w:r>
      <w:r/>
    </w:p>
    <w:p>
      <w:pPr>
        <w:pStyle w:val="ListBullet"/>
        <w:ind w:left="1077"/>
      </w:pPr>
      <w:r>
        <w:t>13 biomarker-specific collections (one per clinical category, plus general</w:t>
      </w:r>
    </w:p>
    <w:p>
      <w:r>
        <w:t>clinical chemistry)</w:t>
      </w:r>
    </w:p>
    <w:p>
      <w:pPr>
        <w:pStyle w:val="ListBullet"/>
        <w:ind w:left="1077"/>
      </w:pPr>
      <w:r>
        <w:t>1 genomic collection (ClinVar + AlphaMissense annotations)</w:t>
      </w:r>
    </w:p>
    <w:p>
      <w:pPr>
        <w:pStyle w:val="ListNumber"/>
      </w:pPr>
      <w:r/>
      <w:r>
        <w:rPr>
          <w:b/>
        </w:rPr>
        <w:t>Run a sample query.</w:t>
      </w:r>
      <w:r>
        <w:t xml:space="preserve"> Type a clinical question such as:</w:t>
      </w:r>
    </w:p>
    <w:p>
      <w:r>
        <w:t>&gt; "What is the significance of elevated homocysteine in an Ashkenazi Jewish male</w:t>
      </w:r>
    </w:p>
    <w:p>
      <w:r>
        <w:t>&gt; with MTHFR reduced activity?"</w:t>
      </w:r>
    </w:p>
    <w:p>
      <w:pPr>
        <w:pStyle w:val="ListNumber"/>
      </w:pPr>
      <w:r/>
      <w:r>
        <w:rPr>
          <w:b/>
        </w:rPr>
        <w:t>Review the results.</w:t>
      </w:r>
      <w:r>
        <w:t xml:space="preserve"> The RAG engine returns:</w:t>
      </w:r>
    </w:p>
    <w:p>
      <w:pPr>
        <w:pStyle w:val="ListBullet"/>
        <w:ind w:left="1077"/>
      </w:pPr>
      <w:r>
        <w:t>Ranked passages with citation scores</w:t>
      </w:r>
    </w:p>
    <w:p>
      <w:pPr>
        <w:pStyle w:val="ListBullet"/>
        <w:ind w:left="1077"/>
      </w:pPr>
      <w:r>
        <w:t>Source collection and document metadata</w:t>
      </w:r>
    </w:p>
    <w:p>
      <w:pPr>
        <w:pStyle w:val="ListBullet"/>
        <w:ind w:left="1077"/>
      </w:pPr>
      <w:r>
        <w:t>Relevance confidence indicator</w:t>
      </w:r>
    </w:p>
    <w:p>
      <w:pPr>
        <w:pStyle w:val="ListNumber"/>
      </w:pPr>
      <w:r/>
      <w:r>
        <w:rPr>
          <w:b/>
        </w:rPr>
        <w:t>Show citation scoring.</w:t>
      </w:r>
      <w:r>
        <w:t xml:space="preserve"> Each retrieved passage has a relevance score. Explain</w:t>
      </w:r>
    </w:p>
    <w:p>
      <w:r>
        <w:t>that the system uses BGE-small-en-v1.5 embeddings (384-dimensional vectors) to</w:t>
      </w:r>
    </w:p>
    <w:p>
      <w:r>
        <w:t>compute semantic similarity.</w:t>
      </w:r>
    </w:p>
    <w:p>
      <w:pPr>
        <w:pStyle w:val="ListNumber"/>
      </w:pPr>
      <w:r/>
      <w:r>
        <w:rPr>
          <w:b/>
        </w:rPr>
        <w:t>Demonstrate comparative analysis.</w:t>
      </w:r>
      <w:r>
        <w:t xml:space="preserve"> Select two biomarkers and run a comparative</w:t>
      </w:r>
    </w:p>
    <w:p>
      <w:r>
        <w:t>query to show how the system synthesizes evidence across multiple collections.</w:t>
      </w:r>
    </w:p>
    <w:p>
      <w:r>
        <w:t xml:space="preserve">&gt; </w:t>
      </w:r>
      <w:r>
        <w:rPr>
          <w:i/>
        </w:rPr>
        <w:t>Talking point:</w:t>
      </w:r>
      <w:r>
        <w:t xml:space="preserve"> "The RAG engine searches across 14 vector collections</w:t>
      </w:r>
    </w:p>
    <w:p>
      <w:r>
        <w:t>&gt; simultaneously. Each collection is embedded with BGE-small-en-v1.5, a compact</w:t>
      </w:r>
    </w:p>
    <w:p>
      <w:r>
        <w:t>&gt; but high-quality biomedical embedding model. The 384-dimensional vectors give</w:t>
      </w:r>
    </w:p>
    <w:p>
      <w:r>
        <w:t>&gt; us fast retrieval without sacrificing semantic precision."</w:t>
      </w:r>
    </w:p>
    <w:p>
      <w:pPr>
        <w:pStyle w:val="ListNumber"/>
      </w:pPr>
      <w:r/>
      <w:r>
        <w:rPr>
          <w:b/>
        </w:rPr>
        <w:t>Show how evidence links back to patient context.</w:t>
      </w:r>
      <w:r>
        <w:t xml:space="preserve"> Click on a retrieved passage</w:t>
      </w:r>
    </w:p>
    <w:p>
      <w:r>
        <w:t>to see how the system connects the evidence to the specific patient's biomarker</w:t>
      </w:r>
    </w:p>
    <w:p>
      <w:r>
        <w:t>values and genotype.</w:t>
      </w:r>
    </w:p>
    <w:p>
      <w:r>
        <w:t>____________________________________________________________</w:t>
      </w:r>
    </w:p>
    <w:p>
      <w:pPr>
        <w:pStyle w:val="Heading3"/>
      </w:pPr>
      <w:r>
        <w:t>Tab 6: Reports</w:t>
      </w:r>
    </w:p>
    <w:p>
      <w:r/>
      <w:r>
        <w:rPr>
          <w:b/>
        </w:rPr>
        <w:t>Purpose:</w:t>
      </w:r>
      <w:r>
        <w:t xml:space="preserve"> Generate and export a comprehensive clinical report.</w:t>
      </w:r>
    </w:p>
    <w:p>
      <w:r/>
      <w:r>
        <w:rPr>
          <w:b/>
        </w:rPr>
        <w:t>Steps:</w:t>
      </w:r>
      <w:r/>
    </w:p>
    <w:p>
      <w:pPr>
        <w:pStyle w:val="ListNumber"/>
      </w:pPr>
      <w:r/>
      <w:r>
        <w:rPr>
          <w:b/>
        </w:rPr>
        <w:t>Trigger report generation.</w:t>
      </w:r>
      <w:r>
        <w:t xml:space="preserve"> Click "Generate Report" for Patient 1. The system</w:t>
      </w:r>
    </w:p>
    <w:p>
      <w:r>
        <w:t>compiles a 12-section clinical report: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#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Section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Patient Demographics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Executive Summary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Biomarker Analysis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Critical Values &amp; Alerts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Genotype Adjustments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6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Biological Age Assessment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7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Disease Risk Trajectories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8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Pharmacogenomic Profile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9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Drug Interaction Analysis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10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Evidence Summary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11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Recommendations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12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Appendix (Raw Data &amp; Methods)</w:t>
            </w:r>
          </w:p>
        </w:tc>
      </w:tr>
    </w:tbl>
    <w:p>
      <w:pPr>
        <w:pStyle w:val="ListNumber"/>
      </w:pPr>
      <w:r/>
      <w:r>
        <w:rPr>
          <w:b/>
        </w:rPr>
        <w:t>Walk through the executive summary.</w:t>
      </w:r>
      <w:r>
        <w:t xml:space="preserve"> This section distills the entire analysis</w:t>
      </w:r>
    </w:p>
    <w:p>
      <w:r>
        <w:t>into 3--5 key findings with clinical priority rankings.</w:t>
      </w:r>
    </w:p>
    <w:p>
      <w:pPr>
        <w:pStyle w:val="ListNumber"/>
      </w:pPr>
      <w:r/>
      <w:r>
        <w:rPr>
          <w:b/>
        </w:rPr>
        <w:t>Show PDF export.</w:t>
      </w:r>
      <w:r>
        <w:t xml:space="preserve"> Click "Export PDF" to generate a formatted clinical document</w:t>
      </w:r>
    </w:p>
    <w:p>
      <w:r>
        <w:t>suitable for EHR attachment or patient handoff.</w:t>
      </w:r>
    </w:p>
    <w:p>
      <w:pPr>
        <w:pStyle w:val="ListNumber"/>
      </w:pPr>
      <w:r/>
      <w:r>
        <w:rPr>
          <w:b/>
        </w:rPr>
        <w:t>Demonstrate FHIR R4 bundle export.</w:t>
      </w:r>
      <w:r>
        <w:t xml:space="preserve"> Click "Export FHIR" to generate a standards-</w:t>
      </w:r>
    </w:p>
    <w:p>
      <w:r>
        <w:t>compliant FHIR R4 Bundle resource containing:</w:t>
      </w:r>
    </w:p>
    <w:p>
      <w:pPr>
        <w:pStyle w:val="ListBullet"/>
        <w:ind w:left="1077"/>
      </w:pPr>
      <w:r>
        <w:t>Patient resource</w:t>
      </w:r>
    </w:p>
    <w:p>
      <w:pPr>
        <w:pStyle w:val="ListBullet"/>
        <w:ind w:left="1077"/>
      </w:pPr>
      <w:r>
        <w:t>Observation resources (one per biomarker)</w:t>
      </w:r>
    </w:p>
    <w:p>
      <w:pPr>
        <w:pStyle w:val="ListBullet"/>
        <w:ind w:left="1077"/>
      </w:pPr>
      <w:r>
        <w:t>DiagnosticReport resource</w:t>
      </w:r>
    </w:p>
    <w:p>
      <w:pPr>
        <w:pStyle w:val="ListBullet"/>
        <w:ind w:left="1077"/>
      </w:pPr>
      <w:r>
        <w:t>MedicationStatement resources</w:t>
      </w:r>
    </w:p>
    <w:p>
      <w:r>
        <w:t xml:space="preserve">&gt; </w:t>
      </w:r>
      <w:r>
        <w:rPr>
          <w:i/>
        </w:rPr>
        <w:t>Talking point:</w:t>
      </w:r>
      <w:r>
        <w:t xml:space="preserve"> "The FHIR R4 bundle means this report can be ingested directly</w:t>
      </w:r>
    </w:p>
    <w:p>
      <w:r>
        <w:t>&gt; by any FHIR-compliant EHR system. We're not generating a PDF that sits in a</w:t>
      </w:r>
    </w:p>
    <w:p>
      <w:r>
        <w:t>&gt; drawer -- we're producing structured, interoperable clinical data."</w:t>
      </w:r>
    </w:p>
    <w:p>
      <w:r>
        <w:t>____________________________________________________________</w:t>
      </w:r>
    </w:p>
    <w:p>
      <w:pPr>
        <w:pStyle w:val="Heading3"/>
      </w:pPr>
      <w:r>
        <w:t>Tab 7: Patient 360</w:t>
      </w:r>
    </w:p>
    <w:p>
      <w:r/>
      <w:r>
        <w:rPr>
          <w:b/>
        </w:rPr>
        <w:t>Purpose:</w:t>
      </w:r>
      <w:r>
        <w:t xml:space="preserve"> Show a unified view that brings together all patient data on a single</w:t>
      </w:r>
    </w:p>
    <w:p>
      <w:r>
        <w:t>screen.</w:t>
      </w:r>
    </w:p>
    <w:p>
      <w:r/>
      <w:r>
        <w:rPr>
          <w:b/>
        </w:rPr>
        <w:t>Steps:</w:t>
      </w:r>
      <w:r/>
    </w:p>
    <w:p>
      <w:pPr>
        <w:pStyle w:val="ListNumber"/>
      </w:pPr>
      <w:r/>
      <w:r>
        <w:rPr>
          <w:b/>
        </w:rPr>
        <w:t>Load the Patient 360 view.</w:t>
      </w:r>
      <w:r>
        <w:t xml:space="preserve"> The dashboard consolidates:</w:t>
      </w:r>
    </w:p>
    <w:p>
      <w:pPr>
        <w:pStyle w:val="ListBullet"/>
        <w:ind w:left="1077"/>
      </w:pPr>
      <w:r>
        <w:t>Biomarker summary with sparkline trends</w:t>
      </w:r>
    </w:p>
    <w:p>
      <w:pPr>
        <w:pStyle w:val="ListBullet"/>
        <w:ind w:left="1077"/>
      </w:pPr>
      <w:r>
        <w:t>Genomic variant highlights (pathogenic/likely pathogenic)</w:t>
      </w:r>
    </w:p>
    <w:p>
      <w:pPr>
        <w:pStyle w:val="ListBullet"/>
        <w:ind w:left="1077"/>
      </w:pPr>
      <w:r>
        <w:t>Active medications with PGx annotations</w:t>
      </w:r>
    </w:p>
    <w:p>
      <w:pPr>
        <w:pStyle w:val="ListBullet"/>
        <w:ind w:left="1077"/>
      </w:pPr>
      <w:r>
        <w:t>Risk factor radar chart (cardiovascular, metabolic, liver, kidney, etc.)</w:t>
      </w:r>
    </w:p>
    <w:p>
      <w:pPr>
        <w:pStyle w:val="ListBullet"/>
        <w:ind w:left="1077"/>
      </w:pPr>
      <w:r>
        <w:t>Biological age gauge</w:t>
      </w:r>
    </w:p>
    <w:p>
      <w:pPr>
        <w:pStyle w:val="ListNumber"/>
      </w:pPr>
      <w:r/>
      <w:r>
        <w:rPr>
          <w:b/>
        </w:rPr>
        <w:t>Demonstrate the integration story.</w:t>
      </w:r>
      <w:r>
        <w:t xml:space="preserve"> Point out how data from every other tab</w:t>
      </w:r>
    </w:p>
    <w:p>
      <w:r>
        <w:t>feeds into this single view.</w:t>
      </w:r>
    </w:p>
    <w:p>
      <w:r>
        <w:t xml:space="preserve">&gt; </w:t>
      </w:r>
      <w:r>
        <w:rPr>
          <w:i/>
        </w:rPr>
        <w:t>Talking point:</w:t>
      </w:r>
      <w:r>
        <w:t xml:space="preserve"> "A clinician has 15 minutes per patient visit. Patient 360</w:t>
      </w:r>
    </w:p>
    <w:p>
      <w:r>
        <w:t>&gt; gives them the full picture without clicking through 8 separate systems. Every</w:t>
      </w:r>
    </w:p>
    <w:p>
      <w:r>
        <w:t>&gt; insight from biomarkers, genomics, PGx, and disease risk is synthesized into</w:t>
      </w:r>
    </w:p>
    <w:p>
      <w:r>
        <w:t>&gt; one actionable view."</w:t>
      </w:r>
    </w:p>
    <w:p>
      <w:pPr>
        <w:pStyle w:val="ListNumber"/>
      </w:pPr>
      <w:r/>
      <w:r>
        <w:rPr>
          <w:b/>
        </w:rPr>
        <w:t>Show drill-down capability.</w:t>
      </w:r>
      <w:r>
        <w:t xml:space="preserve"> Click on any element in the 360 view to navigate</w:t>
      </w:r>
    </w:p>
    <w:p>
      <w:r>
        <w:t>to the detailed tab for that data domain.</w:t>
      </w:r>
    </w:p>
    <w:p>
      <w:pPr>
        <w:pStyle w:val="ListNumber"/>
      </w:pPr>
      <w:r/>
      <w:r>
        <w:rPr>
          <w:b/>
        </w:rPr>
        <w:t>Highlight the risk factor radar chart.</w:t>
      </w:r>
      <w:r>
        <w:t xml:space="preserve"> The radar chart plots relative risk</w:t>
      </w:r>
    </w:p>
    <w:p>
      <w:r>
        <w:t>across all 9 disease categories, making it immediately visible where the patient's</w:t>
      </w:r>
    </w:p>
    <w:p>
      <w:r>
        <w:t>greatest vulnerabilities lie.</w:t>
      </w:r>
    </w:p>
    <w:p>
      <w:r>
        <w:t>____________________________________________________________</w:t>
      </w:r>
    </w:p>
    <w:p>
      <w:pPr>
        <w:pStyle w:val="Heading3"/>
      </w:pPr>
      <w:r>
        <w:t>Tab 8: Longitudinal</w:t>
      </w:r>
    </w:p>
    <w:p>
      <w:r/>
      <w:r>
        <w:rPr>
          <w:b/>
        </w:rPr>
        <w:t>Purpose:</w:t>
      </w:r>
      <w:r>
        <w:t xml:space="preserve"> Demonstrate biomarker trend tracking and rate-of-change analysis over</w:t>
      </w:r>
    </w:p>
    <w:p>
      <w:r>
        <w:t>time.</w:t>
      </w:r>
    </w:p>
    <w:p>
      <w:r/>
      <w:r>
        <w:rPr>
          <w:b/>
        </w:rPr>
        <w:t>Steps:</w:t>
      </w:r>
      <w:r/>
    </w:p>
    <w:p>
      <w:pPr>
        <w:pStyle w:val="ListNumber"/>
      </w:pPr>
      <w:r/>
      <w:r>
        <w:rPr>
          <w:b/>
        </w:rPr>
        <w:t>Select a biomarker for trend analysis.</w:t>
      </w:r>
      <w:r>
        <w:t xml:space="preserve"> Choose HbA1c or LDL cholesterol for</w:t>
      </w:r>
    </w:p>
    <w:p>
      <w:r>
        <w:t>the most visually compelling demo.</w:t>
      </w:r>
    </w:p>
    <w:p>
      <w:pPr>
        <w:pStyle w:val="ListNumber"/>
      </w:pPr>
      <w:r/>
      <w:r>
        <w:rPr>
          <w:b/>
        </w:rPr>
        <w:t>Review the trend chart.</w:t>
      </w:r>
      <w:r>
        <w:t xml:space="preserve"> The system plots historical values with:</w:t>
      </w:r>
    </w:p>
    <w:p>
      <w:pPr>
        <w:pStyle w:val="ListBullet"/>
        <w:ind w:left="1077"/>
      </w:pPr>
      <w:r>
        <w:t>Reference range bands (green/yellow/red zones)</w:t>
      </w:r>
    </w:p>
    <w:p>
      <w:pPr>
        <w:pStyle w:val="ListBullet"/>
        <w:ind w:left="1077"/>
      </w:pPr>
      <w:r>
        <w:t>Genotype-adjusted reference ranges (shifted bands)</w:t>
      </w:r>
    </w:p>
    <w:p>
      <w:pPr>
        <w:pStyle w:val="ListBullet"/>
        <w:ind w:left="1077"/>
      </w:pPr>
      <w:r>
        <w:t>Trend line with confidence interval</w:t>
      </w:r>
    </w:p>
    <w:p>
      <w:pPr>
        <w:pStyle w:val="ListBullet"/>
        <w:ind w:left="1077"/>
      </w:pPr>
      <w:r>
        <w:t>Medication start/stop annotations on the timeline</w:t>
      </w:r>
    </w:p>
    <w:p>
      <w:pPr>
        <w:pStyle w:val="ListNumber"/>
      </w:pPr>
      <w:r/>
      <w:r>
        <w:rPr>
          <w:b/>
        </w:rPr>
        <w:t>Show rate-of-change analysis.</w:t>
      </w:r>
      <w:r>
        <w:t xml:space="preserve"> The system calculates:</w:t>
      </w:r>
    </w:p>
    <w:p>
      <w:pPr>
        <w:pStyle w:val="ListBullet"/>
        <w:ind w:left="1077"/>
      </w:pPr>
      <w:r>
        <w:t>Absolute change per unit time</w:t>
      </w:r>
    </w:p>
    <w:p>
      <w:pPr>
        <w:pStyle w:val="ListBullet"/>
        <w:ind w:left="1077"/>
      </w:pPr>
      <w:r>
        <w:t>Percentage change</w:t>
      </w:r>
    </w:p>
    <w:p>
      <w:pPr>
        <w:pStyle w:val="ListBullet"/>
        <w:ind w:left="1077"/>
      </w:pPr>
      <w:r>
        <w:t>Acceleration/deceleration of the trend</w:t>
      </w:r>
    </w:p>
    <w:p>
      <w:pPr>
        <w:pStyle w:val="ListBullet"/>
        <w:ind w:left="1077"/>
      </w:pPr>
      <w:r>
        <w:t>Projected future values (with confidence bands)</w:t>
      </w:r>
    </w:p>
    <w:p>
      <w:pPr>
        <w:pStyle w:val="ListNumber"/>
      </w:pPr>
      <w:r/>
      <w:r>
        <w:rPr>
          <w:b/>
        </w:rPr>
        <w:t>Demonstrate clinical significance detection.</w:t>
      </w:r>
      <w:r>
        <w:t xml:space="preserve"> The system flags when a</w:t>
      </w:r>
    </w:p>
    <w:p>
      <w:r>
        <w:t>rate of change is clinically significant even if the absolute value is still</w:t>
      </w:r>
    </w:p>
    <w:p>
      <w:r>
        <w:t>within the reference range.</w:t>
      </w:r>
    </w:p>
    <w:p>
      <w:r>
        <w:t xml:space="preserve">&gt; </w:t>
      </w:r>
      <w:r>
        <w:rPr>
          <w:i/>
        </w:rPr>
        <w:t>Talking point:</w:t>
      </w:r>
      <w:r>
        <w:t xml:space="preserve"> "A single lab value is a snapshot. Longitudinal tracking turns</w:t>
      </w:r>
    </w:p>
    <w:p>
      <w:r>
        <w:t>&gt; it into a movie. An LDL of 125 is 'normal' -- but if it was 95 six months ago,</w:t>
      </w:r>
    </w:p>
    <w:p>
      <w:r>
        <w:t>&gt; that trajectory matters. Our rate-of-change analysis catches these trends before</w:t>
      </w:r>
    </w:p>
    <w:p>
      <w:r>
        <w:t>&gt; they become clinical events."</w:t>
      </w:r>
    </w:p>
    <w:p>
      <w:r>
        <w:t>____________________________________________________________</w:t>
      </w:r>
    </w:p>
    <w:p>
      <w:pPr>
        <w:pStyle w:val="Heading2"/>
      </w:pPr>
      <w:r>
        <w:t>5. API Demo</w:t>
      </w:r>
    </w:p>
    <w:p>
      <w:r>
        <w:t>For technical audiences, demonstrate the FastAPI backend directly. All endpoints</w:t>
      </w:r>
    </w:p>
    <w:p>
      <w:r>
        <w:t xml:space="preserve">are available at </w:t>
      </w:r>
      <w:r>
        <w:rPr>
          <w:rFonts w:ascii="Consolas" w:hAnsi="Consolas"/>
          <w:color w:val="2E864B"/>
          <w:sz w:val="20"/>
        </w:rPr>
        <w:t>http://localhost:8529</w:t>
      </w:r>
      <w:r>
        <w:t>.</w:t>
      </w:r>
    </w:p>
    <w:p>
      <w:pPr>
        <w:pStyle w:val="Heading3"/>
      </w:pPr>
      <w:r>
        <w:t>5.1 Biomarker Analysis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-s -X POST http://localhost:8529/analyze \</w:t>
        <w:br/>
        <w:t xml:space="preserve">  -H "Content-Type: application/json" \</w:t>
        <w:br/>
        <w:t xml:space="preserve">  -d '{</w:t>
        <w:br/>
        <w:t xml:space="preserve">    "patient_id": "HCLS-BIO-2026-00001",</w:t>
        <w:br/>
        <w:t xml:space="preserve">    "include_genotype_adjustments": true,</w:t>
        <w:br/>
        <w:t xml:space="preserve">    "include_critical_values": true</w:t>
        <w:br/>
        <w:t xml:space="preserve">  }' | python3 -m json.tool</w:t>
      </w:r>
    </w:p>
    <w:p>
      <w:pPr>
        <w:pStyle w:val="Heading3"/>
      </w:pPr>
      <w:r>
        <w:t>5.2 Biological Age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-s -X POST http://localhost:8529/biological-age \</w:t>
        <w:br/>
        <w:t xml:space="preserve">  -H "Content-Type: application/json" \</w:t>
        <w:br/>
        <w:t xml:space="preserve">  -d '{</w:t>
        <w:br/>
        <w:t xml:space="preserve">    "patient_id": "HCLS-BIO-2026-00001",</w:t>
        <w:br/>
        <w:t xml:space="preserve">    "algorithms": ["phenoage", "grimage_surrogate"]</w:t>
        <w:br/>
        <w:t xml:space="preserve">  }' | python3 -m json.tool</w:t>
      </w:r>
    </w:p>
    <w:p>
      <w:pPr>
        <w:pStyle w:val="Heading3"/>
      </w:pPr>
      <w:r>
        <w:t>5.3 Disease Risk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-s -X POST http://localhost:8529/disease-risk \</w:t>
        <w:br/>
        <w:t xml:space="preserve">  -H "Content-Type: application/json" \</w:t>
        <w:br/>
        <w:t xml:space="preserve">  -d '{</w:t>
        <w:br/>
        <w:t xml:space="preserve">    "patient_id": "HCLS-BIO-2026-00001",</w:t>
        <w:br/>
        <w:t xml:space="preserve">    "categories": [</w:t>
        <w:br/>
        <w:t xml:space="preserve">      "cardiovascular",</w:t>
        <w:br/>
        <w:t xml:space="preserve">      "metabolic_diabetes",</w:t>
        <w:br/>
        <w:t xml:space="preserve">      "liver",</w:t>
        <w:br/>
        <w:t xml:space="preserve">      "kidney",</w:t>
        <w:br/>
        <w:t xml:space="preserve">      "thyroid",</w:t>
        <w:br/>
        <w:t xml:space="preserve">      "iron",</w:t>
        <w:br/>
        <w:t xml:space="preserve">      "nutritional",</w:t>
        <w:br/>
        <w:t xml:space="preserve">      "cognitive",</w:t>
        <w:br/>
        <w:t xml:space="preserve">      "inflammatory"</w:t>
        <w:br/>
        <w:t xml:space="preserve">    ],</w:t>
        <w:br/>
        <w:t xml:space="preserve">    "include_medication_context": true</w:t>
        <w:br/>
        <w:t xml:space="preserve">  }' | python3 -m json.tool</w:t>
      </w:r>
    </w:p>
    <w:p>
      <w:pPr>
        <w:pStyle w:val="Heading3"/>
      </w:pPr>
      <w:r>
        <w:t>5.4 Pharmacogenomic Profile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-s -X POST http://localhost:8529/pgx \</w:t>
        <w:br/>
        <w:t xml:space="preserve">  -H "Content-Type: application/json" \</w:t>
        <w:br/>
        <w:t xml:space="preserve">  -d '{</w:t>
        <w:br/>
        <w:t xml:space="preserve">    "patient_id": "HCLS-BIO-2026-00001",</w:t>
        <w:br/>
        <w:t xml:space="preserve">    "genes": [</w:t>
        <w:br/>
        <w:t xml:space="preserve">      "CYP2D6", "CYP2C19", "CYP2C9", "CYP3A5",</w:t>
        <w:br/>
        <w:t xml:space="preserve">      "SLCO1B1", "VKORC1", "MTHFR", "TPMT", "DPYD"</w:t>
        <w:br/>
        <w:t xml:space="preserve">    ],</w:t>
        <w:br/>
        <w:t xml:space="preserve">    "include_cpic_guidance": true</w:t>
        <w:br/>
        <w:t xml:space="preserve">  }' | python3 -m json.tool</w:t>
      </w:r>
    </w:p>
    <w:p>
      <w:pPr>
        <w:pStyle w:val="Heading3"/>
      </w:pPr>
      <w:r>
        <w:t>5.5 Evidence Query (RAG)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-s -X POST http://localhost:8529/query \</w:t>
        <w:br/>
        <w:t xml:space="preserve">  -H "Content-Type: application/json" \</w:t>
        <w:br/>
        <w:t xml:space="preserve">  -d '{</w:t>
        <w:br/>
        <w:t xml:space="preserve">    "question": "What is the clinical significance of SLCO1B1 decreased function for statin therapy?",</w:t>
        <w:br/>
        <w:t xml:space="preserve">    "collections": ["pharmacogenomics", "cardiovascular"],</w:t>
        <w:br/>
        <w:t xml:space="preserve">    "top_k": 5,</w:t>
        <w:br/>
        <w:t xml:space="preserve">    "patient_id": "HCLS-BIO-2026-00001"</w:t>
        <w:br/>
        <w:t xml:space="preserve">  }' | python3 -m json.tool</w:t>
      </w:r>
    </w:p>
    <w:p>
      <w:pPr>
        <w:pStyle w:val="Heading3"/>
      </w:pPr>
      <w:r>
        <w:t>5.6 Interactive API Docs</w:t>
      </w:r>
    </w:p>
    <w:p>
      <w:r>
        <w:t xml:space="preserve">Direct the audience to </w:t>
      </w:r>
      <w:r>
        <w:rPr>
          <w:rFonts w:ascii="Consolas" w:hAnsi="Consolas"/>
          <w:color w:val="2E864B"/>
          <w:sz w:val="20"/>
        </w:rPr>
        <w:t>http://localhost:8529/docs</w:t>
      </w:r>
      <w:r>
        <w:t xml:space="preserve"> for the full Swagger/OpenAPI</w:t>
      </w:r>
    </w:p>
    <w:p>
      <w:r>
        <w:t>interactive documentation.</w:t>
      </w:r>
    </w:p>
    <w:p>
      <w:r>
        <w:t>____________________________________________________________</w:t>
      </w:r>
    </w:p>
    <w:p>
      <w:pPr>
        <w:pStyle w:val="Heading2"/>
      </w:pPr>
      <w:r>
        <w:t>6. Talking Points for Each Feature</w:t>
      </w:r>
    </w:p>
    <w:p>
      <w:pPr>
        <w:pStyle w:val="Heading3"/>
      </w:pPr>
      <w:r>
        <w:t>Biomarker Analysis</w:t>
      </w:r>
    </w:p>
    <w:p>
      <w:pPr>
        <w:pStyle w:val="ListBullet"/>
        <w:ind w:left="720"/>
      </w:pPr>
      <w:r>
        <w:t>"We analyze 67+ biomarkers with genotype-aware reference range adjustments --</w:t>
      </w:r>
    </w:p>
    <w:p>
      <w:r>
        <w:t>something no standard lab report provides."</w:t>
      </w:r>
    </w:p>
    <w:p>
      <w:pPr>
        <w:pStyle w:val="ListBullet"/>
        <w:ind w:left="720"/>
      </w:pPr>
      <w:r>
        <w:t>"Critical value detection with patient-specific context reduces alert fatigue</w:t>
      </w:r>
    </w:p>
    <w:p>
      <w:r>
        <w:t>by filtering out false positives from population-level thresholds."</w:t>
      </w:r>
    </w:p>
    <w:p>
      <w:pPr>
        <w:pStyle w:val="ListBullet"/>
        <w:ind w:left="720"/>
      </w:pPr>
      <w:r>
        <w:t>"Discordance detection catches inconsistencies across related biomarkers that</w:t>
      </w:r>
    </w:p>
    <w:p>
      <w:r>
        <w:t>a single-test view would miss."</w:t>
      </w:r>
    </w:p>
    <w:p>
      <w:pPr>
        <w:pStyle w:val="Heading3"/>
      </w:pPr>
      <w:r>
        <w:t>Biological Age</w:t>
      </w:r>
    </w:p>
    <w:p>
      <w:pPr>
        <w:pStyle w:val="ListBullet"/>
        <w:ind w:left="720"/>
      </w:pPr>
      <w:r>
        <w:t>"PhenoAge distills 9 clinical biomarkers into a single biological age estimate</w:t>
      </w:r>
    </w:p>
    <w:p>
      <w:r>
        <w:t>validated against mortality outcomes in large cohort studies."</w:t>
      </w:r>
    </w:p>
    <w:p>
      <w:pPr>
        <w:pStyle w:val="ListBullet"/>
        <w:ind w:left="720"/>
      </w:pPr>
      <w:r>
        <w:t>"Age acceleration is one of the strongest predictors of all-cause mortality --</w:t>
      </w:r>
    </w:p>
    <w:p>
      <w:r>
        <w:t>stronger than any individual biomarker."</w:t>
      </w:r>
    </w:p>
    <w:p>
      <w:pPr>
        <w:pStyle w:val="ListBullet"/>
        <w:ind w:left="720"/>
      </w:pPr>
      <w:r>
        <w:t>"This gives patients and clinicians a concrete, motivating number: 'You're</w:t>
      </w:r>
    </w:p>
    <w:p>
      <w:r>
        <w:t>biologically 3 years younger than your age -- here's what's driving that.'"</w:t>
      </w:r>
    </w:p>
    <w:p>
      <w:pPr>
        <w:pStyle w:val="Heading3"/>
      </w:pPr>
      <w:r>
        <w:t>Disease Risk</w:t>
      </w:r>
    </w:p>
    <w:p>
      <w:pPr>
        <w:pStyle w:val="ListBullet"/>
        <w:ind w:left="720"/>
      </w:pPr>
      <w:r>
        <w:t>"We model 9 disease trajectory categories, each driven by the biomarkers most</w:t>
      </w:r>
    </w:p>
    <w:p>
      <w:r>
        <w:t>relevant to that organ system."</w:t>
      </w:r>
    </w:p>
    <w:p>
      <w:pPr>
        <w:pStyle w:val="ListBullet"/>
        <w:ind w:left="720"/>
      </w:pPr>
      <w:r>
        <w:t>"Medication context matters: a fasting glucose of 110 in a patient on Metformin</w:t>
      </w:r>
    </w:p>
    <w:p>
      <w:r>
        <w:t>tells a different story than the same value in an untreated patient."</w:t>
      </w:r>
    </w:p>
    <w:p>
      <w:pPr>
        <w:pStyle w:val="ListBullet"/>
        <w:ind w:left="720"/>
      </w:pPr>
      <w:r>
        <w:t>"Sex-specific modeling ensures that hormonal and inflammatory risk factors are</w:t>
      </w:r>
    </w:p>
    <w:p>
      <w:r>
        <w:t>appropriately weighted."</w:t>
      </w:r>
    </w:p>
    <w:p>
      <w:pPr>
        <w:pStyle w:val="Heading3"/>
      </w:pPr>
      <w:r>
        <w:t>PGx Profile</w:t>
      </w:r>
    </w:p>
    <w:p>
      <w:pPr>
        <w:pStyle w:val="ListBullet"/>
        <w:ind w:left="720"/>
      </w:pPr>
      <w:r>
        <w:t>"14 pharmacogenes cover the majority of clinically actionable drug-gene</w:t>
      </w:r>
    </w:p>
    <w:p>
      <w:r>
        <w:t>interactions per CPIC guidelines."</w:t>
      </w:r>
    </w:p>
    <w:p>
      <w:pPr>
        <w:pStyle w:val="ListBullet"/>
        <w:ind w:left="720"/>
      </w:pPr>
      <w:r>
        <w:t>"Star allele calling from real genomic data (HG002 / NA24385) means these are</w:t>
      </w:r>
    </w:p>
    <w:p>
      <w:r>
        <w:t>confirmed variant calls, not imputed from population frequencies."</w:t>
      </w:r>
    </w:p>
    <w:p>
      <w:pPr>
        <w:pStyle w:val="ListBullet"/>
        <w:ind w:left="720"/>
      </w:pPr>
      <w:r>
        <w:t>"The traffic-light dosing system (green/yellow/red) makes PGx actionable for</w:t>
      </w:r>
    </w:p>
    <w:p>
      <w:r>
        <w:t>non-specialist physicians."</w:t>
      </w:r>
    </w:p>
    <w:p>
      <w:pPr>
        <w:pStyle w:val="Heading3"/>
      </w:pPr>
      <w:r>
        <w:t>Evidence Explorer</w:t>
      </w:r>
    </w:p>
    <w:p>
      <w:pPr>
        <w:pStyle w:val="ListBullet"/>
        <w:ind w:left="720"/>
      </w:pPr>
      <w:r>
        <w:t>"RAG search across 14 vector collections provides evidence-backed interpretation,</w:t>
      </w:r>
    </w:p>
    <w:p>
      <w:r>
        <w:t>not just pattern matching."</w:t>
      </w:r>
    </w:p>
    <w:p>
      <w:pPr>
        <w:pStyle w:val="ListBullet"/>
        <w:ind w:left="720"/>
      </w:pPr>
      <w:r>
        <w:t>"BGE-small-en-v1.5 embeddings at 384 dimensions give us biomedically-tuned</w:t>
      </w:r>
    </w:p>
    <w:p>
      <w:r>
        <w:t>semantic search in a compact, fast model."</w:t>
      </w:r>
    </w:p>
    <w:p>
      <w:pPr>
        <w:pStyle w:val="ListBullet"/>
        <w:ind w:left="720"/>
      </w:pPr>
      <w:r>
        <w:t>"Citation scoring lets the clinician assess evidence quality, not just relevance."</w:t>
      </w:r>
    </w:p>
    <w:p>
      <w:pPr>
        <w:pStyle w:val="Heading3"/>
      </w:pPr>
      <w:r>
        <w:t>Reports</w:t>
      </w:r>
    </w:p>
    <w:p>
      <w:pPr>
        <w:pStyle w:val="ListBullet"/>
        <w:ind w:left="720"/>
      </w:pPr>
      <w:r>
        <w:t>"The 12-section clinical report follows a structure that mirrors how clinicians</w:t>
      </w:r>
    </w:p>
    <w:p>
      <w:r>
        <w:t>think: overview first, details on demand, raw data in the appendix."</w:t>
      </w:r>
    </w:p>
    <w:p>
      <w:pPr>
        <w:pStyle w:val="ListBullet"/>
        <w:ind w:left="720"/>
      </w:pPr>
      <w:r>
        <w:t>"PDF export for clinical handoff. FHIR R4 for system integration. Two output</w:t>
      </w:r>
    </w:p>
    <w:p>
      <w:r>
        <w:t>formats, one generation step."</w:t>
      </w:r>
    </w:p>
    <w:p>
      <w:pPr>
        <w:pStyle w:val="ListBullet"/>
        <w:ind w:left="720"/>
      </w:pPr>
      <w:r>
        <w:t>"FHIR R4 compliance means this output can flow directly into Epic, Cerner, or</w:t>
      </w:r>
    </w:p>
    <w:p>
      <w:r>
        <w:t>any standards-compliant EHR."</w:t>
      </w:r>
    </w:p>
    <w:p>
      <w:pPr>
        <w:pStyle w:val="Heading3"/>
      </w:pPr>
      <w:r>
        <w:t>Patient 360</w:t>
      </w:r>
    </w:p>
    <w:p>
      <w:pPr>
        <w:pStyle w:val="ListBullet"/>
        <w:ind w:left="720"/>
      </w:pPr>
      <w:r>
        <w:t>"A 15-minute patient visit demands a single-screen summary. Patient 360 delivers</w:t>
      </w:r>
    </w:p>
    <w:p>
      <w:r>
        <w:t>biomarkers, genomics, medications, and risk in one view."</w:t>
      </w:r>
    </w:p>
    <w:p>
      <w:pPr>
        <w:pStyle w:val="ListBullet"/>
        <w:ind w:left="720"/>
      </w:pPr>
      <w:r>
        <w:t>"The risk radar chart immediately shows where clinical attention should focus."</w:t>
      </w:r>
    </w:p>
    <w:p>
      <w:pPr>
        <w:pStyle w:val="ListBullet"/>
        <w:ind w:left="720"/>
      </w:pPr>
      <w:r>
        <w:t>"Every element is clickable -- drill down into any domain without losing context."</w:t>
      </w:r>
    </w:p>
    <w:p>
      <w:pPr>
        <w:pStyle w:val="Heading3"/>
      </w:pPr>
      <w:r>
        <w:t>Longitudinal</w:t>
      </w:r>
    </w:p>
    <w:p>
      <w:pPr>
        <w:pStyle w:val="ListBullet"/>
        <w:ind w:left="720"/>
      </w:pPr>
      <w:r>
        <w:t>"Rate-of-change analysis catches clinically significant trends while values are</w:t>
      </w:r>
    </w:p>
    <w:p>
      <w:r>
        <w:t>still in the 'normal' range."</w:t>
      </w:r>
    </w:p>
    <w:p>
      <w:pPr>
        <w:pStyle w:val="ListBullet"/>
        <w:ind w:left="720"/>
      </w:pPr>
      <w:r>
        <w:t>"Medication annotations on the timeline show treatment effects -- did the statin</w:t>
      </w:r>
    </w:p>
    <w:p>
      <w:r>
        <w:t>actually bend the LDL curve?"</w:t>
      </w:r>
    </w:p>
    <w:p>
      <w:pPr>
        <w:pStyle w:val="ListBullet"/>
        <w:ind w:left="720"/>
      </w:pPr>
      <w:r>
        <w:t>"Projected values with confidence bands support proactive intervention before</w:t>
      </w:r>
    </w:p>
    <w:p>
      <w:r>
        <w:t>thresholds are crossed."</w:t>
      </w:r>
    </w:p>
    <w:p>
      <w:r>
        <w:t>____________________________________________________________</w:t>
      </w:r>
    </w:p>
    <w:p>
      <w:pPr>
        <w:pStyle w:val="Heading2"/>
      </w:pPr>
      <w:r>
        <w:t>7. Troubleshooting Common Demo Issues</w:t>
      </w:r>
    </w:p>
    <w:p>
      <w:pPr>
        <w:pStyle w:val="Heading3"/>
      </w:pPr>
      <w:r>
        <w:t>7.1 Streamlit UI Not Loading (Port 8528)</w:t>
      </w:r>
    </w:p>
    <w:p>
      <w:r/>
      <w:r>
        <w:rPr>
          <w:b/>
        </w:rPr>
        <w:t>Symptom:</w:t>
      </w:r>
      <w:r>
        <w:t xml:space="preserve"> Browser shows "connection refused" on </w:t>
      </w:r>
      <w:r>
        <w:rPr>
          <w:rFonts w:ascii="Consolas" w:hAnsi="Consolas"/>
          <w:color w:val="2E864B"/>
          <w:sz w:val="20"/>
        </w:rPr>
        <w:t>localhost:8528</w:t>
      </w:r>
      <w:r>
        <w:t>.</w:t>
      </w:r>
    </w:p>
    <w:p>
      <w:r/>
      <w:r>
        <w:rPr>
          <w:b/>
        </w:rPr>
        <w:t>Fix: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Check if Streamlit is running</w:t>
        <w:br/>
        <w:t>lsof -i :8528</w:t>
        <w:br/>
        <w:br/>
        <w:t># Restart Streamlit</w:t>
        <w:br/>
        <w:t>cd /home/adam/projects/hcls-ai-factory/ai_agent_adds/precision_biomarker_agent</w:t>
        <w:br/>
        <w:t>streamlit run app/biomarker_ui.py --server.port 8528</w:t>
      </w:r>
    </w:p>
    <w:p>
      <w:pPr>
        <w:pStyle w:val="Heading3"/>
      </w:pPr>
      <w:r>
        <w:t>7.2 FastAPI Backend Not Responding (Port 8529)</w:t>
      </w:r>
    </w:p>
    <w:p>
      <w:r/>
      <w:r>
        <w:rPr>
          <w:b/>
        </w:rPr>
        <w:t>Symptom:</w:t>
      </w:r>
      <w:r>
        <w:t xml:space="preserve"> API calls return connection errors.</w:t>
      </w:r>
    </w:p>
    <w:p>
      <w:r/>
      <w:r>
        <w:rPr>
          <w:b/>
        </w:rPr>
        <w:t>Fix: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Check if FastAPI is running</w:t>
        <w:br/>
        <w:t>lsof -i :8529</w:t>
        <w:br/>
        <w:br/>
        <w:t># Restart FastAPI</w:t>
        <w:br/>
        <w:t>cd /home/adam/projects/hcls-ai-factory/ai_agent_adds/precision_biomarker_agent</w:t>
        <w:br/>
        <w:t>python -m uvicorn api.main:app --host 0.0.0.0 --port 8529</w:t>
      </w:r>
    </w:p>
    <w:p>
      <w:pPr>
        <w:pStyle w:val="Heading3"/>
      </w:pPr>
      <w:r>
        <w:t>7.3 Milvus Connection Failed</w:t>
      </w:r>
    </w:p>
    <w:p>
      <w:r/>
      <w:r>
        <w:rPr>
          <w:b/>
        </w:rPr>
        <w:t>Symptom:</w:t>
      </w:r>
      <w:r>
        <w:t xml:space="preserve"> Evidence Explorer returns empty results; RAG queries fail.</w:t>
      </w:r>
    </w:p>
    <w:p>
      <w:r/>
      <w:r>
        <w:rPr>
          <w:b/>
        </w:rPr>
        <w:t>Fix: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Check Milvus health</w:t>
        <w:br/>
        <w:t>curl -s http://localhost:9091/healthz</w:t>
        <w:br/>
        <w:br/>
        <w:t># If Milvus is down, restart via Docker Compose (from project root)</w:t>
        <w:br/>
        <w:t>cd /home/adam/projects/hcls-ai-factory</w:t>
        <w:br/>
        <w:t>docker compose -f docker-compose.dgx-spark.yml up -d milvus-standalone etcd minio</w:t>
      </w:r>
    </w:p>
    <w:p>
      <w:pPr>
        <w:pStyle w:val="Heading3"/>
      </w:pPr>
      <w:r>
        <w:t>7.4 ANTHROPIC_API_KEY Not Set</w:t>
      </w:r>
    </w:p>
    <w:p>
      <w:r/>
      <w:r>
        <w:rPr>
          <w:b/>
        </w:rPr>
        <w:t>Symptom:</w:t>
      </w:r>
      <w:r>
        <w:t xml:space="preserve"> Report generation or RAG queries return authentication errors.</w:t>
      </w:r>
    </w:p>
    <w:p>
      <w:r/>
      <w:r>
        <w:rPr>
          <w:b/>
        </w:rPr>
        <w:t>Fix: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Verify the key is set</w:t>
        <w:br/>
        <w:t>echo $ANTHROPIC_API_KEY | head -c 10</w:t>
        <w:br/>
        <w:br/>
        <w:t># If not set, export it</w:t>
        <w:br/>
        <w:t>export ANTHROPIC_API_KEY="sk-ant-..."</w:t>
      </w:r>
    </w:p>
    <w:p>
      <w:pPr>
        <w:pStyle w:val="Heading3"/>
      </w:pPr>
      <w:r>
        <w:t>7.5 Demo Patient Not Found</w:t>
      </w:r>
    </w:p>
    <w:p>
      <w:r/>
      <w:r>
        <w:rPr>
          <w:b/>
        </w:rPr>
        <w:t>Symptom:</w:t>
      </w:r>
      <w:r>
        <w:t xml:space="preserve"> Patient selector dropdown is empty or patient data fails to load.</w:t>
      </w:r>
    </w:p>
    <w:p>
      <w:r/>
      <w:r>
        <w:rPr>
          <w:b/>
        </w:rPr>
        <w:t>Fix: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Verify demo data files exist</w:t>
        <w:br/>
        <w:t>ls /home/adam/projects/hcls-ai-factory/ai_agent_adds/precision_biomarker_agent/data/</w:t>
        <w:br/>
        <w:br/>
        <w:t># If data is missing, reload demo patients</w:t>
        <w:br/>
        <w:t>cd /home/adam/projects/hcls-ai-factory/ai_agent_adds/precision_biomarker_agent</w:t>
        <w:br/>
        <w:t>python scripts/load_demo_data.py</w:t>
      </w:r>
    </w:p>
    <w:p>
      <w:pPr>
        <w:pStyle w:val="Heading3"/>
      </w:pPr>
      <w:r>
        <w:t>7.6 Slow Response Times</w:t>
      </w:r>
    </w:p>
    <w:p>
      <w:r/>
      <w:r>
        <w:rPr>
          <w:b/>
        </w:rPr>
        <w:t>Symptom:</w:t>
      </w:r>
      <w:r>
        <w:t xml:space="preserve"> API calls or UI interactions take more than 10 seconds.</w:t>
      </w:r>
    </w:p>
    <w:p>
      <w:r/>
      <w:r>
        <w:rPr>
          <w:b/>
        </w:rPr>
        <w:t>Fix:</w:t>
      </w:r>
      <w:r/>
    </w:p>
    <w:p>
      <w:pPr>
        <w:pStyle w:val="ListBullet"/>
        <w:ind w:left="720"/>
      </w:pPr>
      <w:r>
        <w:t xml:space="preserve">Check GPU utilization: </w:t>
      </w:r>
      <w:r>
        <w:rPr>
          <w:rFonts w:ascii="Consolas" w:hAnsi="Consolas"/>
          <w:color w:val="2E864B"/>
          <w:sz w:val="20"/>
        </w:rPr>
        <w:t>nvidia-smi</w:t>
      </w:r>
      <w:r/>
    </w:p>
    <w:p>
      <w:pPr>
        <w:pStyle w:val="ListBullet"/>
        <w:ind w:left="720"/>
      </w:pPr>
      <w:r>
        <w:t>Check Milvus collection load status (collections may need to be loaded into memory)</w:t>
      </w:r>
    </w:p>
    <w:p>
      <w:pPr>
        <w:pStyle w:val="ListBullet"/>
        <w:ind w:left="720"/>
      </w:pPr>
      <w:r>
        <w:t>Verify no competing workloads on the DGX Spark</w:t>
      </w:r>
    </w:p>
    <w:p>
      <w:pPr>
        <w:pStyle w:val="Heading3"/>
      </w:pPr>
      <w:r>
        <w:t>7.7 PDF Export Fails</w:t>
      </w:r>
    </w:p>
    <w:p>
      <w:r/>
      <w:r>
        <w:rPr>
          <w:b/>
        </w:rPr>
        <w:t>Symptom:</w:t>
      </w:r>
      <w:r>
        <w:t xml:space="preserve"> "Export PDF" button produces an error or empty file.</w:t>
      </w:r>
    </w:p>
    <w:p>
      <w:r/>
      <w:r>
        <w:rPr>
          <w:b/>
        </w:rPr>
        <w:t>Fix: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# Ensure WeasyPrint or report dependencies are installed</w:t>
        <w:br/>
        <w:t>pip install weasyprint</w:t>
        <w:br/>
        <w:br/>
        <w:t># Check write permissions on the output directory</w:t>
        <w:br/>
        <w:t>ls -la /tmp/biomarker_reports/</w:t>
      </w:r>
    </w:p>
    <w:p>
      <w:pPr>
        <w:pStyle w:val="Heading3"/>
      </w:pPr>
      <w:r>
        <w:t>7.8 FHIR Export Validation Errors</w:t>
      </w:r>
    </w:p>
    <w:p>
      <w:r/>
      <w:r>
        <w:rPr>
          <w:b/>
        </w:rPr>
        <w:t>Symptom:</w:t>
      </w:r>
      <w:r>
        <w:t xml:space="preserve"> FHIR R4 bundle fails validation in external tools.</w:t>
      </w:r>
    </w:p>
    <w:p>
      <w:r/>
      <w:r>
        <w:rPr>
          <w:b/>
        </w:rPr>
        <w:t>Fix:</w:t>
      </w:r>
      <w:r/>
    </w:p>
    <w:p>
      <w:pPr>
        <w:pStyle w:val="ListBullet"/>
        <w:ind w:left="720"/>
      </w:pPr>
      <w:r>
        <w:t xml:space="preserve">Ensure the FHIR export uses the </w:t>
      </w:r>
      <w:r>
        <w:rPr>
          <w:rFonts w:ascii="Consolas" w:hAnsi="Consolas"/>
          <w:color w:val="2E864B"/>
          <w:sz w:val="20"/>
        </w:rPr>
        <w:t>fhir.resources</w:t>
      </w:r>
      <w:r>
        <w:t xml:space="preserve"> library for validation</w:t>
      </w:r>
    </w:p>
    <w:p>
      <w:pPr>
        <w:pStyle w:val="ListBullet"/>
        <w:ind w:left="720"/>
      </w:pPr>
      <w:r>
        <w:t>Check that all required FHIR resource fields are populated</w:t>
      </w:r>
    </w:p>
    <w:p>
      <w:pPr>
        <w:pStyle w:val="ListBullet"/>
        <w:ind w:left="720"/>
      </w:pPr>
      <w:r>
        <w:t xml:space="preserve">Validate the bundle at </w:t>
      </w:r>
      <w:r>
        <w:rPr>
          <w:rFonts w:ascii="Consolas" w:hAnsi="Consolas"/>
          <w:color w:val="2E864B"/>
          <w:sz w:val="20"/>
        </w:rPr>
        <w:t>https://inferno.healthit.gov/validator</w:t>
      </w:r>
      <w:r/>
    </w:p>
    <w:p>
      <w:r>
        <w:t>____________________________________________________________</w:t>
      </w:r>
    </w:p>
    <w:p>
      <w:pPr>
        <w:pStyle w:val="Heading2"/>
      </w:pPr>
      <w:r>
        <w:t>Appendix: Quick Reference</w:t>
      </w:r>
    </w:p>
    <w:p>
      <w:pPr>
        <w:pStyle w:val="Heading3"/>
      </w:pPr>
      <w:r>
        <w:t>Key Stats for Slides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Biomarkers analyzed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67+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Vector collections (RAG)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14 (13 biomarker + 1 genomic)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Pharmacogenes profiled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Disease trajectory categories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Report sections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Embedding model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BGE-small-en-v1.5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Embedding dimensions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384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Test suite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709 tests, all passing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Streamlit UI port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8528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FastAPI backend port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8529</w:t>
            </w:r>
          </w:p>
        </w:tc>
      </w:tr>
    </w:tbl>
    <w:p>
      <w:pPr>
        <w:pStyle w:val="Heading3"/>
      </w:pPr>
      <w:r>
        <w:t>Recommended Demo Script 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Segment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Introduction &amp; context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Tab 1: Biomarker Analysis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3 min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Tab 2: Biological Age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Tab 3: Disease Risk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Tab 4: PGx Profile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3 min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Tab 5: Evidence Explorer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Tab 6: Reports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Tab 7: Patient 360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Tab 8: Longitudinal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2 min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API Demo (optional)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3 min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Q&amp;A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**Total**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**~25 min (20 min without API/Q&amp;A)**</w:t>
            </w:r>
          </w:p>
        </w:tc>
      </w:tr>
    </w:tbl>
    <w:p>
      <w:r>
        <w:t>____________________________________________________________</w:t>
      </w:r>
    </w:p>
    <w:p>
      <w:r>
        <w:t>*This guide accompanies the Precision Biomarker Intelligence Agent, part of the</w:t>
      </w:r>
    </w:p>
    <w:p>
      <w:r>
        <w:t>HCLS AI Factory platform. For architecture documentation, see the main project</w:t>
      </w:r>
    </w:p>
    <w:p>
      <w:r>
        <w:t>README. For deployment instructions, see the Dockerfile and docker-compose.yml</w:t>
      </w:r>
    </w:p>
    <w:p>
      <w:r>
        <w:t>in the agent root directory.*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773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7733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77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