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Learning Guide -- Foundations for the Precision Biomarker Intelligence Agent</w:t>
      </w:r>
    </w:p>
    <w:p>
      <w:r/>
      <w:r>
        <w:rPr>
          <w:b/>
        </w:rPr>
        <w:t>Author:</w:t>
      </w:r>
      <w:r>
        <w:t xml:space="preserve"> Adam Jones</w:t>
      </w:r>
    </w:p>
    <w:p>
      <w:r/>
      <w:r>
        <w:rPr>
          <w:b/>
        </w:rPr>
        <w:t>Date:</w:t>
      </w:r>
      <w:r>
        <w:t xml:space="preserve"> March 2026</w:t>
      </w:r>
    </w:p>
    <w:p>
      <w:r/>
      <w:r>
        <w:rPr>
          <w:b/>
        </w:rPr>
        <w:t>Version:</w:t>
      </w:r>
      <w:r>
        <w:t xml:space="preserve"> 1.0</w:t>
      </w:r>
    </w:p>
    <w:p>
      <w:r>
        <w:t>____________________________________________________________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[Welcome](#chapter-1-welcome)</w:t>
      </w:r>
    </w:p>
    <w:p>
      <w:pPr>
        <w:pStyle w:val="ListNumber"/>
      </w:pPr>
      <w:r>
        <w:t>[What Are Biomarkers?](#chapter-2-what-are-biomarkers)</w:t>
      </w:r>
    </w:p>
    <w:p>
      <w:pPr>
        <w:pStyle w:val="ListNumber"/>
      </w:pPr>
      <w:r>
        <w:t>[The Data Challenge](#chapter-3-the-data-challenge)</w:t>
      </w:r>
    </w:p>
    <w:p>
      <w:pPr>
        <w:pStyle w:val="ListNumber"/>
      </w:pPr>
      <w:r>
        <w:t>[What Is RAG?](#chapter-4-what-is-rag)</w:t>
      </w:r>
    </w:p>
    <w:p>
      <w:pPr>
        <w:pStyle w:val="ListNumber"/>
      </w:pPr>
      <w:r>
        <w:t>[System Overview](#chapter-5-system-overview)</w:t>
      </w:r>
    </w:p>
    <w:p>
      <w:pPr>
        <w:pStyle w:val="ListNumber"/>
      </w:pPr>
      <w:r>
        <w:t>[Your First Query](#chapter-6-your-first-query)</w:t>
      </w:r>
    </w:p>
    <w:p>
      <w:pPr>
        <w:pStyle w:val="ListNumber"/>
      </w:pPr>
      <w:r>
        <w:t>[Understanding Collections](#chapter-7-understanding-collections)</w:t>
      </w:r>
    </w:p>
    <w:p>
      <w:pPr>
        <w:pStyle w:val="ListNumber"/>
      </w:pPr>
      <w:r>
        <w:t>[The Knowledge Graph](#chapter-8-the-knowledge-graph)</w:t>
      </w:r>
    </w:p>
    <w:p>
      <w:pPr>
        <w:pStyle w:val="ListNumber"/>
      </w:pPr>
      <w:r>
        <w:t>[Pharmacogenomics Explained](#chapter-9-pharmacogenomics-explained)</w:t>
      </w:r>
    </w:p>
    <w:p>
      <w:pPr>
        <w:pStyle w:val="ListNumber"/>
      </w:pPr>
      <w:r>
        <w:t>[Setting Up Locally](#chapter-10-setting-up-locally)</w:t>
      </w:r>
    </w:p>
    <w:p>
      <w:pPr>
        <w:pStyle w:val="ListNumber"/>
      </w:pPr>
      <w:r>
        <w:t>[Exploring the API](#chapter-11-exploring-the-api)</w:t>
      </w:r>
    </w:p>
    <w:p>
      <w:pPr>
        <w:pStyle w:val="ListNumber"/>
      </w:pPr>
      <w:r>
        <w:t>[Understanding the Codebase](#chapter-12-understanding-the-codebase)</w:t>
      </w:r>
    </w:p>
    <w:p>
      <w:pPr>
        <w:pStyle w:val="ListNumber"/>
      </w:pPr>
      <w:r>
        <w:t>[Next Steps](#chapter-13-next-steps)</w:t>
      </w:r>
    </w:p>
    <w:p>
      <w:pPr>
        <w:pStyle w:val="ListNumber"/>
      </w:pPr>
      <w:r>
        <w:t>[Glossary](#chapter-14-glossary)</w:t>
      </w:r>
    </w:p>
    <w:p>
      <w:r>
        <w:t>____________________________________________________________</w:t>
      </w:r>
    </w:p>
    <w:p>
      <w:pPr>
        <w:pStyle w:val="Heading2"/>
      </w:pPr>
      <w:r>
        <w:t>Chapter 1: Welcome</w:t>
      </w:r>
    </w:p>
    <w:p>
      <w:pPr>
        <w:pStyle w:val="Heading3"/>
      </w:pPr>
      <w:r>
        <w:t>Who This Guide Is For</w:t>
      </w:r>
    </w:p>
    <w:p>
      <w:r>
        <w:t>This guide is written for developers, data scientists, bioinformaticians, and</w:t>
      </w:r>
    </w:p>
    <w:p>
      <w:r>
        <w:t>anyone curious about how software can transform raw blood work and genetic data</w:t>
      </w:r>
    </w:p>
    <w:p>
      <w:r>
        <w:t>into actionable health intelligence. You do not need a medical degree to follow</w:t>
      </w:r>
    </w:p>
    <w:p>
      <w:r>
        <w:t>along. You do not need to be a machine-learning expert. If you can read Python</w:t>
      </w:r>
    </w:p>
    <w:p>
      <w:r>
        <w:t>and have used a REST API before, you have everything you need.</w:t>
      </w:r>
    </w:p>
    <w:p>
      <w:r>
        <w:t>The Precision Biomarker Intelligence Agent is one of five intelligence agents in</w:t>
      </w:r>
    </w:p>
    <w:p>
      <w:r>
        <w:t>the HCLS AI Factory platform. It sits between the Genomics Pipeline (which turns</w:t>
      </w:r>
    </w:p>
    <w:p>
      <w:r>
        <w:t>raw DNA sequencing into variant calls) and the Drug Discovery Pipeline (which</w:t>
      </w:r>
    </w:p>
    <w:p>
      <w:r>
        <w:t>finds candidate molecules). Its job: take a patient's biomarker values and</w:t>
      </w:r>
    </w:p>
    <w:p>
      <w:r>
        <w:t>genetic variants and produce a comprehensive, evidence-grounded health</w:t>
      </w:r>
    </w:p>
    <w:p>
      <w:r>
        <w:t>intelligence report in seconds.</w:t>
      </w:r>
    </w:p>
    <w:p>
      <w:pPr>
        <w:pStyle w:val="Heading3"/>
      </w:pPr>
      <w:r>
        <w:t>What You Will Learn</w:t>
      </w:r>
    </w:p>
    <w:p>
      <w:r>
        <w:t>By the end of this guide you will understand:</w:t>
      </w:r>
    </w:p>
    <w:p>
      <w:pPr>
        <w:pStyle w:val="ListBullet"/>
        <w:ind w:left="720"/>
      </w:pPr>
      <w:r>
        <w:t>What biomarkers are and why they matter for precision health.</w:t>
      </w:r>
    </w:p>
    <w:p>
      <w:pPr>
        <w:pStyle w:val="ListBullet"/>
        <w:ind w:left="720"/>
      </w:pPr>
      <w:r>
        <w:t>Why population-average reference ranges are insufficient for individual care.</w:t>
      </w:r>
    </w:p>
    <w:p>
      <w:pPr>
        <w:pStyle w:val="ListBullet"/>
        <w:ind w:left="720"/>
      </w:pPr>
      <w:r>
        <w:t>How Retrieval-Augmented Generation (RAG) works and why it matters here.</w:t>
      </w:r>
    </w:p>
    <w:p>
      <w:pPr>
        <w:pStyle w:val="ListBullet"/>
        <w:ind w:left="720"/>
      </w:pPr>
      <w:r>
        <w:t>The architecture of the Biomarker Intelligence Agent -- its 14 vector</w:t>
      </w:r>
    </w:p>
    <w:p>
      <w:r>
        <w:t>collections, 4 analysis modules, and the plan-analyze-search-synthesize</w:t>
      </w:r>
    </w:p>
    <w:p>
      <w:r>
        <w:t>pipeline.</w:t>
      </w:r>
    </w:p>
    <w:p>
      <w:pPr>
        <w:pStyle w:val="ListBullet"/>
        <w:ind w:left="720"/>
      </w:pPr>
      <w:r>
        <w:t>How to run your first query through the Streamlit UI.</w:t>
      </w:r>
    </w:p>
    <w:p>
      <w:pPr>
        <w:pStyle w:val="ListBullet"/>
        <w:ind w:left="720"/>
      </w:pPr>
      <w:r>
        <w:t>Every collection in the system and what its fields represent.</w:t>
      </w:r>
    </w:p>
    <w:p>
      <w:pPr>
        <w:pStyle w:val="ListBullet"/>
        <w:ind w:left="720"/>
      </w:pPr>
      <w:r>
        <w:t>The knowledge graph that powers domain reasoning.</w:t>
      </w:r>
    </w:p>
    <w:p>
      <w:pPr>
        <w:pStyle w:val="ListBullet"/>
        <w:ind w:left="720"/>
      </w:pPr>
      <w:r>
        <w:t>Pharmacogenomics: star alleles, metabolizer phenotypes, and CPIC guidelines.</w:t>
      </w:r>
    </w:p>
    <w:p>
      <w:pPr>
        <w:pStyle w:val="ListBullet"/>
        <w:ind w:left="720"/>
      </w:pPr>
      <w:r>
        <w:t>How to set up the system locally with Docker.</w:t>
      </w:r>
    </w:p>
    <w:p>
      <w:pPr>
        <w:pStyle w:val="ListBullet"/>
        <w:ind w:left="720"/>
      </w:pPr>
      <w:r>
        <w:t>How to explore the REST API with curl.</w:t>
      </w:r>
    </w:p>
    <w:p>
      <w:pPr>
        <w:pStyle w:val="ListBullet"/>
        <w:ind w:left="720"/>
      </w:pPr>
      <w:r>
        <w:t>The complete project structure, file by file.</w:t>
      </w:r>
    </w:p>
    <w:p>
      <w:pPr>
        <w:pStyle w:val="Heading3"/>
      </w:pPr>
      <w:r>
        <w:t>Prerequisites</w:t>
      </w:r>
    </w:p>
    <w:p>
      <w:pPr>
        <w:pStyle w:val="ListBullet"/>
        <w:ind w:left="720"/>
      </w:pPr>
      <w:r>
        <w:t>Python 3.10+** -- You should be comfortable reading Python code.</w:t>
      </w:r>
    </w:p>
    <w:p>
      <w:pPr>
        <w:pStyle w:val="ListBullet"/>
        <w:ind w:left="720"/>
      </w:pPr>
      <w:r>
        <w:t>Docker and Docker Compose** -- For running Milvus and the application stack.</w:t>
      </w:r>
    </w:p>
    <w:p>
      <w:pPr>
        <w:pStyle w:val="ListBullet"/>
        <w:ind w:left="720"/>
      </w:pPr>
      <w:r>
        <w:t>Basic command-line skills** -- curl, environment variables, port management.</w:t>
      </w:r>
    </w:p>
    <w:p>
      <w:pPr>
        <w:pStyle w:val="ListBullet"/>
        <w:ind w:left="720"/>
      </w:pPr>
      <w:r>
        <w:t>Curiosity** -- The most important prerequisite. Biomarker science is deep,</w:t>
      </w:r>
    </w:p>
    <w:p>
      <w:r>
        <w:t>and this guide will give you footholds, not final answers.</w:t>
      </w:r>
    </w:p>
    <w:p>
      <w:r>
        <w:t>No prior knowledge of biology, genetics, or clinical laboratory science is</w:t>
      </w:r>
    </w:p>
    <w:p>
      <w:r>
        <w:t>required. Every domain term is explained when first introduced and collected in</w:t>
      </w:r>
    </w:p>
    <w:p>
      <w:r>
        <w:t>the Glossary at the end.</w:t>
      </w:r>
    </w:p>
    <w:p>
      <w:r>
        <w:t>____________________________________________________________</w:t>
      </w:r>
    </w:p>
    <w:p>
      <w:pPr>
        <w:pStyle w:val="Heading2"/>
      </w:pPr>
      <w:r>
        <w:t>Chapter 2: What Are Biomarkers?</w:t>
      </w:r>
    </w:p>
    <w:p>
      <w:r>
        <w:t xml:space="preserve">A </w:t>
      </w:r>
      <w:r>
        <w:rPr>
          <w:b/>
        </w:rPr>
        <w:t>biomarker</w:t>
      </w:r>
      <w:r>
        <w:t xml:space="preserve"> is any measurable substance in your body that indicates</w:t>
      </w:r>
    </w:p>
    <w:p>
      <w:r>
        <w:t>something about your health. When a doctor orders blood work, every number on</w:t>
      </w:r>
    </w:p>
    <w:p>
      <w:r>
        <w:t>that report is a biomarker. They are the quantitative language of medicine.</w:t>
      </w:r>
    </w:p>
    <w:p>
      <w:pPr>
        <w:pStyle w:val="Heading3"/>
      </w:pPr>
      <w:r>
        <w:t>Five Categories of Biomarkers</w:t>
      </w:r>
    </w:p>
    <w:p>
      <w:r>
        <w:t>Biomarkers span a wide range of body systems. This agent organizes them into</w:t>
      </w:r>
    </w:p>
    <w:p>
      <w:r>
        <w:t>five broad categories:</w:t>
      </w:r>
    </w:p>
    <w:p>
      <w:r/>
      <w:r>
        <w:rPr>
          <w:b/>
        </w:rPr>
        <w:t>1. Metabolic Biomarkers</w:t>
      </w:r>
      <w:r/>
    </w:p>
    <w:p>
      <w:r>
        <w:t>These track how your body processes energy. They include fasting glucose (how</w:t>
      </w:r>
    </w:p>
    <w:p>
      <w:r>
        <w:t>much sugar is in your blood after an overnight fast), HbA1c (a three-month</w:t>
      </w:r>
    </w:p>
    <w:p>
      <w:r>
        <w:t>average of blood sugar), insulin, and HOMA-IR (a calculated index of insulin</w:t>
      </w:r>
    </w:p>
    <w:p>
      <w:r>
        <w:t>resistance). A fasting glucose of 100 mg/dL is normal. At 126 mg/dL, it</w:t>
      </w:r>
    </w:p>
    <w:p>
      <w:r>
        <w:t>indicates diabetes. The numbers in between -- the "pre-diabetes" zone -- are</w:t>
      </w:r>
    </w:p>
    <w:p>
      <w:r>
        <w:t>where early detection saves lives.</w:t>
      </w:r>
    </w:p>
    <w:p>
      <w:r/>
      <w:r>
        <w:rPr>
          <w:b/>
        </w:rPr>
        <w:t>2. Hematologic Biomarkers</w:t>
      </w:r>
      <w:r/>
    </w:p>
    <w:p>
      <w:r>
        <w:t>These describe the cellular composition of your blood. A complete blood count</w:t>
      </w:r>
    </w:p>
    <w:p>
      <w:r>
        <w:t>(CBC) measures white blood cells (WBC), red blood cell width (RDW), mean</w:t>
      </w:r>
    </w:p>
    <w:p>
      <w:r>
        <w:t>corpuscular volume (MCV), lymphocyte percentage, and hemoglobin. These markers</w:t>
      </w:r>
    </w:p>
    <w:p>
      <w:r>
        <w:t>appear in both infection detection and -- perhaps surprisingly -- biological age</w:t>
      </w:r>
    </w:p>
    <w:p>
      <w:r>
        <w:t>estimation. The PhenoAge clock uses WBC, RDW, MCV, and lymphocyte percentage as</w:t>
      </w:r>
    </w:p>
    <w:p>
      <w:r>
        <w:t>inputs.</w:t>
      </w:r>
    </w:p>
    <w:p>
      <w:r/>
      <w:r>
        <w:rPr>
          <w:b/>
        </w:rPr>
        <w:t>3. Hormonal Biomarkers</w:t>
      </w:r>
      <w:r/>
    </w:p>
    <w:p>
      <w:r>
        <w:t>Hormones are chemical messengers. Thyroid-stimulating hormone (TSH), free T3,</w:t>
      </w:r>
    </w:p>
    <w:p>
      <w:r>
        <w:t>and free T4 regulate metabolism. Insulin and leptin regulate appetite and energy</w:t>
      </w:r>
    </w:p>
    <w:p>
      <w:r>
        <w:t>storage. Cortisol tracks stress. These biomarkers often have complex feedback</w:t>
      </w:r>
    </w:p>
    <w:p>
      <w:r>
        <w:t>loops -- a high TSH with a low free T4 suggests hypothyroidism, but interpreting</w:t>
      </w:r>
    </w:p>
    <w:p>
      <w:r>
        <w:t>TSH alone without the T4 can be misleading. This is why the agent has a</w:t>
      </w:r>
    </w:p>
    <w:p>
      <w:r>
        <w:t>dedicated discordance detection module.</w:t>
      </w:r>
    </w:p>
    <w:p>
      <w:r/>
      <w:r>
        <w:rPr>
          <w:b/>
        </w:rPr>
        <w:t>4. Inflammatory Biomarkers</w:t>
      </w:r>
      <w:r/>
    </w:p>
    <w:p>
      <w:r>
        <w:t>Chronic inflammation underlies many diseases long before symptoms appear.</w:t>
      </w:r>
    </w:p>
    <w:p>
      <w:r>
        <w:t>High-sensitivity C-reactive protein (hs-CRP) is the most widely used marker.</w:t>
      </w:r>
    </w:p>
    <w:p>
      <w:r>
        <w:t>Elevated hs-CRP increases cardiovascular risk. Homocysteine, linked to MTHFR</w:t>
      </w:r>
    </w:p>
    <w:p>
      <w:r>
        <w:t>gene variants, is both an inflammatory and cardiovascular marker. Ferritin, an</w:t>
      </w:r>
    </w:p>
    <w:p>
      <w:r>
        <w:t>iron storage protein, rises with inflammation even when iron stores are normal,</w:t>
      </w:r>
    </w:p>
    <w:p>
      <w:r>
        <w:t>making interpretation genotype-dependent.</w:t>
      </w:r>
    </w:p>
    <w:p>
      <w:r/>
      <w:r>
        <w:rPr>
          <w:b/>
        </w:rPr>
        <w:t>5. Genetic Biomarkers</w:t>
      </w:r>
      <w:r/>
    </w:p>
    <w:p>
      <w:r>
        <w:t>These are not measured from blood chemistry but from DNA. A single-nucleotide</w:t>
      </w:r>
    </w:p>
    <w:p>
      <w:r>
        <w:t>polymorphism (SNP) like MTHFR C677T (rs1801133) changes how your body processes</w:t>
      </w:r>
    </w:p>
    <w:p>
      <w:r>
        <w:t>folate. An APOE e4 allele changes your cardiovascular and neurological risk</w:t>
      </w:r>
    </w:p>
    <w:p>
      <w:r>
        <w:t>profile. The HFE C282Y variant predisposes to hereditary hemochromatosis. Genetic</w:t>
      </w:r>
    </w:p>
    <w:p>
      <w:r>
        <w:t>biomarkers do not change over time, but they permanently alter how every other</w:t>
      </w:r>
    </w:p>
    <w:p>
      <w:r>
        <w:t>biomarker should be interpreted.</w:t>
      </w:r>
    </w:p>
    <w:p>
      <w:pPr>
        <w:pStyle w:val="Heading3"/>
      </w:pPr>
      <w:r>
        <w:t>Why Biomarkers Matter for Precision Health</w:t>
      </w:r>
    </w:p>
    <w:p>
      <w:r>
        <w:t>Traditional medicine treats symptoms. Precision health uses biomarkers to detect</w:t>
      </w:r>
    </w:p>
    <w:p>
      <w:r>
        <w:t>disease trajectories years before symptoms appear. A patient with an HbA1c of</w:t>
      </w:r>
    </w:p>
    <w:p>
      <w:r>
        <w:t>5.7% is "normal" by standard definitions, but if they carry two risk alleles in</w:t>
      </w:r>
    </w:p>
    <w:p>
      <w:r>
        <w:t>TCF7L2, their diabetes risk is significantly elevated, and the agent adjusts the</w:t>
      </w:r>
    </w:p>
    <w:p>
      <w:r>
        <w:t>threshold downward to 5.5%. That distinction -- invisible without genetic</w:t>
      </w:r>
    </w:p>
    <w:p>
      <w:r>
        <w:t>context -- is the entire point of this system.</w:t>
      </w:r>
    </w:p>
    <w:p>
      <w:r>
        <w:t>____________________________________________________________</w:t>
      </w:r>
    </w:p>
    <w:p>
      <w:pPr>
        <w:pStyle w:val="Heading2"/>
      </w:pPr>
      <w:r>
        <w:t>Chapter 3: The Data Challenge</w:t>
      </w:r>
    </w:p>
    <w:p>
      <w:pPr>
        <w:pStyle w:val="Heading3"/>
      </w:pPr>
      <w:r>
        <w:t>Population Averages vs. Individual Variation</w:t>
      </w:r>
    </w:p>
    <w:p>
      <w:r>
        <w:t>Every reference range you see on a lab report (e.g., "Glucose: 70-100 mg/dL")</w:t>
      </w:r>
    </w:p>
    <w:p>
      <w:r>
        <w:t>comes from a population study. Researchers measured thousands of apparently</w:t>
      </w:r>
    </w:p>
    <w:p>
      <w:r>
        <w:t>healthy people and drew boundaries around the middle 95%. If your value falls</w:t>
      </w:r>
    </w:p>
    <w:p>
      <w:r>
        <w:t>inside those boundaries, you are told you are "normal."</w:t>
      </w:r>
    </w:p>
    <w:p>
      <w:r>
        <w:t>The problem: you are not a population. You are an individual with a unique</w:t>
      </w:r>
    </w:p>
    <w:p>
      <w:r>
        <w:t>genome, ancestry, age, sex, diet, medication history, and environmental</w:t>
      </w:r>
    </w:p>
    <w:p>
      <w:r>
        <w:t>exposure. A ferritin of 300 ng/mL is "normal" by most lab ranges (typically</w:t>
      </w:r>
    </w:p>
    <w:p>
      <w:r>
        <w:t>24-336 for men) but could indicate early hereditary hemochromatosis in someone</w:t>
      </w:r>
    </w:p>
    <w:p>
      <w:r>
        <w:t>carrying HFE C282Y homozygous. Conversely, a ferritin of 30 ng/mL is "normal"</w:t>
      </w:r>
    </w:p>
    <w:p>
      <w:r>
        <w:t>but may indicate functional iron deficiency in a woman with heavy menstruation.</w:t>
      </w:r>
    </w:p>
    <w:p>
      <w:r>
        <w:t>Population averages mask individual risk.</w:t>
      </w:r>
    </w:p>
    <w:p>
      <w:pPr>
        <w:pStyle w:val="Heading3"/>
      </w:pPr>
      <w:r>
        <w:t>The Pharmacogenomics Gap</w:t>
      </w:r>
    </w:p>
    <w:p>
      <w:r>
        <w:t>Roughly 99% of prescriptions are written without checking the patient's</w:t>
      </w:r>
    </w:p>
    <w:p>
      <w:r>
        <w:t>pharmacogenomic profile. A patient who is a CYP2D6 poor metabolizer (about 6-10%</w:t>
      </w:r>
    </w:p>
    <w:p>
      <w:r>
        <w:t>of Caucasians) will not convert codeine into morphine and will get no pain</w:t>
      </w:r>
    </w:p>
    <w:p>
      <w:r>
        <w:t>relief. A CYP2D6 ultra-rapid metabolizer given the same dose may convert it too</w:t>
      </w:r>
    </w:p>
    <w:p>
      <w:r>
        <w:t>fast and experience respiratory depression. The drug is identical. The dose is</w:t>
      </w:r>
    </w:p>
    <w:p>
      <w:r>
        <w:t>identical. The outcomes are opposite.</w:t>
      </w:r>
    </w:p>
    <w:p>
      <w:r>
        <w:t>The Clinical Pharmacogenetics Implementation Consortium (CPIC) publishes</w:t>
      </w:r>
    </w:p>
    <w:p>
      <w:r>
        <w:t>evidence-based guidelines mapping gene-drug pairs to dosing recommendations.</w:t>
      </w:r>
    </w:p>
    <w:p>
      <w:r>
        <w:t>These guidelines exist. They are freely available. Yet they are rarely consulted</w:t>
      </w:r>
    </w:p>
    <w:p>
      <w:r>
        <w:t>at the point of care because the data is scattered across multiple databases and</w:t>
      </w:r>
    </w:p>
    <w:p>
      <w:r>
        <w:t>the interpretation requires specialized knowledge. This agent bridges that gap.</w:t>
      </w:r>
    </w:p>
    <w:p>
      <w:pPr>
        <w:pStyle w:val="Heading3"/>
      </w:pPr>
      <w:r>
        <w:t>Scattered Reference Data</w:t>
      </w:r>
    </w:p>
    <w:p>
      <w:r>
        <w:t>A clinician trying to give a truly personalized interpretation needs to consult:</w:t>
      </w:r>
    </w:p>
    <w:p>
      <w:pPr>
        <w:pStyle w:val="ListBullet"/>
        <w:ind w:left="720"/>
      </w:pPr>
      <w:r>
        <w:t>Standard reference ranges** from the lab report.</w:t>
      </w:r>
    </w:p>
    <w:p>
      <w:pPr>
        <w:pStyle w:val="ListBullet"/>
        <w:ind w:left="720"/>
      </w:pPr>
      <w:r>
        <w:t>Genotype-adjusted ranges** from published studies (e.g., MTHFR impact on</w:t>
      </w:r>
    </w:p>
    <w:p>
      <w:r>
        <w:t>homocysteine, PNPLA3 impact on ALT).</w:t>
      </w:r>
    </w:p>
    <w:p>
      <w:pPr>
        <w:pStyle w:val="ListBullet"/>
        <w:ind w:left="720"/>
      </w:pPr>
      <w:r>
        <w:t>Age- and sex-stratified ranges** (TSH thresholds differ for a 25-year-old</w:t>
      </w:r>
    </w:p>
    <w:p>
      <w:r>
        <w:t>vs. a 75-year-old).</w:t>
      </w:r>
    </w:p>
    <w:p>
      <w:pPr>
        <w:pStyle w:val="ListBullet"/>
        <w:ind w:left="720"/>
      </w:pPr>
      <w:r>
        <w:t>CPIC guidelines** for any medications the patient takes.</w:t>
      </w:r>
    </w:p>
    <w:p>
      <w:pPr>
        <w:pStyle w:val="ListBullet"/>
        <w:ind w:left="720"/>
      </w:pPr>
      <w:r>
        <w:t>Disease trajectory models** to estimate pre-symptomatic risk.</w:t>
      </w:r>
    </w:p>
    <w:p>
      <w:pPr>
        <w:pStyle w:val="ListBullet"/>
        <w:ind w:left="720"/>
      </w:pPr>
      <w:r>
        <w:t>PhenoAge/GrimAge algorithms** to estimate biological aging.</w:t>
      </w:r>
    </w:p>
    <w:p>
      <w:pPr>
        <w:pStyle w:val="ListBullet"/>
        <w:ind w:left="720"/>
      </w:pPr>
      <w:r>
        <w:t>Clinical literature** for the latest evidence on any of the above.</w:t>
      </w:r>
    </w:p>
    <w:p>
      <w:pPr>
        <w:pStyle w:val="ListBullet"/>
        <w:ind w:left="720"/>
      </w:pPr>
      <w:r>
        <w:t>Nutritional genomics** data (MTHFR and methylfolate, FADS1 and omega-3</w:t>
      </w:r>
    </w:p>
    <w:p>
      <w:r>
        <w:t>conversion, VDR and vitamin D absorption).</w:t>
      </w:r>
    </w:p>
    <w:p>
      <w:pPr>
        <w:pStyle w:val="ListBullet"/>
        <w:ind w:left="720"/>
      </w:pPr>
      <w:r>
        <w:t>Carrier screening panels** (especially for Ashkenazi Jewish populations</w:t>
      </w:r>
    </w:p>
    <w:p>
      <w:r>
        <w:t>with elevated carrier frequencies for conditions like Tay-Sachs, Gaucher,</w:t>
      </w:r>
    </w:p>
    <w:p>
      <w:r>
        <w:t>BRCA1/2).</w:t>
      </w:r>
    </w:p>
    <w:p>
      <w:r>
        <w:t>This data lives in dozens of separate databases, PDFs, journal articles, and</w:t>
      </w:r>
    </w:p>
    <w:p>
      <w:r>
        <w:t>clinical guidelines. No human can synthesize it all in a five-minute appointment.</w:t>
      </w:r>
    </w:p>
    <w:p>
      <w:r>
        <w:t>This is the problem the Biomarker Intelligence Agent solves.</w:t>
      </w:r>
    </w:p>
    <w:p>
      <w:r>
        <w:t>____________________________________________________________</w:t>
      </w:r>
    </w:p>
    <w:p>
      <w:pPr>
        <w:pStyle w:val="Heading2"/>
      </w:pPr>
      <w:r>
        <w:t>Chapter 4: What Is RAG?</w:t>
      </w:r>
    </w:p>
    <w:p>
      <w:r>
        <w:t xml:space="preserve">RAG stands for </w:t>
      </w:r>
      <w:r>
        <w:rPr>
          <w:b/>
        </w:rPr>
        <w:t>Retrieval-Augmented Generation</w:t>
      </w:r>
      <w:r>
        <w:t>. It is the core pattern that</w:t>
      </w:r>
    </w:p>
    <w:p>
      <w:r>
        <w:t>allows this agent to answer questions with grounded, evidence-based responses</w:t>
      </w:r>
    </w:p>
    <w:p>
      <w:r>
        <w:t>rather than hallucinated ones. Let us break it down into its components.</w:t>
      </w:r>
    </w:p>
    <w:p>
      <w:pPr>
        <w:pStyle w:val="Heading3"/>
      </w:pPr>
      <w:r>
        <w:t>Step 1: Embeddings</w:t>
      </w:r>
    </w:p>
    <w:p>
      <w:r>
        <w:t xml:space="preserve">An </w:t>
      </w:r>
      <w:r>
        <w:rPr>
          <w:b/>
        </w:rPr>
        <w:t>embedding</w:t>
      </w:r>
      <w:r>
        <w:t xml:space="preserve"> is a list of numbers (a vector) that captures the meaning of a</w:t>
      </w:r>
    </w:p>
    <w:p>
      <w:r>
        <w:t>piece of text. The Biomarker Intelligence Agent uses the</w:t>
      </w:r>
    </w:p>
    <w:p>
      <w:r/>
      <w:r>
        <w:rPr>
          <w:rFonts w:ascii="Consolas" w:hAnsi="Consolas"/>
          <w:color w:val="2E864B"/>
          <w:sz w:val="20"/>
        </w:rPr>
        <w:t>BAAI/bge-small-en-v1.5</w:t>
      </w:r>
      <w:r>
        <w:t xml:space="preserve"> model to convert text into 384-dimensional vectors.</w:t>
      </w:r>
    </w:p>
    <w:p>
      <w:r>
        <w:t>When we say "HbA1c is a measure of three-month average blood glucose" and convert</w:t>
      </w:r>
    </w:p>
    <w:p>
      <w:r>
        <w:t>that sentence into an embedding, we get a vector of 384 floating-point numbers.</w:t>
      </w:r>
    </w:p>
    <w:p>
      <w:r>
        <w:t>When we convert "glycated hemoglobin reflects long-term glycemic control" into</w:t>
      </w:r>
    </w:p>
    <w:p>
      <w:r>
        <w:t>an embedding, we get a different vector -- but one that is mathematically</w:t>
      </w:r>
    </w:p>
    <w:p>
      <w:r/>
      <w:r>
        <w:rPr>
          <w:i/>
        </w:rPr>
        <w:t>close</w:t>
      </w:r>
      <w:r>
        <w:t xml:space="preserve"> to the first, because the two sentences mean similar things.</w:t>
      </w:r>
    </w:p>
    <w:p>
      <w:r>
        <w:t xml:space="preserve">This is the key insight: </w:t>
      </w:r>
      <w:r>
        <w:rPr>
          <w:b/>
        </w:rPr>
        <w:t>semantic similarity becomes geometric proximity</w:t>
      </w:r>
      <w:r>
        <w:t>.</w:t>
      </w:r>
    </w:p>
    <w:p>
      <w:r>
        <w:t>Texts that mean similar things end up near each other in vector space.</w:t>
      </w:r>
    </w:p>
    <w:p>
      <w:pPr>
        <w:pStyle w:val="Heading3"/>
      </w:pPr>
      <w:r>
        <w:t>Step 2: Vector Similarity Search</w:t>
      </w:r>
    </w:p>
    <w:p>
      <w:r>
        <w:t>Once we have converted all our reference data into embeddings and stored them in</w:t>
      </w:r>
    </w:p>
    <w:p>
      <w:r>
        <w:t>a vector database (Milvus, in this system), we can search by meaning rather than</w:t>
      </w:r>
    </w:p>
    <w:p>
      <w:r>
        <w:t>by keyword.</w:t>
      </w:r>
    </w:p>
    <w:p>
      <w:r>
        <w:t>When a user asks "What does my HbA1c of 5.8% mean?", the system:</w:t>
      </w:r>
    </w:p>
    <w:p>
      <w:pPr>
        <w:pStyle w:val="ListNumber"/>
      </w:pPr>
      <w:r>
        <w:t>Converts the question into an embedding.</w:t>
      </w:r>
    </w:p>
    <w:p>
      <w:pPr>
        <w:pStyle w:val="ListNumber"/>
      </w:pPr>
      <w:r>
        <w:t>Searches all 14 collections in parallel for the vectors closest to that</w:t>
      </w:r>
    </w:p>
    <w:p>
      <w:r>
        <w:t>question embedding.</w:t>
      </w:r>
    </w:p>
    <w:p>
      <w:pPr>
        <w:pStyle w:val="ListNumber"/>
      </w:pPr>
      <w:r>
        <w:t>Returns the top results ranked by similarity score.</w:t>
      </w:r>
    </w:p>
    <w:p>
      <w:r>
        <w:t>This is fundamentally different from keyword search. A keyword search for</w:t>
      </w:r>
    </w:p>
    <w:p>
      <w:r>
        <w:t>"HbA1c" would miss documents that only mention "glycated hemoglobin" or</w:t>
      </w:r>
    </w:p>
    <w:p>
      <w:r>
        <w:t>"A1c." Vector search finds them all because the embeddings are close.</w:t>
      </w:r>
    </w:p>
    <w:p>
      <w:pPr>
        <w:pStyle w:val="Heading3"/>
      </w:pPr>
      <w:r>
        <w:t>Step 3: Retrieval-Augmented Generation</w:t>
      </w:r>
    </w:p>
    <w:p>
      <w:r>
        <w:t>Once the system has retrieved the most relevant evidence from its collections,</w:t>
      </w:r>
    </w:p>
    <w:p>
      <w:r>
        <w:t>it passes that evidence to a large language model (Claude, from Anthropic) as</w:t>
      </w:r>
    </w:p>
    <w:p>
      <w:r>
        <w:t>context. The LLM then generates a response that is grounded in the retrieved</w:t>
      </w:r>
    </w:p>
    <w:p>
      <w:r>
        <w:t>evidence.</w:t>
      </w:r>
    </w:p>
    <w:p>
      <w:r>
        <w:t>This is the "augmented" part. Without the retrieval step, an LLM would answer</w:t>
      </w:r>
    </w:p>
    <w:p>
      <w:r>
        <w:t>from its general training data, which may be outdated, imprecise, or simply</w:t>
      </w:r>
    </w:p>
    <w:p>
      <w:r>
        <w:t>wrong for a specific patient. With retrieval, the LLM has access to curated,</w:t>
      </w:r>
    </w:p>
    <w:p>
      <w:r>
        <w:t>domain-specific evidence including CPIC guidelines, clinical literature,</w:t>
      </w:r>
    </w:p>
    <w:p>
      <w:r>
        <w:t>genotype-specific reference ranges, and disease trajectory models.</w:t>
      </w:r>
    </w:p>
    <w:p>
      <w:r>
        <w:t>The RAG pattern gives us the best of both worlds: the reasoning ability of an</w:t>
      </w:r>
    </w:p>
    <w:p>
      <w:r>
        <w:t>LLM combined with the factual accuracy of a curated knowledge base.</w:t>
      </w:r>
    </w:p>
    <w:p>
      <w:pPr>
        <w:pStyle w:val="Heading3"/>
      </w:pPr>
      <w:r>
        <w:t>How the Agent Uses RAG</w:t>
      </w:r>
    </w:p>
    <w:p>
      <w:r>
        <w:t>The Biomarker Intelligence Agent extends basic RAG in several important ways:</w:t>
      </w:r>
    </w:p>
    <w:p>
      <w:pPr>
        <w:pStyle w:val="ListBullet"/>
        <w:ind w:left="720"/>
      </w:pPr>
      <w:r>
        <w:t>Multi-collection search**: 14 collections are searched simultaneously using</w:t>
      </w:r>
    </w:p>
    <w:p>
      <w:r>
        <w:t>parallel threads, not just one.</w:t>
      </w:r>
    </w:p>
    <w:p>
      <w:pPr>
        <w:pStyle w:val="ListBullet"/>
        <w:ind w:left="720"/>
      </w:pPr>
      <w:r>
        <w:t>Weighted scoring**: Each collection has a configurable weight (e.g.,</w:t>
      </w:r>
    </w:p>
    <w:p>
      <w:r>
        <w:t>biomarker</w:t>
      </w:r>
      <w:r>
        <w:rPr>
          <w:i/>
        </w:rPr>
        <w:t>reference at 0.12, clinical</w:t>
      </w:r>
      <w:r>
        <w:t>evidence at 0.09) that influences how</w:t>
      </w:r>
    </w:p>
    <w:p>
      <w:r>
        <w:t>results are ranked.</w:t>
      </w:r>
    </w:p>
    <w:p>
      <w:pPr>
        <w:pStyle w:val="ListBullet"/>
        <w:ind w:left="720"/>
      </w:pPr>
      <w:r>
        <w:t>Knowledge graph augmentation**: Before the LLM sees the evidence, the system</w:t>
      </w:r>
    </w:p>
    <w:p>
      <w:r>
        <w:t>enriches it with structured domain knowledge -- disease domain context, PGx</w:t>
      </w:r>
    </w:p>
    <w:p>
      <w:r>
        <w:t>gene context, PhenoAge biomarker context.</w:t>
      </w:r>
    </w:p>
    <w:p>
      <w:pPr>
        <w:pStyle w:val="ListBullet"/>
        <w:ind w:left="720"/>
      </w:pPr>
      <w:r>
        <w:t>Citation scoring**: Each retrieved result is tagged as high, medium, or low</w:t>
      </w:r>
    </w:p>
    <w:p>
      <w:r>
        <w:t>relevance based on its similarity score (thresholds: 0.75 for high, 0.60 for</w:t>
      </w:r>
    </w:p>
    <w:p>
      <w:r>
        <w:t>medium).</w:t>
      </w:r>
    </w:p>
    <w:p>
      <w:pPr>
        <w:pStyle w:val="ListBullet"/>
        <w:ind w:left="720"/>
      </w:pPr>
      <w:r>
        <w:t>Disease area filtering**: If the question mentions "diabetes," only the</w:t>
      </w:r>
    </w:p>
    <w:p>
      <w:r>
        <w:t>disease trajectory and genetic variant collections that have a disease_area</w:t>
      </w:r>
    </w:p>
    <w:p>
      <w:r>
        <w:t>field are filtered to diabetes-relevant results.</w:t>
      </w:r>
    </w:p>
    <w:p>
      <w:r>
        <w:t>____________________________________________________________</w:t>
      </w:r>
    </w:p>
    <w:p>
      <w:pPr>
        <w:pStyle w:val="Heading2"/>
      </w:pPr>
      <w:r>
        <w:t>Chapter 5: System Overview</w:t>
      </w:r>
    </w:p>
    <w:p>
      <w:pPr>
        <w:pStyle w:val="Heading3"/>
      </w:pPr>
      <w:r>
        <w:t>Architecture</w:t>
      </w:r>
    </w:p>
    <w:p>
      <w:r>
        <w:t>The Precision Biomarker Intelligence Agent follows a four-phase pipeline: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Plan --&gt; Analyze --&gt; Search --&gt; Synthesize</w:t>
      </w:r>
    </w:p>
    <w:p>
      <w:r/>
      <w:r>
        <w:rPr>
          <w:b/>
        </w:rPr>
        <w:t>Phase 1: Plan</w:t>
      </w:r>
      <w:r>
        <w:t xml:space="preserve"> -- The agent analyzes the incoming question using keyword</w:t>
      </w:r>
    </w:p>
    <w:p>
      <w:r>
        <w:t>detection to identify disease areas (diabetes, cardiovascular, liver, thyroid,</w:t>
      </w:r>
    </w:p>
    <w:p>
      <w:r>
        <w:t>iron, nutritional), relevant analysis modules (biological_age,</w:t>
      </w:r>
    </w:p>
    <w:p>
      <w:r>
        <w:t>disease</w:t>
      </w:r>
      <w:r>
        <w:rPr>
          <w:i/>
        </w:rPr>
        <w:t>trajectory, pharmacogenomics, genotype</w:t>
      </w:r>
      <w:r>
        <w:t>adjustment), and decomposes</w:t>
      </w:r>
    </w:p>
    <w:p>
      <w:r>
        <w:t>complex questions into sub-queries.</w:t>
      </w:r>
    </w:p>
    <w:p>
      <w:r/>
      <w:r>
        <w:rPr>
          <w:b/>
        </w:rPr>
        <w:t>Phase 2: Analyze</w:t>
      </w:r>
      <w:r>
        <w:t xml:space="preserve"> -- If a patient profile is provided, the agent runs four</w:t>
      </w:r>
    </w:p>
    <w:p>
      <w:r>
        <w:t>analysis modules: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BiologicalAgeCalculator</w:t>
      </w:r>
      <w:r>
        <w:t xml:space="preserve"> -- PhenoAge (Levine 2018) and GrimAge surrogate</w:t>
      </w:r>
    </w:p>
    <w:p>
      <w:r>
        <w:t>(Lu 2019) estimation from routine blood biomarkers.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DiseaseTrajectoryAnalyzer</w:t>
      </w:r>
      <w:r>
        <w:t xml:space="preserve"> -- Pre-symptomatic risk assessment across 6+</w:t>
      </w:r>
    </w:p>
    <w:p>
      <w:r>
        <w:t>disease categories with estimated years to clinical onset.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PharmacogenomicMapper</w:t>
      </w:r>
      <w:r>
        <w:t xml:space="preserve"> -- Star allele to metabolizer phenotype mapping using</w:t>
      </w:r>
    </w:p>
    <w:p>
      <w:r>
        <w:t>CPIC Level 1A guidelines for 14 pharmacogenes.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GenotypeAdjuster</w:t>
      </w:r>
      <w:r>
        <w:t xml:space="preserve"> -- Genotype-adjusted reference ranges for biomarkers</w:t>
      </w:r>
    </w:p>
    <w:p>
      <w:r>
        <w:t>affected by genetic variants (MTHFR, APOE, PNPLA3, HFE, DIO2, VDR, FADS1).</w:t>
      </w:r>
    </w:p>
    <w:p>
      <w:r>
        <w:t>Additionally, three safety modules run: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CriticalValueEngine</w:t>
      </w:r>
      <w:r>
        <w:t xml:space="preserve"> -- Checks biomarker values against critical thresholds</w:t>
      </w:r>
    </w:p>
    <w:p>
      <w:r>
        <w:t>requiring immediate clinical action.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DiscordanceDetector</w:t>
      </w:r>
      <w:r>
        <w:t xml:space="preserve"> -- Identifies cross-biomarker patterns that are</w:t>
      </w:r>
    </w:p>
    <w:p>
      <w:r>
        <w:t>clinically inconsistent and may indicate errors or rare conditions.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LabRangeInterpreter</w:t>
      </w:r>
      <w:r>
        <w:t xml:space="preserve"> -- Compares values against both standard and optimal</w:t>
      </w:r>
    </w:p>
    <w:p>
      <w:r>
        <w:t>ranges, flagging markers that are "normal" by lab standards but suboptimal by</w:t>
      </w:r>
    </w:p>
    <w:p>
      <w:r>
        <w:t>evidence-based criteria.</w:t>
      </w:r>
    </w:p>
    <w:p>
      <w:r/>
      <w:r>
        <w:rPr>
          <w:b/>
        </w:rPr>
        <w:t>Phase 3: Search</w:t>
      </w:r>
      <w:r>
        <w:t xml:space="preserve"> -- The RAG engine embeds the question using</w:t>
      </w:r>
    </w:p>
    <w:p>
      <w:r>
        <w:t>BGE-small-en-v1.5, searches all 14 Milvus collections in parallel using</w:t>
      </w:r>
    </w:p>
    <w:p>
      <w:r>
        <w:t>ThreadPoolExecutor, applies disease-area and year-range filters, deduplicates</w:t>
      </w:r>
    </w:p>
    <w:p>
      <w:r>
        <w:t>results, and ranks them by weighted similarity score. Up to 30 merged results</w:t>
      </w:r>
    </w:p>
    <w:p>
      <w:r>
        <w:t>are retained after deduplication.</w:t>
      </w:r>
    </w:p>
    <w:p>
      <w:r/>
      <w:r>
        <w:rPr>
          <w:b/>
        </w:rPr>
        <w:t>Phase 4: Synthesize</w:t>
      </w:r>
      <w:r>
        <w:t xml:space="preserve"> -- The agent builds an enhanced prompt that combines:</w:t>
      </w:r>
    </w:p>
    <w:p>
      <w:pPr>
        <w:pStyle w:val="ListBullet"/>
        <w:ind w:left="720"/>
      </w:pPr>
      <w:r>
        <w:t>Retrieved evidence with citation labels and relevance tags.</w:t>
      </w:r>
    </w:p>
    <w:p>
      <w:pPr>
        <w:pStyle w:val="ListBullet"/>
        <w:ind w:left="720"/>
      </w:pPr>
      <w:r>
        <w:t>Knowledge graph context (disease domains, PGx, PhenoAge, cross-modal links).</w:t>
      </w:r>
    </w:p>
    <w:p>
      <w:pPr>
        <w:pStyle w:val="ListBullet"/>
        <w:ind w:left="720"/>
      </w:pPr>
      <w:r>
        <w:t>Patient profile data (age, sex, biomarkers, genotypes, star alleles).</w:t>
      </w:r>
    </w:p>
    <w:p>
      <w:pPr>
        <w:pStyle w:val="ListBullet"/>
        <w:ind w:left="720"/>
      </w:pPr>
      <w:r>
        <w:t>Analysis module results (biological age, disease trajectories, PGx findings,</w:t>
      </w:r>
    </w:p>
    <w:p>
      <w:r>
        <w:t>adjusted ranges, critical alerts).</w:t>
      </w:r>
    </w:p>
    <w:p>
      <w:r>
        <w:t>This prompt is sent to Claude with a specialized system prompt that instructs the</w:t>
      </w:r>
    </w:p>
    <w:p>
      <w:r>
        <w:t>LLM to cite sources, specify units, provide genotype-specific interpretation,</w:t>
      </w:r>
    </w:p>
    <w:p>
      <w:r>
        <w:t>highlight critical findings, and flag cross-modal triggers.</w:t>
      </w:r>
    </w:p>
    <w:p>
      <w:pPr>
        <w:pStyle w:val="Heading3"/>
      </w:pPr>
      <w:r>
        <w:t>The 14 Collections as Specialized Libraries</w:t>
      </w:r>
    </w:p>
    <w:p>
      <w:r>
        <w:t>Think of the 14 Milvus collections as 14 specialized libraries, each containing</w:t>
      </w:r>
    </w:p>
    <w:p>
      <w:r>
        <w:t>a different type of knowledge: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Collection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What It Holds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biomarker_reference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Definitions, units, ranges for every tracked biomarker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biomarker_genetic_variants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SNPs and genes that modify biomarker levels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biomarker_pgx_rules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CPIC drug-gene dosing recommendations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biomarker_disease_trajectories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Disease progression stages with biomarker patterns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biomarker_clinical_evidence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Published clinical literature with PubMed IDs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biomarker_nutrition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Genotype-aware nutritional guidelines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biomarker_drug_interactions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Gene-drug interaction effects and alternatives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biomarker_aging_markers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PhenoAge/GrimAge clock coefficients and interpretation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biomarker_genotype_adjustments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Adjusted reference ranges by genotype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biomarker_monitoring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Condition-specific monitoring protocols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biomarker_critical_values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Threshold values requiring immediate clinical action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biomarker_discordance_rules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Cross-biomarker inconsistency patterns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13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biomarker_aj_carrier_screening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Ashkenazi Jewish carrier screening panel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14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genomic_evidence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Shared read-only collection from the Genomics Pipeline</w:t>
            </w:r>
          </w:p>
        </w:tc>
      </w:tr>
    </w:tbl>
    <w:p>
      <w:r>
        <w:t>When a question arrives, all 14 libraries are searched simultaneously. The</w:t>
      </w:r>
    </w:p>
    <w:p>
      <w:r>
        <w:t>results are merged, deduplicated, and ranked. The highest-scoring evidence from</w:t>
      </w:r>
    </w:p>
    <w:p>
      <w:r>
        <w:t>each relevant collection is included in the LLM prompt.</w:t>
      </w:r>
    </w:p>
    <w:p>
      <w:r>
        <w:t>____________________________________________________________</w:t>
      </w:r>
    </w:p>
    <w:p>
      <w:pPr>
        <w:pStyle w:val="Heading2"/>
      </w:pPr>
      <w:r>
        <w:t>Chapter 6: Your First Query</w:t>
      </w:r>
    </w:p>
    <w:p>
      <w:r>
        <w:t>This chapter walks you through running your first biomarker analysis, from</w:t>
      </w:r>
    </w:p>
    <w:p>
      <w:r>
        <w:t>opening the UI to interpreting the results.</w:t>
      </w:r>
    </w:p>
    <w:p>
      <w:pPr>
        <w:pStyle w:val="Heading3"/>
      </w:pPr>
      <w:r>
        <w:t>Step 1: Open the UI</w:t>
      </w:r>
    </w:p>
    <w:p>
      <w:r>
        <w:t xml:space="preserve">The Streamlit interface runs on port </w:t>
      </w:r>
      <w:r>
        <w:rPr>
          <w:b/>
        </w:rPr>
        <w:t>8528</w:t>
      </w:r>
      <w:r>
        <w:t>. Open your browser and navigate to: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http://localhost:8528</w:t>
      </w:r>
    </w:p>
    <w:p>
      <w:r>
        <w:t>You will see the Biomarker Intelligence Agent interface with 8 tabs:</w:t>
      </w:r>
    </w:p>
    <w:p>
      <w:pPr>
        <w:pStyle w:val="ListNumber"/>
      </w:pPr>
      <w:r/>
      <w:r>
        <w:rPr>
          <w:b/>
        </w:rPr>
        <w:t>Biomarker Analysis</w:t>
      </w:r>
      <w:r>
        <w:t xml:space="preserve"> -- Full patient analysis pipeline.</w:t>
      </w:r>
    </w:p>
    <w:p>
      <w:pPr>
        <w:pStyle w:val="ListNumber"/>
      </w:pPr>
      <w:r/>
      <w:r>
        <w:rPr>
          <w:b/>
        </w:rPr>
        <w:t>Biological Age</w:t>
      </w:r>
      <w:r>
        <w:t xml:space="preserve"> -- PhenoAge calculator.</w:t>
      </w:r>
    </w:p>
    <w:p>
      <w:pPr>
        <w:pStyle w:val="ListNumber"/>
      </w:pPr>
      <w:r/>
      <w:r>
        <w:rPr>
          <w:b/>
        </w:rPr>
        <w:t>Disease Risk</w:t>
      </w:r>
      <w:r>
        <w:t xml:space="preserve"> -- Disease trajectory analysis.</w:t>
      </w:r>
    </w:p>
    <w:p>
      <w:pPr>
        <w:pStyle w:val="ListNumber"/>
      </w:pPr>
      <w:r/>
      <w:r>
        <w:rPr>
          <w:b/>
        </w:rPr>
        <w:t>PGx Profile</w:t>
      </w:r>
      <w:r>
        <w:t xml:space="preserve"> -- Pharmacogenomic drug interaction mapping.</w:t>
      </w:r>
    </w:p>
    <w:p>
      <w:pPr>
        <w:pStyle w:val="ListNumber"/>
      </w:pPr>
      <w:r/>
      <w:r>
        <w:rPr>
          <w:b/>
        </w:rPr>
        <w:t>Evidence Explorer</w:t>
      </w:r>
      <w:r>
        <w:t xml:space="preserve"> -- RAG Q&amp;A with collection filtering.</w:t>
      </w:r>
    </w:p>
    <w:p>
      <w:pPr>
        <w:pStyle w:val="ListNumber"/>
      </w:pPr>
      <w:r/>
      <w:r>
        <w:rPr>
          <w:b/>
        </w:rPr>
        <w:t>Reports</w:t>
      </w:r>
      <w:r>
        <w:t xml:space="preserve"> -- PDF and FHIR R4 export.</w:t>
      </w:r>
    </w:p>
    <w:p>
      <w:pPr>
        <w:pStyle w:val="ListNumber"/>
      </w:pPr>
      <w:r/>
      <w:r>
        <w:rPr>
          <w:b/>
        </w:rPr>
        <w:t>Patient 360</w:t>
      </w:r>
      <w:r>
        <w:t xml:space="preserve"> -- Unified cross-agent intelligence dashboard.</w:t>
      </w:r>
    </w:p>
    <w:p>
      <w:pPr>
        <w:pStyle w:val="ListNumber"/>
      </w:pPr>
      <w:r/>
      <w:r>
        <w:rPr>
          <w:b/>
        </w:rPr>
        <w:t>Longitudinal</w:t>
      </w:r>
      <w:r>
        <w:t xml:space="preserve"> -- Biomarker trend tracking across multiple visits.</w:t>
      </w:r>
    </w:p>
    <w:p>
      <w:pPr>
        <w:pStyle w:val="Heading3"/>
      </w:pPr>
      <w:r>
        <w:t>Step 2: Load the Demo Patient</w:t>
      </w:r>
    </w:p>
    <w:p>
      <w:r>
        <w:t xml:space="preserve">Click the </w:t>
      </w:r>
      <w:r>
        <w:rPr>
          <w:b/>
        </w:rPr>
        <w:t>Biomarker Analysis</w:t>
      </w:r>
      <w:r>
        <w:t xml:space="preserve"> tab. You will see an option to load a sample</w:t>
      </w:r>
    </w:p>
    <w:p>
      <w:r>
        <w:t xml:space="preserve">patient. Click it to load demo patient </w:t>
      </w:r>
      <w:r>
        <w:rPr>
          <w:b/>
        </w:rPr>
        <w:t>HCLS-BIO-2026-00001</w:t>
      </w:r>
      <w:r>
        <w:t>.</w:t>
      </w:r>
    </w:p>
    <w:p>
      <w:r>
        <w:t>This demo patient comes pre-populated with:</w:t>
      </w:r>
    </w:p>
    <w:p>
      <w:pPr>
        <w:pStyle w:val="ListBullet"/>
        <w:ind w:left="720"/>
      </w:pPr>
      <w:r>
        <w:t>Demographics**: Age 45, Male.</w:t>
      </w:r>
    </w:p>
    <w:p>
      <w:pPr>
        <w:pStyle w:val="ListBullet"/>
        <w:ind w:left="720"/>
      </w:pPr>
      <w:r>
        <w:t>Biomarkers**: A full panel including albumin, creatinine, glucose, hs-CRP,</w:t>
      </w:r>
    </w:p>
    <w:p>
      <w:r>
        <w:t>lymphocyte percentage, MCV, RDW, alkaline phosphatase, WBC, HbA1c, ferritin,</w:t>
      </w:r>
    </w:p>
    <w:p>
      <w:r>
        <w:t>TSH, total cholesterol, LDL, HDL, triglycerides, ALT, AST, GGT, homocysteine,</w:t>
      </w:r>
    </w:p>
    <w:p>
      <w:r>
        <w:t>and vitamin D.</w:t>
      </w:r>
    </w:p>
    <w:p>
      <w:pPr>
        <w:pStyle w:val="ListBullet"/>
        <w:ind w:left="720"/>
      </w:pPr>
      <w:r>
        <w:t>Genotypes**: Key SNPs including MTHFR C677T (rs1801133), APOE (rs429358),</w:t>
      </w:r>
    </w:p>
    <w:p>
      <w:r>
        <w:t>TCF7L2 (rs7903146), PNPLA3 (rs738409), HFE C282Y (rs1800562), and others.</w:t>
      </w:r>
    </w:p>
    <w:p>
      <w:pPr>
        <w:pStyle w:val="ListBullet"/>
        <w:ind w:left="720"/>
      </w:pPr>
      <w:r>
        <w:t>Star Alleles**: CYP2D6, CYP2C19, CYP2C9, VKORC1, SLCO1B1, and DPYD.</w:t>
      </w:r>
    </w:p>
    <w:p>
      <w:pPr>
        <w:pStyle w:val="Heading3"/>
      </w:pPr>
      <w:r>
        <w:t>Step 3: Run the Analysis</w:t>
      </w:r>
    </w:p>
    <w:p>
      <w:r>
        <w:t xml:space="preserve">Click the </w:t>
      </w:r>
      <w:r>
        <w:rPr>
          <w:b/>
        </w:rPr>
        <w:t>Analyze</w:t>
      </w:r>
      <w:r>
        <w:t xml:space="preserve"> button. The system will:</w:t>
      </w:r>
    </w:p>
    <w:p>
      <w:pPr>
        <w:pStyle w:val="ListNumber"/>
      </w:pPr>
      <w:r>
        <w:t>Calculate biological age using PhenoAge (and GrimAge surrogate if plasma</w:t>
      </w:r>
    </w:p>
    <w:p>
      <w:r>
        <w:t>protein markers are available).</w:t>
      </w:r>
    </w:p>
    <w:p>
      <w:pPr>
        <w:pStyle w:val="ListNumber"/>
      </w:pPr>
      <w:r>
        <w:t>Run disease trajectory analysis for diabetes, cardiovascular, liver, thyroid,</w:t>
      </w:r>
    </w:p>
    <w:p>
      <w:r>
        <w:t>iron, and nutritional conditions.</w:t>
      </w:r>
    </w:p>
    <w:p>
      <w:pPr>
        <w:pStyle w:val="ListNumber"/>
      </w:pPr>
      <w:r>
        <w:t>Map star alleles to metabolizer phenotypes and drug recommendations.</w:t>
      </w:r>
    </w:p>
    <w:p>
      <w:pPr>
        <w:pStyle w:val="ListNumber"/>
      </w:pPr>
      <w:r>
        <w:t>Compute genotype-adjusted reference ranges.</w:t>
      </w:r>
    </w:p>
    <w:p>
      <w:pPr>
        <w:pStyle w:val="ListNumber"/>
      </w:pPr>
      <w:r>
        <w:t>Check for critical values and cross-biomarker discordances.</w:t>
      </w:r>
    </w:p>
    <w:p>
      <w:pPr>
        <w:pStyle w:val="ListNumber"/>
      </w:pPr>
      <w:r>
        <w:t>Search all 14 collections for evidence relevant to the patient's profile.</w:t>
      </w:r>
    </w:p>
    <w:p>
      <w:pPr>
        <w:pStyle w:val="ListNumber"/>
      </w:pPr>
      <w:r>
        <w:t>Synthesize a comprehensive report with citations.</w:t>
      </w:r>
    </w:p>
    <w:p>
      <w:pPr>
        <w:pStyle w:val="Heading3"/>
      </w:pPr>
      <w:r>
        <w:t>Step 4: Understanding the Results</w:t>
      </w:r>
    </w:p>
    <w:p>
      <w:r>
        <w:t>The results page shows several sections:</w:t>
      </w:r>
    </w:p>
    <w:p>
      <w:r/>
      <w:r>
        <w:rPr>
          <w:b/>
        </w:rPr>
        <w:t>Biological Age Assessment</w:t>
      </w:r>
      <w:r>
        <w:t>: You will see a chronological age (45) alongside a</w:t>
      </w:r>
    </w:p>
    <w:p>
      <w:r>
        <w:t>biological age (e.g., 42.3), an age acceleration score (e.g., -2.7 years,</w:t>
      </w:r>
    </w:p>
    <w:p>
      <w:r>
        <w:t>meaning aging slower than expected), and the top aging drivers -- the biomarkers</w:t>
      </w:r>
    </w:p>
    <w:p>
      <w:r>
        <w:t>contributing most to your biological age calculation, with their direction</w:t>
      </w:r>
    </w:p>
    <w:p>
      <w:r>
        <w:t>(protective or aging).</w:t>
      </w:r>
    </w:p>
    <w:p>
      <w:r/>
      <w:r>
        <w:rPr>
          <w:b/>
        </w:rPr>
        <w:t>Disease Trajectories</w:t>
      </w:r>
      <w:r>
        <w:t>: Each disease category (diabetes, cardiovascular, liver,</w:t>
      </w:r>
    </w:p>
    <w:p>
      <w:r>
        <w:t>etc.) shows a risk level (normal, low, moderate, high, critical), relevant</w:t>
      </w:r>
    </w:p>
    <w:p>
      <w:r>
        <w:t>current biomarker values, genetic risk factors, estimated years to onset (if</w:t>
      </w:r>
    </w:p>
    <w:p>
      <w:r>
        <w:t>applicable), and intervention recommendations.</w:t>
      </w:r>
    </w:p>
    <w:p>
      <w:r/>
      <w:r>
        <w:rPr>
          <w:b/>
        </w:rPr>
        <w:t>Pharmacogenomic Profile</w:t>
      </w:r>
      <w:r>
        <w:t>: Each pharmacogene shows the star allele result, the</w:t>
      </w:r>
    </w:p>
    <w:p>
      <w:r>
        <w:t>metabolizer phenotype (ultra-rapid, normal, intermediate, poor), and affected</w:t>
      </w:r>
    </w:p>
    <w:p>
      <w:r>
        <w:t>drugs with CPIC-level dosing recommendations.</w:t>
      </w:r>
    </w:p>
    <w:p>
      <w:r/>
      <w:r>
        <w:rPr>
          <w:b/>
        </w:rPr>
        <w:t>Genotype-Adjusted Ranges</w:t>
      </w:r>
      <w:r>
        <w:t>: Biomarkers whose reference ranges change based on</w:t>
      </w:r>
    </w:p>
    <w:p>
      <w:r>
        <w:t>genotype are highlighted with both the standard and adjusted ranges. For example,</w:t>
      </w:r>
    </w:p>
    <w:p>
      <w:r>
        <w:t>if the patient has MTHFR CT genotype, the homocysteine upper limit drops from</w:t>
      </w:r>
    </w:p>
    <w:p>
      <w:r>
        <w:t>15 to 12 umol/L.</w:t>
      </w:r>
    </w:p>
    <w:p>
      <w:r/>
      <w:r>
        <w:rPr>
          <w:b/>
        </w:rPr>
        <w:t>Critical Alerts</w:t>
      </w:r>
      <w:r>
        <w:t>: Any findings requiring immediate attention are displayed</w:t>
      </w:r>
    </w:p>
    <w:p>
      <w:r>
        <w:t>prominently. These include severe age acceleration, critical disease risk</w:t>
      </w:r>
    </w:p>
    <w:p>
      <w:r>
        <w:t>trajectories, PGx drug safety alerts (e.g., DPYD poor metabolizer with</w:t>
      </w:r>
    </w:p>
    <w:p>
      <w:r>
        <w:t>fluoropyrimidine contraindication), and cross-biomarker discordances.</w:t>
      </w:r>
    </w:p>
    <w:p>
      <w:r>
        <w:t>____________________________________________________________</w:t>
      </w:r>
    </w:p>
    <w:p>
      <w:pPr>
        <w:pStyle w:val="Heading2"/>
      </w:pPr>
      <w:r>
        <w:t>Chapter 7: Understanding Collections</w:t>
      </w:r>
    </w:p>
    <w:p>
      <w:r>
        <w:t>This chapter describes each of the 14 Milvus vector collections in detail,</w:t>
      </w:r>
    </w:p>
    <w:p>
      <w:r>
        <w:t>including the fields stored in each one. Every collection also contains an</w:t>
      </w:r>
    </w:p>
    <w:p>
      <w:r/>
      <w:r>
        <w:rPr>
          <w:rFonts w:ascii="Consolas" w:hAnsi="Consolas"/>
          <w:color w:val="2E864B"/>
          <w:sz w:val="20"/>
        </w:rPr>
        <w:t>embedding</w:t>
      </w:r>
      <w:r>
        <w:t xml:space="preserve"> field (384-dimensional float vector from BGE-small-en-v1.5) used for</w:t>
      </w:r>
    </w:p>
    <w:p>
      <w:r>
        <w:t>similarity search, which is omitted from the field lists below for brevity.</w:t>
      </w:r>
    </w:p>
    <w:p>
      <w:pPr>
        <w:pStyle w:val="Heading3"/>
      </w:pPr>
      <w:r>
        <w:t>1. biomarker_reference</w:t>
      </w:r>
    </w:p>
    <w:p>
      <w:r>
        <w:t>The foundational collection. Every biomarker tracked by the system has an entry</w:t>
      </w:r>
    </w:p>
    <w:p>
      <w:r>
        <w:t>here defining what it is, how it is measured, what the normal range is, and why</w:t>
      </w:r>
    </w:p>
    <w:p>
      <w:r>
        <w:t>it matters.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name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Display name (e.g., "Albumin", "HbA1c")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category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Panel category: CBC, CMP, Lipids, Thyroid, Inflammation, Nutrients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unit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Measurement unit (e.g., g/dL, mg/dL, %, mIU/L)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standard_range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Population reference range (ref_range_min to ref_range_max)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optimal_range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Evidence-based optimal range (often narrower than standard)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description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Text chunk describing the biomarker for embedding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clinical_significance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Clinical interpretation and significance</w:t>
            </w:r>
          </w:p>
        </w:tc>
      </w:tr>
    </w:tbl>
    <w:p>
      <w:r>
        <w:t xml:space="preserve">Additional fields include </w:t>
      </w:r>
      <w:r>
        <w:rPr>
          <w:rFonts w:ascii="Consolas" w:hAnsi="Consolas"/>
          <w:color w:val="2E864B"/>
          <w:sz w:val="20"/>
        </w:rPr>
        <w:t>epigenetic_clock</w:t>
      </w:r>
      <w:r>
        <w:t xml:space="preserve"> (PhenoAge or GrimAge coefficient</w:t>
      </w:r>
    </w:p>
    <w:p>
      <w:r>
        <w:t xml:space="preserve">if applicable) and </w:t>
      </w:r>
      <w:r>
        <w:rPr>
          <w:rFonts w:ascii="Consolas" w:hAnsi="Consolas"/>
          <w:color w:val="2E864B"/>
          <w:sz w:val="20"/>
        </w:rPr>
        <w:t>genetic_modifiers</w:t>
      </w:r>
      <w:r>
        <w:t xml:space="preserve"> (comma-separated gene symbols that</w:t>
      </w:r>
    </w:p>
    <w:p>
      <w:r>
        <w:t>modify this biomarker).</w:t>
      </w:r>
    </w:p>
    <w:p>
      <w:r/>
      <w:r>
        <w:rPr>
          <w:b/>
        </w:rPr>
        <w:t>Example</w:t>
      </w:r>
      <w:r>
        <w:t>: Albumin has a standard range of 3.5-5.5 g/dL, but the PhenoAge</w:t>
      </w:r>
    </w:p>
    <w:p>
      <w:r>
        <w:t>algorithm uses it as a protective factor (negative coefficient -0.0336 applied</w:t>
      </w:r>
    </w:p>
    <w:p>
      <w:r>
        <w:t>to g/L) -- higher albumin is associated with younger biological age.</w:t>
      </w:r>
    </w:p>
    <w:p>
      <w:pPr>
        <w:pStyle w:val="Heading3"/>
      </w:pPr>
      <w:r>
        <w:t>2. biomarker_genetic_variants</w:t>
      </w:r>
    </w:p>
    <w:p>
      <w:r>
        <w:t>Stores genetic variants (SNPs) that affect biomarker levels. This is where the</w:t>
      </w:r>
    </w:p>
    <w:p>
      <w:r>
        <w:t>system learns that MTHFR C677T reduces folate metabolism or that APOE e4</w:t>
      </w:r>
    </w:p>
    <w:p>
      <w:r>
        <w:t>increases LDL cholesterol.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gene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Gene symbol (e.g., MTHFR, APOE, PNPLA3)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variant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Variant name (e.g., C677T, I148M)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rsid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dbSNP identifier (e.g., rs1801133)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effect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Effect on biomarker levels (e.g., "20-30% reduction in enzyme activity")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clinical_significance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Clinical meaning and risk implications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population_frequency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Allele frequency in major populations</w:t>
            </w:r>
          </w:p>
        </w:tc>
      </w:tr>
    </w:tbl>
    <w:p>
      <w:r>
        <w:t xml:space="preserve">Additional fields include </w:t>
      </w:r>
      <w:r>
        <w:rPr>
          <w:rFonts w:ascii="Consolas" w:hAnsi="Consolas"/>
          <w:color w:val="2E864B"/>
          <w:sz w:val="20"/>
        </w:rPr>
        <w:t>risk_allele</w:t>
      </w:r>
      <w:r>
        <w:t xml:space="preserve">, </w:t>
      </w:r>
      <w:r>
        <w:rPr>
          <w:rFonts w:ascii="Consolas" w:hAnsi="Consolas"/>
          <w:color w:val="2E864B"/>
          <w:sz w:val="20"/>
        </w:rPr>
        <w:t>protective_allele</w:t>
      </w:r>
      <w:r>
        <w:t xml:space="preserve">, </w:t>
      </w:r>
      <w:r>
        <w:rPr>
          <w:rFonts w:ascii="Consolas" w:hAnsi="Consolas"/>
          <w:color w:val="2E864B"/>
          <w:sz w:val="20"/>
        </w:rPr>
        <w:t>mechanism</w:t>
      </w:r>
      <w:r/>
    </w:p>
    <w:p>
      <w:r>
        <w:t xml:space="preserve">(molecular explanation), and </w:t>
      </w:r>
      <w:r>
        <w:rPr>
          <w:rFonts w:ascii="Consolas" w:hAnsi="Consolas"/>
          <w:color w:val="2E864B"/>
          <w:sz w:val="20"/>
        </w:rPr>
        <w:t>disease_associations</w:t>
      </w:r>
      <w:r>
        <w:t>.</w:t>
      </w:r>
    </w:p>
    <w:p>
      <w:pPr>
        <w:pStyle w:val="Heading3"/>
      </w:pPr>
      <w:r>
        <w:t>3. biomarker_pgx_rules</w:t>
      </w:r>
    </w:p>
    <w:p>
      <w:r>
        <w:t>Pharmacogenomic dosing rules from CPIC guidelines. Each record maps a gene +</w:t>
      </w:r>
    </w:p>
    <w:p>
      <w:r>
        <w:t>star allele combination + drug to a specific dosing recommendation.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gene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Pharmacogene (e.g., CYP2D6, CYP2C19, DPYD)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drug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Drug name (e.g., codeine, clopidogrel, warfarin)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phenotype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Metabolizer classification (ultra_rapid, normal, intermediate, poor)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recommendation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CPIC dosing recommendation text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cpic_level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Evidence level (1A, 1B, 2A, 2B, 3)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source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CPIC guideline URL or PharmGKB entry</w:t>
            </w:r>
          </w:p>
        </w:tc>
      </w:tr>
    </w:tbl>
    <w:p>
      <w:r>
        <w:t xml:space="preserve">Additional fields include </w:t>
      </w:r>
      <w:r>
        <w:rPr>
          <w:rFonts w:ascii="Consolas" w:hAnsi="Consolas"/>
          <w:color w:val="2E864B"/>
          <w:sz w:val="20"/>
        </w:rPr>
        <w:t>star_alleles</w:t>
      </w:r>
      <w:r>
        <w:t xml:space="preserve"> (the specific allele combination like</w:t>
      </w:r>
    </w:p>
    <w:p>
      <w:r/>
      <w:r>
        <w:rPr>
          <w:rFonts w:ascii="Consolas" w:hAnsi="Consolas"/>
          <w:color w:val="2E864B"/>
          <w:sz w:val="20"/>
        </w:rPr>
        <w:t>*1/*2</w:t>
      </w:r>
      <w:r>
        <w:t xml:space="preserve">) and </w:t>
      </w:r>
      <w:r>
        <w:rPr>
          <w:rFonts w:ascii="Consolas" w:hAnsi="Consolas"/>
          <w:color w:val="2E864B"/>
          <w:sz w:val="20"/>
        </w:rPr>
        <w:t>evidence_url</w:t>
      </w:r>
      <w:r>
        <w:t>.</w:t>
      </w:r>
    </w:p>
    <w:p>
      <w:pPr>
        <w:pStyle w:val="Heading3"/>
      </w:pPr>
      <w:r>
        <w:t>4. biomarker_disease_trajectories</w:t>
      </w:r>
    </w:p>
    <w:p>
      <w:r>
        <w:t>Models disease progression over time. Each record represents a stage in a</w:t>
      </w:r>
    </w:p>
    <w:p>
      <w:r>
        <w:t>disease trajectory -- from earliest detectable biomarker changes through</w:t>
      </w:r>
    </w:p>
    <w:p>
      <w:r>
        <w:t>pre-clinical diagnosis to clinical disease.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disease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Disease category (diabetes, cardiovascular, liver, thyroid, iron, nutritional)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category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Disease classification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biomarker_pattern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JSON string of biomarker thresholds defining this stage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risk_score_formula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Algorithm used to calculate risk at this stage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stage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Stage name (e.g., pre-diabetes, early, advanced)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progression_rate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Typical rate of progression between stages</w:t>
            </w:r>
          </w:p>
        </w:tc>
      </w:tr>
    </w:tbl>
    <w:p>
      <w:r>
        <w:t xml:space="preserve">Additional fields include </w:t>
      </w:r>
      <w:r>
        <w:rPr>
          <w:rFonts w:ascii="Consolas" w:hAnsi="Consolas"/>
          <w:color w:val="2E864B"/>
          <w:sz w:val="20"/>
        </w:rPr>
        <w:t>years_to_diagnosis</w:t>
      </w:r>
      <w:r>
        <w:t xml:space="preserve">, </w:t>
      </w:r>
      <w:r>
        <w:rPr>
          <w:rFonts w:ascii="Consolas" w:hAnsi="Consolas"/>
          <w:color w:val="2E864B"/>
          <w:sz w:val="20"/>
        </w:rPr>
        <w:t>intervention_window</w:t>
      </w:r>
      <w:r>
        <w:t>, and</w:t>
      </w:r>
    </w:p>
    <w:p>
      <w:r/>
      <w:r>
        <w:rPr>
          <w:rFonts w:ascii="Consolas" w:hAnsi="Consolas"/>
          <w:color w:val="2E864B"/>
          <w:sz w:val="20"/>
        </w:rPr>
        <w:t>risk_reduction_pct</w:t>
      </w:r>
      <w:r>
        <w:t xml:space="preserve"> (potential risk reduction with intervention).</w:t>
      </w:r>
    </w:p>
    <w:p>
      <w:pPr>
        <w:pStyle w:val="Heading3"/>
      </w:pPr>
      <w:r>
        <w:t>5. biomarker_clinical_evidence</w:t>
      </w:r>
    </w:p>
    <w:p>
      <w:r>
        <w:t>Published clinical literature indexed for retrieval. Each record is a chunk from</w:t>
      </w:r>
    </w:p>
    <w:p>
      <w:r>
        <w:t>a journal article, systematic review, or clinical guideline.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title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Publication title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text_chunk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Text passage for embedding and retrieval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source_type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Type of source (journal article, review, guideline, meta-analysis)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year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Publication year (enables temporal filtering)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biomarker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Primary biomarker discussed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disease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Disease area or specialty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evidence_level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Strength of evidence (I, II, III, IV)</w:t>
            </w:r>
          </w:p>
        </w:tc>
      </w:tr>
    </w:tbl>
    <w:p>
      <w:r>
        <w:t xml:space="preserve">Additional fields include </w:t>
      </w:r>
      <w:r>
        <w:rPr>
          <w:rFonts w:ascii="Consolas" w:hAnsi="Consolas"/>
          <w:color w:val="2E864B"/>
          <w:sz w:val="20"/>
        </w:rPr>
        <w:t>pmid</w:t>
      </w:r>
      <w:r>
        <w:t xml:space="preserve"> (PubMed ID for citation linking) and </w:t>
      </w:r>
      <w:r>
        <w:rPr>
          <w:rFonts w:ascii="Consolas" w:hAnsi="Consolas"/>
          <w:color w:val="2E864B"/>
          <w:sz w:val="20"/>
        </w:rPr>
        <w:t>finding</w:t>
      </w:r>
      <w:r/>
    </w:p>
    <w:p>
      <w:r>
        <w:t>(key finding summary). The RAG engine can filter this collection by year range</w:t>
      </w:r>
    </w:p>
    <w:p>
      <w:r>
        <w:t>(e.g., only evidence from 2020-2026).</w:t>
      </w:r>
    </w:p>
    <w:p>
      <w:pPr>
        <w:pStyle w:val="Heading3"/>
      </w:pPr>
      <w:r>
        <w:t>6. biomarker_nutrition</w:t>
      </w:r>
    </w:p>
    <w:p>
      <w:r>
        <w:t>Genotype-aware nutritional guidelines. These go beyond generic dietary advice</w:t>
      </w:r>
    </w:p>
    <w:p>
      <w:r>
        <w:t>to account for how genetic variants affect nutrient metabolism.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nutrient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Nutrient name (e.g., Folate, Vitamin D, Omega-3)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biomarker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Related biomarker (e.g., homocysteine, 25-OH Vitamin D)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effect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How the genotype affects nutrient metabolism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recommended_intake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Genotype-adjusted intake recommendation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deficiency_threshold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Threshold below which deficiency is likely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food_sources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Dietary sources for this nutrient</w:t>
            </w:r>
          </w:p>
        </w:tc>
      </w:tr>
    </w:tbl>
    <w:p>
      <w:r>
        <w:t xml:space="preserve">Additional fields include </w:t>
      </w:r>
      <w:r>
        <w:rPr>
          <w:rFonts w:ascii="Consolas" w:hAnsi="Consolas"/>
          <w:color w:val="2E864B"/>
          <w:sz w:val="20"/>
        </w:rPr>
        <w:t>genetic_context</w:t>
      </w:r>
      <w:r>
        <w:t xml:space="preserve"> (e.g., "MTHFR C677T heterozygous"),</w:t>
      </w:r>
    </w:p>
    <w:p>
      <w:r/>
      <w:r>
        <w:rPr>
          <w:rFonts w:ascii="Consolas" w:hAnsi="Consolas"/>
          <w:color w:val="2E864B"/>
          <w:sz w:val="20"/>
        </w:rPr>
        <w:t>recommended_form</w:t>
      </w:r>
      <w:r>
        <w:t xml:space="preserve"> (e.g., "methylfolate" instead of "folic acid" for MTHFR</w:t>
      </w:r>
    </w:p>
    <w:p>
      <w:r>
        <w:t xml:space="preserve">carriers), and </w:t>
      </w:r>
      <w:r>
        <w:rPr>
          <w:rFonts w:ascii="Consolas" w:hAnsi="Consolas"/>
          <w:color w:val="2E864B"/>
          <w:sz w:val="20"/>
        </w:rPr>
        <w:t>dose_range</w:t>
      </w:r>
      <w:r>
        <w:t>.</w:t>
      </w:r>
    </w:p>
    <w:p>
      <w:pPr>
        <w:pStyle w:val="Heading3"/>
      </w:pPr>
      <w:r>
        <w:t>7. biomarker_drug_interactions</w:t>
      </w:r>
    </w:p>
    <w:p>
      <w:r>
        <w:t>Gene-drug interactions that affect biomarker levels. Distinct from PGx rules</w:t>
      </w:r>
    </w:p>
    <w:p>
      <w:r>
        <w:t>(which focus on drug dosing), these records describe how a drug alters a</w:t>
      </w:r>
    </w:p>
    <w:p>
      <w:r>
        <w:t>biomarker measurement.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drug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Drug name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biomarker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Affected biomarker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direction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Direction of change (increase, decrease)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magnitude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Size of the effect (mild, moderate, significant)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mechanism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How the drug affects the biomarker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clinical_significance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Whether the change requires clinical action</w:t>
            </w:r>
          </w:p>
        </w:tc>
      </w:tr>
    </w:tbl>
    <w:p>
      <w:r>
        <w:t xml:space="preserve">Additional fields include </w:t>
      </w:r>
      <w:r>
        <w:rPr>
          <w:rFonts w:ascii="Consolas" w:hAnsi="Consolas"/>
          <w:color w:val="2E864B"/>
          <w:sz w:val="20"/>
        </w:rPr>
        <w:t>gene</w:t>
      </w:r>
      <w:r>
        <w:t xml:space="preserve"> (gene involved in the interaction),</w:t>
      </w:r>
    </w:p>
    <w:p>
      <w:r/>
      <w:r>
        <w:rPr>
          <w:rFonts w:ascii="Consolas" w:hAnsi="Consolas"/>
          <w:color w:val="2E864B"/>
          <w:sz w:val="20"/>
        </w:rPr>
        <w:t>interaction_type</w:t>
      </w:r>
      <w:r>
        <w:t xml:space="preserve"> (substrate, inhibitor, inducer), </w:t>
      </w:r>
      <w:r>
        <w:rPr>
          <w:rFonts w:ascii="Consolas" w:hAnsi="Consolas"/>
          <w:color w:val="2E864B"/>
          <w:sz w:val="20"/>
        </w:rPr>
        <w:t>severity</w:t>
      </w:r>
      <w:r>
        <w:t>, and</w:t>
      </w:r>
    </w:p>
    <w:p>
      <w:r/>
      <w:r>
        <w:rPr>
          <w:rFonts w:ascii="Consolas" w:hAnsi="Consolas"/>
          <w:color w:val="2E864B"/>
          <w:sz w:val="20"/>
        </w:rPr>
        <w:t>alternative</w:t>
      </w:r>
      <w:r>
        <w:t xml:space="preserve"> (alternative drug recommendation).</w:t>
      </w:r>
    </w:p>
    <w:p>
      <w:pPr>
        <w:pStyle w:val="Heading3"/>
      </w:pPr>
      <w:r>
        <w:t>8. biomarker_aging_markers</w:t>
      </w:r>
    </w:p>
    <w:p>
      <w:r>
        <w:t>Stores the coefficients and interpretation guides for epigenetic aging clock</w:t>
      </w:r>
    </w:p>
    <w:p>
      <w:r>
        <w:t>biomarkers. These are the markers used by the PhenoAge and GrimAge algorithms</w:t>
      </w:r>
    </w:p>
    <w:p>
      <w:r>
        <w:t>to estimate biological 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biomarker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Marker name (e.g., Albumin, Creatinine, Glucose)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age_coefficient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Coefficient weight in the clock algorithm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phenoage_weight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Specific PhenoAge coefficient value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optimal_range_by_age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How the optimal range shifts with chronological age</w:t>
            </w:r>
          </w:p>
        </w:tc>
      </w:tr>
    </w:tbl>
    <w:p>
      <w:r>
        <w:t xml:space="preserve">Additional fields include </w:t>
      </w:r>
      <w:r>
        <w:rPr>
          <w:rFonts w:ascii="Consolas" w:hAnsi="Consolas"/>
          <w:color w:val="2E864B"/>
          <w:sz w:val="20"/>
        </w:rPr>
        <w:t>clock_type</w:t>
      </w:r>
      <w:r>
        <w:t xml:space="preserve"> (PhenoAge or GrimAge), </w:t>
      </w:r>
      <w:r>
        <w:rPr>
          <w:rFonts w:ascii="Consolas" w:hAnsi="Consolas"/>
          <w:color w:val="2E864B"/>
          <w:sz w:val="20"/>
        </w:rPr>
        <w:t>unit</w:t>
      </w:r>
      <w:r>
        <w:t>, and</w:t>
      </w:r>
    </w:p>
    <w:p>
      <w:r/>
      <w:r>
        <w:rPr>
          <w:rFonts w:ascii="Consolas" w:hAnsi="Consolas"/>
          <w:color w:val="2E864B"/>
          <w:sz w:val="20"/>
        </w:rPr>
        <w:t>interpretation</w:t>
      </w:r>
      <w:r>
        <w:t xml:space="preserve"> (clinical explanation of the marker's role in aging).</w:t>
      </w:r>
    </w:p>
    <w:p>
      <w:pPr>
        <w:pStyle w:val="Heading3"/>
      </w:pPr>
      <w:r>
        <w:t>9. biomarker_genotype_adjustments</w:t>
      </w:r>
    </w:p>
    <w:p>
      <w:r>
        <w:t>Stores the adjusted reference ranges for biomarkers based on specific genotypes.</w:t>
      </w:r>
    </w:p>
    <w:p>
      <w:r>
        <w:t>When a patient carries a variant that shifts what "normal" means, this collection</w:t>
      </w:r>
    </w:p>
    <w:p>
      <w:r>
        <w:t>provides the corrected range.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biomarker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Biomarker name (e.g., homocysteine, ALT, TSH)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genotype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Specific genotype (e.g., CT, TT, CG, GG)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ancestry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Population/ancestry context for the adjustment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adjustment_factor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Multiplier or offset applied to the standard range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reference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Published source for the adjustment</w:t>
            </w:r>
          </w:p>
        </w:tc>
      </w:tr>
    </w:tbl>
    <w:p>
      <w:r>
        <w:t xml:space="preserve">Additional fields include </w:t>
      </w:r>
      <w:r>
        <w:rPr>
          <w:rFonts w:ascii="Consolas" w:hAnsi="Consolas"/>
          <w:color w:val="2E864B"/>
          <w:sz w:val="20"/>
        </w:rPr>
        <w:t>gene</w:t>
      </w:r>
      <w:r>
        <w:t xml:space="preserve">, </w:t>
      </w:r>
      <w:r>
        <w:rPr>
          <w:rFonts w:ascii="Consolas" w:hAnsi="Consolas"/>
          <w:color w:val="2E864B"/>
          <w:sz w:val="20"/>
        </w:rPr>
        <w:t>rs_id</w:t>
      </w:r>
      <w:r>
        <w:t xml:space="preserve">, </w:t>
      </w:r>
      <w:r>
        <w:rPr>
          <w:rFonts w:ascii="Consolas" w:hAnsi="Consolas"/>
          <w:color w:val="2E864B"/>
          <w:sz w:val="20"/>
        </w:rPr>
        <w:t>genotype_ref</w:t>
      </w:r>
      <w:r>
        <w:t xml:space="preserve"> (reference genotype),</w:t>
      </w:r>
    </w:p>
    <w:p>
      <w:r/>
      <w:r>
        <w:rPr>
          <w:rFonts w:ascii="Consolas" w:hAnsi="Consolas"/>
          <w:color w:val="2E864B"/>
          <w:sz w:val="20"/>
        </w:rPr>
        <w:t>genotype_het</w:t>
      </w:r>
      <w:r>
        <w:t xml:space="preserve"> (heterozygous), </w:t>
      </w:r>
      <w:r>
        <w:rPr>
          <w:rFonts w:ascii="Consolas" w:hAnsi="Consolas"/>
          <w:color w:val="2E864B"/>
          <w:sz w:val="20"/>
        </w:rPr>
        <w:t>genotype_hom</w:t>
      </w:r>
      <w:r>
        <w:t xml:space="preserve"> (homozygous alternate),</w:t>
      </w:r>
    </w:p>
    <w:p>
      <w:r/>
      <w:r>
        <w:rPr>
          <w:rFonts w:ascii="Consolas" w:hAnsi="Consolas"/>
          <w:color w:val="2E864B"/>
          <w:sz w:val="20"/>
        </w:rPr>
        <w:t>adjusted_min</w:t>
      </w:r>
      <w:r>
        <w:t xml:space="preserve">, </w:t>
      </w:r>
      <w:r>
        <w:rPr>
          <w:rFonts w:ascii="Consolas" w:hAnsi="Consolas"/>
          <w:color w:val="2E864B"/>
          <w:sz w:val="20"/>
        </w:rPr>
        <w:t>adjusted_max</w:t>
      </w:r>
      <w:r>
        <w:t xml:space="preserve">, and </w:t>
      </w:r>
      <w:r>
        <w:rPr>
          <w:rFonts w:ascii="Consolas" w:hAnsi="Consolas"/>
          <w:color w:val="2E864B"/>
          <w:sz w:val="20"/>
        </w:rPr>
        <w:t>rationale</w:t>
      </w:r>
      <w:r>
        <w:t>.</w:t>
      </w:r>
    </w:p>
    <w:p>
      <w:pPr>
        <w:pStyle w:val="Heading3"/>
      </w:pPr>
      <w:r>
        <w:t>10. biomarker_monitoring</w:t>
      </w:r>
    </w:p>
    <w:p>
      <w:r>
        <w:t>Condition-specific monitoring protocols. Once a patient is identified as being</w:t>
      </w:r>
    </w:p>
    <w:p>
      <w:r>
        <w:t>at risk, how often should they be tested, and what should trigger escalation?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biomarker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Biomarker to monitor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condition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Medical condition requiring monitoring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frequency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How often to test (e.g., "every 3 months")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alert_threshold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Value that triggers a clinical alert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escalation_protocol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What to do when the alert threshold is crossed</w:t>
            </w:r>
          </w:p>
        </w:tc>
      </w:tr>
    </w:tbl>
    <w:p>
      <w:r>
        <w:t xml:space="preserve">Additional fields include </w:t>
      </w:r>
      <w:r>
        <w:rPr>
          <w:rFonts w:ascii="Consolas" w:hAnsi="Consolas"/>
          <w:color w:val="2E864B"/>
          <w:sz w:val="20"/>
        </w:rPr>
        <w:t>biomarker_panel</w:t>
      </w:r>
      <w:r>
        <w:t xml:space="preserve"> (comma-separated list of all markers</w:t>
      </w:r>
    </w:p>
    <w:p>
      <w:r>
        <w:t xml:space="preserve">in the monitoring panel) and </w:t>
      </w:r>
      <w:r>
        <w:rPr>
          <w:rFonts w:ascii="Consolas" w:hAnsi="Consolas"/>
          <w:color w:val="2E864B"/>
          <w:sz w:val="20"/>
        </w:rPr>
        <w:t>trigger_values</w:t>
      </w:r>
      <w:r>
        <w:t xml:space="preserve"> (JSON string of threshold values).</w:t>
      </w:r>
    </w:p>
    <w:p>
      <w:pPr>
        <w:pStyle w:val="Heading3"/>
      </w:pPr>
      <w:r>
        <w:t>11. biomarker_critical_values</w:t>
      </w:r>
    </w:p>
    <w:p>
      <w:r>
        <w:t>Critical value thresholds that require immediate clinical action. These are the</w:t>
      </w:r>
    </w:p>
    <w:p>
      <w:r>
        <w:t>"panic values" -- results so far outside normal that they represent an</w:t>
      </w:r>
    </w:p>
    <w:p>
      <w:r>
        <w:t>immediate health risk.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biomarker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Biomarker name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low_critical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Below this value, immediate action is required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high_critical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Above this value, immediate action is required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unit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Measurement unit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action_required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Clinical action to take</w:t>
            </w:r>
          </w:p>
        </w:tc>
      </w:tr>
    </w:tbl>
    <w:p>
      <w:r>
        <w:t xml:space="preserve">Additional fields include </w:t>
      </w:r>
      <w:r>
        <w:rPr>
          <w:rFonts w:ascii="Consolas" w:hAnsi="Consolas"/>
          <w:color w:val="2E864B"/>
          <w:sz w:val="20"/>
        </w:rPr>
        <w:t>loinc_code</w:t>
      </w:r>
      <w:r>
        <w:t xml:space="preserve"> (standardized lab code), </w:t>
      </w:r>
      <w:r>
        <w:rPr>
          <w:rFonts w:ascii="Consolas" w:hAnsi="Consolas"/>
          <w:color w:val="2E864B"/>
          <w:sz w:val="20"/>
        </w:rPr>
        <w:t>severity</w:t>
      </w:r>
      <w:r/>
    </w:p>
    <w:p>
      <w:r>
        <w:t xml:space="preserve">(critical/urgent/warning), </w:t>
      </w:r>
      <w:r>
        <w:rPr>
          <w:rFonts w:ascii="Consolas" w:hAnsi="Consolas"/>
          <w:color w:val="2E864B"/>
          <w:sz w:val="20"/>
        </w:rPr>
        <w:t>escalation_target</w:t>
      </w:r>
      <w:r>
        <w:t xml:space="preserve"> (who to notify), and</w:t>
      </w:r>
    </w:p>
    <w:p>
      <w:r/>
      <w:r>
        <w:rPr>
          <w:rFonts w:ascii="Consolas" w:hAnsi="Consolas"/>
          <w:color w:val="2E864B"/>
          <w:sz w:val="20"/>
        </w:rPr>
        <w:t>cross_checks</w:t>
      </w:r>
      <w:r>
        <w:t xml:space="preserve"> (other biomarkers to verify before acting).</w:t>
      </w:r>
    </w:p>
    <w:p>
      <w:pPr>
        <w:pStyle w:val="Heading3"/>
      </w:pPr>
      <w:r>
        <w:t>12. biomarker_discordance_rules</w:t>
      </w:r>
    </w:p>
    <w:p>
      <w:r>
        <w:t>Patterns of cross-biomarker inconsistency that are clinically meaningful. When</w:t>
      </w:r>
    </w:p>
    <w:p>
      <w:r>
        <w:t>two biomarkers that should move together diverge, it may indicate a specific</w:t>
      </w:r>
    </w:p>
    <w:p>
      <w:r>
        <w:t>condition, lab error, or rare disease.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biomarker_a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First biomarker in the pair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biomarker_b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Second biomarker in the pair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expected_relationship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How these markers normally relate (e.g., "both elevated in inflammation")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discordance_threshold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How far apart they must be to trigger a flag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clinical_implication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What the discordance might mean clinically</w:t>
            </w:r>
          </w:p>
        </w:tc>
      </w:tr>
    </w:tbl>
    <w:p>
      <w:r>
        <w:t xml:space="preserve">Additional fields include </w:t>
      </w:r>
      <w:r>
        <w:rPr>
          <w:rFonts w:ascii="Consolas" w:hAnsi="Consolas"/>
          <w:color w:val="2E864B"/>
          <w:sz w:val="20"/>
        </w:rPr>
        <w:t>name</w:t>
      </w:r>
      <w:r>
        <w:t xml:space="preserve"> (rule name), </w:t>
      </w:r>
      <w:r>
        <w:rPr>
          <w:rFonts w:ascii="Consolas" w:hAnsi="Consolas"/>
          <w:color w:val="2E864B"/>
          <w:sz w:val="20"/>
        </w:rPr>
        <w:t>condition</w:t>
      </w:r>
      <w:r>
        <w:t xml:space="preserve"> (triggering</w:t>
      </w:r>
    </w:p>
    <w:p>
      <w:r>
        <w:t xml:space="preserve">condition), </w:t>
      </w:r>
      <w:r>
        <w:rPr>
          <w:rFonts w:ascii="Consolas" w:hAnsi="Consolas"/>
          <w:color w:val="2E864B"/>
          <w:sz w:val="20"/>
        </w:rPr>
        <w:t>differential_diagnosis</w:t>
      </w:r>
      <w:r>
        <w:t xml:space="preserve">, </w:t>
      </w:r>
      <w:r>
        <w:rPr>
          <w:rFonts w:ascii="Consolas" w:hAnsi="Consolas"/>
          <w:color w:val="2E864B"/>
          <w:sz w:val="20"/>
        </w:rPr>
        <w:t>agent_handoff</w:t>
      </w:r>
      <w:r>
        <w:t xml:space="preserve"> (which other agent to</w:t>
      </w:r>
    </w:p>
    <w:p>
      <w:r>
        <w:t xml:space="preserve">consult), and </w:t>
      </w:r>
      <w:r>
        <w:rPr>
          <w:rFonts w:ascii="Consolas" w:hAnsi="Consolas"/>
          <w:color w:val="2E864B"/>
          <w:sz w:val="20"/>
        </w:rPr>
        <w:t>priority</w:t>
      </w:r>
      <w:r>
        <w:t xml:space="preserve"> (high/medium/low).</w:t>
      </w:r>
    </w:p>
    <w:p>
      <w:pPr>
        <w:pStyle w:val="Heading3"/>
      </w:pPr>
      <w:r>
        <w:t>13. biomarker_aj_carrier_screening</w:t>
      </w:r>
    </w:p>
    <w:p>
      <w:r>
        <w:t>Ashkenazi Jewish carrier screening panel data. This collection covers genetic</w:t>
      </w:r>
    </w:p>
    <w:p>
      <w:r>
        <w:t>conditions with elevated carrier frequency in the Ashkenazi Jewish population.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gene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Gene symbol (e.g., BRCA1, BRCA2, GBA, HEXA, FANCC)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variant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Specific pathogenic variant(s)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condition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Associated disease (e.g., Tay-Sachs, Gaucher, Fanconi Anemia)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carrier_frequency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Carrier frequency in AJ population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clinical_action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Recommended clinical follow-up</w:t>
            </w:r>
          </w:p>
        </w:tc>
      </w:tr>
    </w:tbl>
    <w:p>
      <w:r>
        <w:t xml:space="preserve">Additional fields include </w:t>
      </w:r>
      <w:r>
        <w:rPr>
          <w:rFonts w:ascii="Consolas" w:hAnsi="Consolas"/>
          <w:color w:val="2E864B"/>
          <w:sz w:val="20"/>
        </w:rPr>
        <w:t>inheritance</w:t>
      </w:r>
      <w:r>
        <w:t xml:space="preserve"> (autosomal recessive, etc.),</w:t>
      </w:r>
    </w:p>
    <w:p>
      <w:r/>
      <w:r>
        <w:rPr>
          <w:rFonts w:ascii="Consolas" w:hAnsi="Consolas"/>
          <w:color w:val="2E864B"/>
          <w:sz w:val="20"/>
        </w:rPr>
        <w:t>general_carrier_frequency</w:t>
      </w:r>
      <w:r>
        <w:t xml:space="preserve">, </w:t>
      </w:r>
      <w:r>
        <w:rPr>
          <w:rFonts w:ascii="Consolas" w:hAnsi="Consolas"/>
          <w:color w:val="2E864B"/>
          <w:sz w:val="20"/>
        </w:rPr>
        <w:t>common_mutations</w:t>
      </w:r>
      <w:r>
        <w:t xml:space="preserve">, </w:t>
      </w:r>
      <w:r>
        <w:rPr>
          <w:rFonts w:ascii="Consolas" w:hAnsi="Consolas"/>
          <w:color w:val="2E864B"/>
          <w:sz w:val="20"/>
        </w:rPr>
        <w:t>loinc_code</w:t>
      </w:r>
      <w:r>
        <w:t xml:space="preserve">, </w:t>
      </w:r>
      <w:r>
        <w:rPr>
          <w:rFonts w:ascii="Consolas" w:hAnsi="Consolas"/>
          <w:color w:val="2E864B"/>
          <w:sz w:val="20"/>
        </w:rPr>
        <w:t>method</w:t>
      </w:r>
      <w:r>
        <w:t>,</w:t>
      </w:r>
    </w:p>
    <w:p>
      <w:r/>
      <w:r>
        <w:rPr>
          <w:rFonts w:ascii="Consolas" w:hAnsi="Consolas"/>
          <w:color w:val="2E864B"/>
          <w:sz w:val="20"/>
        </w:rPr>
        <w:t>clinical_significance</w:t>
      </w:r>
      <w:r>
        <w:t xml:space="preserve">, </w:t>
      </w:r>
      <w:r>
        <w:rPr>
          <w:rFonts w:ascii="Consolas" w:hAnsi="Consolas"/>
          <w:color w:val="2E864B"/>
          <w:sz w:val="20"/>
        </w:rPr>
        <w:t>reproductive_implications</w:t>
      </w:r>
      <w:r>
        <w:t xml:space="preserve">, and </w:t>
      </w:r>
      <w:r>
        <w:rPr>
          <w:rFonts w:ascii="Consolas" w:hAnsi="Consolas"/>
          <w:color w:val="2E864B"/>
          <w:sz w:val="20"/>
        </w:rPr>
        <w:t>compound_risks</w:t>
      </w:r>
      <w:r/>
    </w:p>
    <w:p>
      <w:r>
        <w:t>(e.g., GBA + APOE e4 interaction for Parkinson's risk).</w:t>
      </w:r>
    </w:p>
    <w:p>
      <w:pPr>
        <w:pStyle w:val="Heading3"/>
      </w:pPr>
      <w:r>
        <w:t>14. genomic_evidence</w:t>
      </w:r>
    </w:p>
    <w:p>
      <w:r>
        <w:t xml:space="preserve">A </w:t>
      </w:r>
      <w:r>
        <w:rPr>
          <w:b/>
        </w:rPr>
        <w:t>read-only</w:t>
      </w:r>
      <w:r>
        <w:t xml:space="preserve"> shared collection populated by the Genomics Pipeline. Contains</w:t>
      </w:r>
    </w:p>
    <w:p>
      <w:r>
        <w:t>VCF-derived variant data for the patient. The Biomarker Intelligence Agent</w:t>
      </w:r>
    </w:p>
    <w:p>
      <w:r>
        <w:t>searches this collection but does not write to it.</w:t>
      </w:r>
    </w:p>
    <w:p>
      <w:r>
        <w:t>This collection bridges the gap between raw genomic data (the Genomics Pipeline</w:t>
      </w:r>
    </w:p>
    <w:p>
      <w:r>
        <w:t>output) and the biomarker interpretation layer. When the agent detects a</w:t>
      </w:r>
    </w:p>
    <w:p>
      <w:r>
        <w:t>pharmacogenomic variant or disease-associated SNP in genomic_evidence, it links</w:t>
      </w:r>
    </w:p>
    <w:p>
      <w:r>
        <w:t>that finding to the relevant PGx rule, disease trajectory, or genotype</w:t>
      </w:r>
    </w:p>
    <w:p>
      <w:r>
        <w:t>adjustment.</w:t>
      </w:r>
    </w:p>
    <w:p>
      <w:r>
        <w:t>____________________________________________________________</w:t>
      </w:r>
    </w:p>
    <w:p>
      <w:pPr>
        <w:pStyle w:val="Heading2"/>
      </w:pPr>
      <w:r>
        <w:t>Chapter 8: The Knowledge Graph</w:t>
      </w:r>
    </w:p>
    <w:p>
      <w:r>
        <w:t>Beyond the 14 searchable collections, the agent maintains a structured knowledge</w:t>
      </w:r>
    </w:p>
    <w:p>
      <w:r>
        <w:t xml:space="preserve">graph in </w:t>
      </w:r>
      <w:r>
        <w:rPr>
          <w:rFonts w:ascii="Consolas" w:hAnsi="Consolas"/>
          <w:color w:val="2E864B"/>
          <w:sz w:val="20"/>
        </w:rPr>
        <w:t>src/knowledge.py</w:t>
      </w:r>
      <w:r>
        <w:t xml:space="preserve"> (1,326 lines). This is not stored in Milvus; it is</w:t>
      </w:r>
    </w:p>
    <w:p>
      <w:r>
        <w:t>compiled into the application and injected into LLM prompts as additional</w:t>
      </w:r>
    </w:p>
    <w:p>
      <w:r>
        <w:t>context when relevant topics are detected.</w:t>
      </w:r>
    </w:p>
    <w:p>
      <w:pPr>
        <w:pStyle w:val="Heading3"/>
      </w:pPr>
      <w:r>
        <w:t>6 Disease Domains</w:t>
      </w:r>
    </w:p>
    <w:p>
      <w:r>
        <w:t>The knowledge graph defines 7 disease domains (6 primary, plus additional</w:t>
      </w:r>
    </w:p>
    <w:p>
      <w:r>
        <w:t>categories), each containing:</w:t>
      </w:r>
    </w:p>
    <w:p>
      <w:pPr>
        <w:pStyle w:val="ListBullet"/>
        <w:ind w:left="720"/>
      </w:pPr>
      <w:r>
        <w:t>Key biomarkers**: The specific markers relevant to this disease.</w:t>
      </w:r>
    </w:p>
    <w:p>
      <w:pPr>
        <w:pStyle w:val="ListBullet"/>
        <w:ind w:left="720"/>
      </w:pPr>
      <w:r>
        <w:t>Genetic modifiers**: Genes that modify disease risk or biomarker</w:t>
      </w:r>
    </w:p>
    <w:p>
      <w:r>
        <w:t>interpretation.</w:t>
      </w:r>
    </w:p>
    <w:p>
      <w:pPr>
        <w:pStyle w:val="ListBullet"/>
        <w:ind w:left="720"/>
      </w:pPr>
      <w:r>
        <w:t>Intervention targets**: Actionable levers for risk reduction.</w:t>
      </w:r>
    </w:p>
    <w:p>
      <w:pPr>
        <w:pStyle w:val="ListBullet"/>
        <w:ind w:left="720"/>
      </w:pPr>
      <w:r>
        <w:t>Clinical thresholds**: Genotype-specific cutoff values.</w:t>
      </w:r>
    </w:p>
    <w:p>
      <w:r>
        <w:t>The primary domains are:</w:t>
      </w:r>
    </w:p>
    <w:p>
      <w:pPr>
        <w:pStyle w:val="ListNumber"/>
      </w:pPr>
      <w:r/>
      <w:r>
        <w:rPr>
          <w:b/>
        </w:rPr>
        <w:t>Diabetes</w:t>
      </w:r>
      <w:r>
        <w:t xml:space="preserve"> -- HbA1c, fasting glucose, insulin, HOMA-IR. Genetic modifiers</w:t>
      </w:r>
    </w:p>
    <w:p>
      <w:r>
        <w:t>include TCF7L2 (the strongest type 2 diabetes risk gene). The knowledge graph</w:t>
      </w:r>
    </w:p>
    <w:p>
      <w:r>
        <w:t>stores genotype-specific thresholds: for example, TCF7L2 homozygous risk</w:t>
      </w:r>
    </w:p>
    <w:p>
      <w:r>
        <w:t>allele carriers have the HbA1c concern threshold lowered from 6.0% to 5.5%.</w:t>
      </w:r>
    </w:p>
    <w:p>
      <w:pPr>
        <w:pStyle w:val="ListNumber"/>
      </w:pPr>
      <w:r/>
      <w:r>
        <w:rPr>
          <w:b/>
        </w:rPr>
        <w:t>Cardiovascular</w:t>
      </w:r>
      <w:r>
        <w:t xml:space="preserve"> -- LDL, HDL, triglycerides, ApoB, Lp(a), homocysteine.</w:t>
      </w:r>
    </w:p>
    <w:p>
      <w:r>
        <w:t>Genetic modifiers include APOE (lipid metabolism), PCSK9 (LDL receptor</w:t>
      </w:r>
    </w:p>
    <w:p>
      <w:r>
        <w:t>regulation), and MTHFR (homocysteine clearance). Lp(a) above 50 mg/dL</w:t>
      </w:r>
    </w:p>
    <w:p>
      <w:r>
        <w:t>is an independent cardiovascular risk factor, genetically determined and</w:t>
      </w:r>
    </w:p>
    <w:p>
      <w:r>
        <w:t>largely unresponsive to statins.</w:t>
      </w:r>
    </w:p>
    <w:p>
      <w:pPr>
        <w:pStyle w:val="ListNumber"/>
      </w:pPr>
      <w:r/>
      <w:r>
        <w:rPr>
          <w:b/>
        </w:rPr>
        <w:t>Liver</w:t>
      </w:r>
      <w:r>
        <w:t xml:space="preserve"> -- ALT, AST, GGT, FIB-4 index. Genetic modifier: PNPLA3 I148M</w:t>
      </w:r>
    </w:p>
    <w:p>
      <w:r>
        <w:t>(rs738409), which dramatically increases NAFLD/NASH risk. The knowledge graph</w:t>
      </w:r>
    </w:p>
    <w:p>
      <w:r>
        <w:t>adjusts ALT upper limits by genotype: 56 U/L for CC, 45 for CG, 35 for GG.</w:t>
      </w:r>
    </w:p>
    <w:p>
      <w:pPr>
        <w:pStyle w:val="ListNumber"/>
      </w:pPr>
      <w:r/>
      <w:r>
        <w:rPr>
          <w:b/>
        </w:rPr>
        <w:t>Thyroid</w:t>
      </w:r>
      <w:r>
        <w:t xml:space="preserve"> -- TSH, free T3, free T4. Genetic modifier: DIO2 Thr92Ala</w:t>
      </w:r>
    </w:p>
    <w:p>
      <w:r>
        <w:t>(rs225014), affecting T4-to-T3 conversion. TSH upper limits are adjusted</w:t>
      </w:r>
    </w:p>
    <w:p>
      <w:r>
        <w:t>by genotype and age.</w:t>
      </w:r>
    </w:p>
    <w:p>
      <w:pPr>
        <w:pStyle w:val="ListNumber"/>
      </w:pPr>
      <w:r/>
      <w:r>
        <w:rPr>
          <w:b/>
        </w:rPr>
        <w:t>Iron</w:t>
      </w:r>
      <w:r>
        <w:t xml:space="preserve"> -- Ferritin, transferrin saturation, serum iron. Genetic modifier:</w:t>
      </w:r>
    </w:p>
    <w:p>
      <w:r>
        <w:t>HFE C282Y/H63D for hereditary hemochromatosis. TMPRSS6 variants affect</w:t>
      </w:r>
    </w:p>
    <w:p>
      <w:r>
        <w:t>iron-refractory anemia.</w:t>
      </w:r>
    </w:p>
    <w:p>
      <w:pPr>
        <w:pStyle w:val="ListNumber"/>
      </w:pPr>
      <w:r/>
      <w:r>
        <w:rPr>
          <w:b/>
        </w:rPr>
        <w:t>Nutritional</w:t>
      </w:r>
      <w:r>
        <w:t xml:space="preserve"> -- Folate, B12, vitamin D, omega-3 index. Multiple genetic</w:t>
      </w:r>
    </w:p>
    <w:p>
      <w:r>
        <w:t>modifiers: MTHFR (folate), FADS1 (omega-3 conversion), VDR (vitamin D</w:t>
      </w:r>
    </w:p>
    <w:p>
      <w:r>
        <w:t>receptor), BCMO1 (beta-carotene to vitamin A), FUT2 (B12 absorption).</w:t>
      </w:r>
    </w:p>
    <w:p>
      <w:pPr>
        <w:pStyle w:val="Heading3"/>
      </w:pPr>
      <w:r>
        <w:t>PhenoAge Coefficients</w:t>
      </w:r>
    </w:p>
    <w:p>
      <w:r>
        <w:t>The knowledge graph stores the complete PhenoAge algorithm context from Levine</w:t>
      </w:r>
    </w:p>
    <w:p>
      <w:r>
        <w:t>et al. 2018 (PMID:29676998). The 9 biomarkers used are albumin, creatinine,</w:t>
      </w:r>
    </w:p>
    <w:p>
      <w:r>
        <w:t>glucose, hs-CRP (log-transformed), lymphocyte percentage, MCV, RDW, alkaline</w:t>
      </w:r>
    </w:p>
    <w:p>
      <w:r>
        <w:t>phosphatase, and WBC. Each has a coefficient that represents its contribution</w:t>
      </w:r>
    </w:p>
    <w:p>
      <w:r>
        <w:t>to biological age estimation.</w:t>
      </w:r>
    </w:p>
    <w:p>
      <w:r>
        <w:t>Key insights encoded in the knowledge graph:</w:t>
      </w:r>
    </w:p>
    <w:p>
      <w:pPr>
        <w:pStyle w:val="ListBullet"/>
        <w:ind w:left="720"/>
      </w:pPr>
      <w:r>
        <w:t>Albumin is protective (coefficient -0.0336 on g/L) -- higher albumin</w:t>
      </w:r>
    </w:p>
    <w:p>
      <w:r>
        <w:t>associates with younger biological age.</w:t>
      </w:r>
    </w:p>
    <w:p>
      <w:pPr>
        <w:pStyle w:val="ListBullet"/>
        <w:ind w:left="720"/>
      </w:pPr>
      <w:r>
        <w:t>RDW has the largest positive coefficient (0.3306 on %) -- elevated RDW is a</w:t>
      </w:r>
    </w:p>
    <w:p>
      <w:r>
        <w:t>strong aging signal.</w:t>
      </w:r>
    </w:p>
    <w:p>
      <w:pPr>
        <w:pStyle w:val="ListBullet"/>
        <w:ind w:left="720"/>
      </w:pPr>
      <w:r>
        <w:t>The algorithm also includes chronological age as an input (coefficient 0.0804).</w:t>
      </w:r>
    </w:p>
    <w:p>
      <w:pPr>
        <w:pStyle w:val="ListBullet"/>
        <w:ind w:left="720"/>
      </w:pPr>
      <w:r>
        <w:t>PhenoAge uses Gompertz mortality modeling to convert a linear predictor into</w:t>
      </w:r>
    </w:p>
    <w:p>
      <w:r>
        <w:t>a biological age estimate.</w:t>
      </w:r>
    </w:p>
    <w:p>
      <w:pPr>
        <w:pStyle w:val="Heading3"/>
      </w:pPr>
      <w:r>
        <w:t>PGx Knowledge</w:t>
      </w:r>
    </w:p>
    <w:p>
      <w:r>
        <w:t>The knowledge graph stores structured data for 14 pharmacogenes:</w:t>
      </w:r>
    </w:p>
    <w:p>
      <w:pPr>
        <w:pStyle w:val="ListNumber"/>
      </w:pPr>
      <w:r>
        <w:t>CYP2D6 -- codeine, tramadol, tamoxifen, SSRIs</w:t>
      </w:r>
    </w:p>
    <w:p>
      <w:pPr>
        <w:pStyle w:val="ListNumber"/>
      </w:pPr>
      <w:r>
        <w:t>CYP2C19 -- clopidogrel, PPIs, voriconazole</w:t>
      </w:r>
    </w:p>
    <w:p>
      <w:pPr>
        <w:pStyle w:val="ListNumber"/>
      </w:pPr>
      <w:r>
        <w:t>CYP2C9 -- warfarin, NSAIDs, phenytoin</w:t>
      </w:r>
    </w:p>
    <w:p>
      <w:pPr>
        <w:pStyle w:val="ListNumber"/>
      </w:pPr>
      <w:r>
        <w:t>VKORC1 -- warfarin dose sensitivity</w:t>
      </w:r>
    </w:p>
    <w:p>
      <w:pPr>
        <w:pStyle w:val="ListNumber"/>
      </w:pPr>
      <w:r>
        <w:t>SLCO1B1 -- statin myopathy risk (simvastatin)</w:t>
      </w:r>
    </w:p>
    <w:p>
      <w:pPr>
        <w:pStyle w:val="ListNumber"/>
      </w:pPr>
      <w:r>
        <w:t>DPYD -- fluoropyrimidine toxicity (5-FU, capecitabine)</w:t>
      </w:r>
    </w:p>
    <w:p>
      <w:pPr>
        <w:pStyle w:val="ListNumber"/>
      </w:pPr>
      <w:r>
        <w:t>CYP3A5 -- tacrolimus dosing</w:t>
      </w:r>
    </w:p>
    <w:p>
      <w:pPr>
        <w:pStyle w:val="ListNumber"/>
      </w:pPr>
      <w:r>
        <w:t>TPMT -- thiopurine dosing (azathioprine, 6-MP)</w:t>
      </w:r>
    </w:p>
    <w:p>
      <w:pPr>
        <w:pStyle w:val="ListNumber"/>
      </w:pPr>
      <w:r>
        <w:t>MTHFR -- folate metabolism (informational, not CPIC Level 1A)</w:t>
      </w:r>
    </w:p>
    <w:p>
      <w:r>
        <w:t>Each gene entry includes key drugs, CPIC guideline versions, and metabolizer</w:t>
      </w:r>
    </w:p>
    <w:p>
      <w:r>
        <w:t>phenotype implications. Additional genes tracked in the pharmacogenomics module</w:t>
      </w:r>
    </w:p>
    <w:p>
      <w:r>
        <w:t>include HLA-B</w:t>
      </w:r>
      <w:r>
        <w:rPr>
          <w:i/>
        </w:rPr>
        <w:t>57:01 (abacavir hypersensitivity), G6PD, HLA-B</w:t>
      </w:r>
      <w:r>
        <w:t>58:01, UGT1A1,</w:t>
      </w:r>
    </w:p>
    <w:p>
      <w:r>
        <w:t>and NUDT15.</w:t>
      </w:r>
    </w:p>
    <w:p>
      <w:pPr>
        <w:pStyle w:val="Heading3"/>
      </w:pPr>
      <w:r>
        <w:t>Ancestry Adjustments</w:t>
      </w:r>
    </w:p>
    <w:p>
      <w:r>
        <w:t>The knowledge graph includes ancestry-aware context. Allele frequencies and</w:t>
      </w:r>
    </w:p>
    <w:p>
      <w:r>
        <w:t>disease risk differ significantly across populations. For example:</w:t>
      </w:r>
    </w:p>
    <w:p>
      <w:pPr>
        <w:pStyle w:val="ListBullet"/>
        <w:ind w:left="720"/>
      </w:pPr>
      <w:r>
        <w:t>MTHFR C677T homozygosity: ~10% in Europeans, ~25% in Hispanics.</w:t>
      </w:r>
    </w:p>
    <w:p>
      <w:pPr>
        <w:pStyle w:val="ListBullet"/>
        <w:ind w:left="720"/>
      </w:pPr>
      <w:r>
        <w:t>CYP2D6 poor metabolizer: ~6-10% in Europeans, ~1% in East Asians.</w:t>
      </w:r>
    </w:p>
    <w:p>
      <w:pPr>
        <w:pStyle w:val="ListBullet"/>
        <w:ind w:left="720"/>
      </w:pPr>
      <w:r>
        <w:t>HFE C282Y homozygosity: ~0.5% in Northern Europeans, extremely rare in</w:t>
      </w:r>
    </w:p>
    <w:p>
      <w:r>
        <w:t>Africans and East Asians.</w:t>
      </w:r>
    </w:p>
    <w:p>
      <w:pPr>
        <w:pStyle w:val="ListBullet"/>
        <w:ind w:left="720"/>
      </w:pPr>
      <w:r>
        <w:t>APOL1 high-risk genotype: ~13% in African Americans, very rare in Europeans.</w:t>
      </w:r>
    </w:p>
    <w:p>
      <w:r>
        <w:t>The agent uses the patient's self-reported ancestry (if provided) to select</w:t>
      </w:r>
    </w:p>
    <w:p>
      <w:r>
        <w:t>appropriate population-specific reference ranges and risk calculations.</w:t>
      </w:r>
    </w:p>
    <w:p>
      <w:pPr>
        <w:pStyle w:val="Heading3"/>
      </w:pPr>
      <w:r>
        <w:t>Cross-Modal Links</w:t>
      </w:r>
    </w:p>
    <w:p>
      <w:r>
        <w:t>The knowledge graph defines 8 cross-modal links that trigger communication with</w:t>
      </w:r>
    </w:p>
    <w:p>
      <w:r>
        <w:t>other HCLS AI Factory agents:</w:t>
      </w:r>
    </w:p>
    <w:p>
      <w:pPr>
        <w:pStyle w:val="ListBullet"/>
        <w:ind w:left="720"/>
      </w:pPr>
      <w:r>
        <w:t>Elevated Lp(a) or iron overload triggers the Imaging Intelligence Agent for</w:t>
      </w:r>
    </w:p>
    <w:p>
      <w:r>
        <w:t>cardiac calcium scoring or liver MRI.</w:t>
      </w:r>
    </w:p>
    <w:p>
      <w:pPr>
        <w:pStyle w:val="ListBullet"/>
        <w:ind w:left="720"/>
      </w:pPr>
      <w:r>
        <w:t>PGx drug safety alerts (e.g., DPYD poor metabolizer on fluoropyrimidines)</w:t>
      </w:r>
    </w:p>
    <w:p>
      <w:r>
        <w:t>trigger the Oncology or CAR-T Intelligence Agent.</w:t>
      </w:r>
    </w:p>
    <w:p>
      <w:pPr>
        <w:pStyle w:val="ListBullet"/>
        <w:ind w:left="720"/>
      </w:pPr>
      <w:r>
        <w:t>Novel or uncertain variants trigger re-analysis by the Genomics Pipeline.</w:t>
      </w:r>
    </w:p>
    <w:p>
      <w:r>
        <w:t>____________________________________________________________</w:t>
      </w:r>
    </w:p>
    <w:p>
      <w:pPr>
        <w:pStyle w:val="Heading2"/>
      </w:pPr>
      <w:r>
        <w:t>Chapter 9: Pharmacogenomics Explained</w:t>
      </w:r>
    </w:p>
    <w:p>
      <w:r>
        <w:t>Pharmacogenomics (PGx) is the study of how genetic variation affects drug</w:t>
      </w:r>
    </w:p>
    <w:p>
      <w:r>
        <w:t>response. This chapter explains the concepts you need to understand the agent's</w:t>
      </w:r>
    </w:p>
    <w:p>
      <w:r>
        <w:t xml:space="preserve">pharmacogenomic module, implemented in </w:t>
      </w:r>
      <w:r>
        <w:rPr>
          <w:rFonts w:ascii="Consolas" w:hAnsi="Consolas"/>
          <w:color w:val="2E864B"/>
          <w:sz w:val="20"/>
        </w:rPr>
        <w:t>src/pharmacogenomics.py</w:t>
      </w:r>
      <w:r>
        <w:t xml:space="preserve"> (1,503 lines).</w:t>
      </w:r>
    </w:p>
    <w:p>
      <w:pPr>
        <w:pStyle w:val="Heading3"/>
      </w:pPr>
      <w:r>
        <w:t>Star Alleles</w:t>
      </w:r>
    </w:p>
    <w:p>
      <w:r>
        <w:t xml:space="preserve">Pharmacogenes like CYP2D6 are described using </w:t>
      </w:r>
      <w:r>
        <w:rPr>
          <w:b/>
        </w:rPr>
        <w:t>star allele</w:t>
      </w:r>
      <w:r>
        <w:t xml:space="preserve"> nomenclature. Each</w:t>
      </w:r>
    </w:p>
    <w:p>
      <w:r>
        <w:t>star allele represents a specific combination of genetic variants in that gene:</w:t>
      </w:r>
    </w:p>
    <w:p>
      <w:pPr>
        <w:pStyle w:val="ListBullet"/>
        <w:ind w:left="720"/>
      </w:pPr>
      <w:r>
        <w:t>\</w:t>
      </w:r>
      <w:r>
        <w:rPr>
          <w:i/>
        </w:rPr>
        <w:t>1</w:t>
      </w:r>
      <w:r>
        <w:t>* -- The reference (normal function) allele. Most people carry at least</w:t>
      </w:r>
    </w:p>
    <w:p>
      <w:r>
        <w:t>one copy.</w:t>
      </w:r>
    </w:p>
    <w:p>
      <w:pPr>
        <w:pStyle w:val="ListBullet"/>
        <w:ind w:left="720"/>
      </w:pPr>
      <w:r>
        <w:t>\</w:t>
      </w:r>
      <w:r>
        <w:rPr>
          <w:i/>
        </w:rPr>
        <w:t>2</w:t>
      </w:r>
      <w:r>
        <w:t>* -- A variant with normal or near-normal function.</w:t>
      </w:r>
    </w:p>
    <w:p>
      <w:pPr>
        <w:pStyle w:val="ListBullet"/>
        <w:ind w:left="720"/>
      </w:pPr>
      <w:r>
        <w:t>\</w:t>
      </w:r>
      <w:r>
        <w:rPr>
          <w:i/>
        </w:rPr>
        <w:t>4</w:t>
      </w:r>
      <w:r>
        <w:t>* -- A common non-functional allele (the most frequent CYP2D6 null</w:t>
      </w:r>
    </w:p>
    <w:p>
      <w:r>
        <w:t>allele in Europeans).</w:t>
      </w:r>
    </w:p>
    <w:p>
      <w:pPr>
        <w:pStyle w:val="ListBullet"/>
        <w:ind w:left="720"/>
      </w:pPr>
      <w:r>
        <w:t>\</w:t>
      </w:r>
      <w:r>
        <w:rPr>
          <w:i/>
        </w:rPr>
        <w:t>5</w:t>
      </w:r>
      <w:r>
        <w:t>* -- Gene deletion (no protein produced at all).</w:t>
      </w:r>
    </w:p>
    <w:p>
      <w:pPr>
        <w:pStyle w:val="ListBullet"/>
        <w:ind w:left="720"/>
      </w:pPr>
      <w:r>
        <w:t>\</w:t>
      </w:r>
      <w:r>
        <w:rPr>
          <w:i/>
        </w:rPr>
        <w:t>17</w:t>
      </w:r>
      <w:r>
        <w:t>* -- Reduced function allele (more common in Africans).</w:t>
      </w:r>
    </w:p>
    <w:p>
      <w:pPr>
        <w:pStyle w:val="ListBullet"/>
        <w:ind w:left="720"/>
      </w:pPr>
      <w:r>
        <w:t>\</w:t>
      </w:r>
      <w:r>
        <w:rPr>
          <w:i/>
        </w:rPr>
        <w:t>xN</w:t>
      </w:r>
      <w:r>
        <w:t>* -- Gene duplication (extra copies, leading to ultra-rapid</w:t>
      </w:r>
    </w:p>
    <w:p>
      <w:r>
        <w:t>metabolism).</w:t>
      </w:r>
    </w:p>
    <w:p>
      <w:r>
        <w:t>A patient's result is written as a diplotype: two alleles separated by a slash.</w:t>
      </w:r>
    </w:p>
    <w:p>
      <w:r>
        <w:t xml:space="preserve">For example, </w:t>
      </w:r>
      <w:r>
        <w:rPr>
          <w:rFonts w:ascii="Consolas" w:hAnsi="Consolas"/>
          <w:color w:val="2E864B"/>
          <w:sz w:val="20"/>
        </w:rPr>
        <w:t>CYP2D6 *1/*4</w:t>
      </w:r>
      <w:r>
        <w:t xml:space="preserve"> means one normal allele and one non-functional</w:t>
      </w:r>
    </w:p>
    <w:p>
      <w:r>
        <w:t>allele.</w:t>
      </w:r>
    </w:p>
    <w:p>
      <w:pPr>
        <w:pStyle w:val="Heading3"/>
      </w:pPr>
      <w:r>
        <w:t>The 14 Pharmacogenes</w:t>
      </w:r>
    </w:p>
    <w:p>
      <w:r>
        <w:t>The agent maps the following 14 genes to drug recommendations:</w:t>
      </w:r>
    </w:p>
    <w:p>
      <w:r/>
      <w:r>
        <w:rPr>
          <w:b/>
        </w:rPr>
        <w:t>1. CYP2D6</w:t>
      </w:r>
      <w:r>
        <w:t xml:space="preserve"> (Cytochrome P450 2D6) -- Metabolizes ~25% of all drugs. Key drugs:</w:t>
      </w:r>
    </w:p>
    <w:p>
      <w:r>
        <w:t>codeine (converted to morphine), tramadol, tamoxifen (converted to endoxifen),</w:t>
      </w:r>
    </w:p>
    <w:p>
      <w:r>
        <w:t>SSRIs (paroxetine, fluoxetine). Poor metabolizers get no pain relief from</w:t>
      </w:r>
    </w:p>
    <w:p>
      <w:r>
        <w:t>codeine. Ultra-rapid metabolizers may overdose.</w:t>
      </w:r>
    </w:p>
    <w:p>
      <w:r/>
      <w:r>
        <w:rPr>
          <w:b/>
        </w:rPr>
        <w:t>2. CYP2C19</w:t>
      </w:r>
      <w:r>
        <w:t xml:space="preserve"> -- Metabolizes clopidogrel (the blood thinner Plavix). Poor</w:t>
      </w:r>
    </w:p>
    <w:p>
      <w:r>
        <w:t>metabolizers cannot activate clopidogrel, leading to treatment failure and</w:t>
      </w:r>
    </w:p>
    <w:p>
      <w:r>
        <w:t>potential stent thrombosis. Alternative: prasugrel or ticagrelor. Also affects</w:t>
      </w:r>
    </w:p>
    <w:p>
      <w:r>
        <w:t>PPIs (omeprazole) and voriconazole.</w:t>
      </w:r>
    </w:p>
    <w:p>
      <w:r/>
      <w:r>
        <w:rPr>
          <w:b/>
        </w:rPr>
        <w:t>3. CYP2C9</w:t>
      </w:r>
      <w:r>
        <w:t xml:space="preserve"> -- Metabolizes warfarin, NSAIDs, and phenytoin. Poor metabolizers</w:t>
      </w:r>
    </w:p>
    <w:p>
      <w:r>
        <w:t>accumulate warfarin, increasing bleeding risk. Dose reduction required.</w:t>
      </w:r>
    </w:p>
    <w:p>
      <w:r/>
      <w:r>
        <w:rPr>
          <w:b/>
        </w:rPr>
        <w:t>4. VKORC1</w:t>
      </w:r>
      <w:r>
        <w:t xml:space="preserve"> -- Not an enzyme but warfarin's drug target. The -1639G&gt;A variant</w:t>
      </w:r>
    </w:p>
    <w:p>
      <w:r>
        <w:t>(rs9923231) reduces VKORC1 expression, making patients sensitive to warfarin.</w:t>
      </w:r>
    </w:p>
    <w:p>
      <w:r>
        <w:t>Combined with CYP2C9 genotype, it determines 40-50% of warfarin dose</w:t>
      </w:r>
    </w:p>
    <w:p>
      <w:r>
        <w:t>variability.</w:t>
      </w:r>
    </w:p>
    <w:p>
      <w:r/>
      <w:r>
        <w:rPr>
          <w:b/>
        </w:rPr>
        <w:t>5. SLCO1B1</w:t>
      </w:r>
      <w:r>
        <w:t xml:space="preserve"> -- Encodes a hepatic transporter. The *5 variant (rs4149056)</w:t>
      </w:r>
    </w:p>
    <w:p>
      <w:r>
        <w:t>reduces statin uptake into the liver, increasing blood levels and myopathy risk.</w:t>
      </w:r>
    </w:p>
    <w:p>
      <w:r>
        <w:t>CPIC recommends avoiding simvastatin &gt;20 mg in carriers.</w:t>
      </w:r>
    </w:p>
    <w:p>
      <w:r/>
      <w:r>
        <w:rPr>
          <w:b/>
        </w:rPr>
        <w:t>6. DPYD</w:t>
      </w:r>
      <w:r>
        <w:t xml:space="preserve"> -- Metabolizes fluoropyrimidines (5-FU, capecitabine). This is the</w:t>
      </w:r>
    </w:p>
    <w:p>
      <w:r>
        <w:t>highest-stakes PGx interaction: DPYD poor metabolizers given standard-dose 5-FU</w:t>
      </w:r>
    </w:p>
    <w:p>
      <w:r>
        <w:t>can develop life-threatening toxicity (severe mucositis, neutropenia, death).</w:t>
      </w:r>
    </w:p>
    <w:p>
      <w:r>
        <w:t>Pre-treatment DPYD testing is now mandatory in many institutions.</w:t>
      </w:r>
    </w:p>
    <w:p>
      <w:r/>
      <w:r>
        <w:rPr>
          <w:b/>
        </w:rPr>
        <w:t>7. CYP3A5</w:t>
      </w:r>
      <w:r>
        <w:t xml:space="preserve"> -- Affects tacrolimus dosing in transplant patients. Expressers</w:t>
      </w:r>
    </w:p>
    <w:p>
      <w:r>
        <w:t>(carriers of CYP3A5 *1) metabolize tacrolimus faster and require higher doses</w:t>
      </w:r>
    </w:p>
    <w:p>
      <w:r>
        <w:t>to maintain therapeutic levels.</w:t>
      </w:r>
    </w:p>
    <w:p>
      <w:r/>
      <w:r>
        <w:rPr>
          <w:b/>
        </w:rPr>
        <w:t>8. TPMT</w:t>
      </w:r>
      <w:r>
        <w:t xml:space="preserve"> -- Metabolizes thiopurines (azathioprine, 6-mercaptopurine) used in</w:t>
      </w:r>
    </w:p>
    <w:p>
      <w:r>
        <w:t>autoimmune diseases and leukemia. Poor metabolizers risk severe</w:t>
      </w:r>
    </w:p>
    <w:p>
      <w:r>
        <w:t>myelosuppression. Dose reduction to 10% of standard is recommended.</w:t>
      </w:r>
    </w:p>
    <w:p>
      <w:r/>
      <w:r>
        <w:rPr>
          <w:b/>
        </w:rPr>
        <w:t>9. MTHFR</w:t>
      </w:r>
      <w:r>
        <w:t xml:space="preserve"> -- Encodes methylenetetrahydrofolate reductase. C677T and A1298C</w:t>
      </w:r>
    </w:p>
    <w:p>
      <w:r>
        <w:t>variants reduce enzyme activity, affecting folate metabolism and homocysteine</w:t>
      </w:r>
    </w:p>
    <w:p>
      <w:r>
        <w:t>levels. While not a formal CPIC Level 1A gene, it has significant implications</w:t>
      </w:r>
    </w:p>
    <w:p>
      <w:r>
        <w:t>for methotrexate response and nutritional supplementation.</w:t>
      </w:r>
    </w:p>
    <w:p>
      <w:pPr>
        <w:pStyle w:val="Heading3"/>
      </w:pPr>
      <w:r>
        <w:t>Metabolizer Phenotypes</w:t>
      </w:r>
    </w:p>
    <w:p>
      <w:r>
        <w:t>Star alleles are translated into four metabolizer phenotypes:</w:t>
      </w:r>
    </w:p>
    <w:p>
      <w:pPr>
        <w:pStyle w:val="ListBullet"/>
        <w:ind w:left="720"/>
      </w:pPr>
      <w:r>
        <w:t>Ultra-Rapid Metabolizer (UM)**: Converts drug too fast. Risk of toxicity</w:t>
      </w:r>
    </w:p>
    <w:p>
      <w:r>
        <w:t>from active metabolites (codeine) or treatment failure from rapid clearance.</w:t>
      </w:r>
    </w:p>
    <w:p>
      <w:pPr>
        <w:pStyle w:val="ListBullet"/>
        <w:ind w:left="720"/>
      </w:pPr>
      <w:r>
        <w:t>Normal Metabolizer (NM)**: Standard drug response. No dose adjustment</w:t>
      </w:r>
    </w:p>
    <w:p>
      <w:r>
        <w:t>needed.</w:t>
      </w:r>
    </w:p>
    <w:p>
      <w:pPr>
        <w:pStyle w:val="ListBullet"/>
        <w:ind w:left="720"/>
      </w:pPr>
      <w:r>
        <w:t>Intermediate Metabolizer (IM)**: Reduced but not absent enzyme activity.</w:t>
      </w:r>
    </w:p>
    <w:p>
      <w:r>
        <w:t>May need moderate dose adjustment.</w:t>
      </w:r>
    </w:p>
    <w:p>
      <w:pPr>
        <w:pStyle w:val="ListBullet"/>
        <w:ind w:left="720"/>
      </w:pPr>
      <w:r>
        <w:t>Poor Metabolizer (PM)**: Little to no enzyme activity. Drug accumulates</w:t>
      </w:r>
    </w:p>
    <w:p>
      <w:r>
        <w:t>(risk of toxicity) or prodrug is not activated (treatment failure).</w:t>
      </w:r>
    </w:p>
    <w:p>
      <w:pPr>
        <w:pStyle w:val="Heading3"/>
      </w:pPr>
      <w:r>
        <w:t>CPIC Levels</w:t>
      </w:r>
    </w:p>
    <w:p>
      <w:r>
        <w:t>The Clinical Pharmacogenetics Implementation Consortium assigns evidence levels:</w:t>
      </w:r>
    </w:p>
    <w:p>
      <w:pPr>
        <w:pStyle w:val="ListBullet"/>
        <w:ind w:left="720"/>
      </w:pPr>
      <w:r>
        <w:t>Level 1A**: Strong evidence, prescribing action recommended. Published CPIC</w:t>
      </w:r>
    </w:p>
    <w:p>
      <w:r>
        <w:t>guideline exists with strong evidence and strong recommendation.</w:t>
      </w:r>
    </w:p>
    <w:p>
      <w:pPr>
        <w:pStyle w:val="ListBullet"/>
        <w:ind w:left="720"/>
      </w:pPr>
      <w:r>
        <w:t>Level 1B**: Strong evidence, action recommended. Published guideline with</w:t>
      </w:r>
    </w:p>
    <w:p>
      <w:r>
        <w:t>strong evidence but moderate recommendation.</w:t>
      </w:r>
    </w:p>
    <w:p>
      <w:pPr>
        <w:pStyle w:val="ListBullet"/>
        <w:ind w:left="720"/>
      </w:pPr>
      <w:r>
        <w:t>Level 2A**: Moderate evidence, action suggested. Guideline exists with</w:t>
      </w:r>
    </w:p>
    <w:p>
      <w:r>
        <w:t>moderate evidence.</w:t>
      </w:r>
    </w:p>
    <w:p>
      <w:pPr>
        <w:pStyle w:val="ListBullet"/>
        <w:ind w:left="720"/>
      </w:pPr>
      <w:r>
        <w:t>Level 2B**: Weak evidence, action may be considered.</w:t>
      </w:r>
    </w:p>
    <w:p>
      <w:pPr>
        <w:pStyle w:val="ListBullet"/>
        <w:ind w:left="720"/>
      </w:pPr>
      <w:r>
        <w:t>Level 3**: Annotation only. Evidence exists but is insufficient for a</w:t>
      </w:r>
    </w:p>
    <w:p>
      <w:r>
        <w:t>clinical recommendation.</w:t>
      </w:r>
    </w:p>
    <w:p>
      <w:r>
        <w:t>The agent's pharmacogenomic module implements CPIC Level 1A guidelines for</w:t>
      </w:r>
    </w:p>
    <w:p>
      <w:r>
        <w:t>CYP2D6, CYP2C19, CYP2C9, VKORC1, SLCO1B1, DPYD, CYP3A5, TPMT, and others.</w:t>
      </w:r>
    </w:p>
    <w:p>
      <w:r>
        <w:t xml:space="preserve">Guideline versions are tracked in </w:t>
      </w:r>
      <w:r>
        <w:rPr>
          <w:rFonts w:ascii="Consolas" w:hAnsi="Consolas"/>
          <w:color w:val="2E864B"/>
          <w:sz w:val="20"/>
        </w:rPr>
        <w:t>CPIC_GUIDELINE_VERSIONS</w:t>
      </w:r>
      <w:r>
        <w:t xml:space="preserve"> with PMIDs for</w:t>
      </w:r>
    </w:p>
    <w:p>
      <w:r>
        <w:t>traceability.</w:t>
      </w:r>
    </w:p>
    <w:p>
      <w:r>
        <w:t>____________________________________________________________</w:t>
      </w:r>
    </w:p>
    <w:p>
      <w:pPr>
        <w:pStyle w:val="Heading2"/>
      </w:pPr>
      <w:r>
        <w:t>Chapter 10: Setting Up Locally</w:t>
      </w:r>
    </w:p>
    <w:p>
      <w:pPr>
        <w:pStyle w:val="Heading3"/>
      </w:pPr>
      <w:r>
        <w:t>Prerequisites</w:t>
      </w:r>
    </w:p>
    <w:p>
      <w:pPr>
        <w:pStyle w:val="ListBullet"/>
        <w:ind w:left="720"/>
      </w:pPr>
      <w:r>
        <w:t>Docker</w:t>
      </w:r>
      <w:r>
        <w:rPr>
          <w:b/>
        </w:rPr>
        <w:t xml:space="preserve"> and </w:t>
      </w:r>
      <w:r>
        <w:t>Docker Compose** installed.</w:t>
      </w:r>
    </w:p>
    <w:p>
      <w:pPr>
        <w:pStyle w:val="ListBullet"/>
        <w:ind w:left="720"/>
      </w:pPr>
      <w:r>
        <w:t xml:space="preserve">At least </w:t>
      </w:r>
      <w:r>
        <w:rPr>
          <w:b/>
        </w:rPr>
        <w:t>8 GB RAM</w:t>
      </w:r>
      <w:r>
        <w:t xml:space="preserve"> available for Docker.</w:t>
      </w:r>
    </w:p>
    <w:p>
      <w:pPr>
        <w:pStyle w:val="ListBullet"/>
        <w:ind w:left="720"/>
      </w:pPr>
      <w:r>
        <w:t xml:space="preserve">An </w:t>
      </w:r>
      <w:r>
        <w:rPr>
          <w:b/>
        </w:rPr>
        <w:t>Anthropic API key</w:t>
      </w:r>
      <w:r>
        <w:t xml:space="preserve"> for LLM queries (optional -- analysis modules work</w:t>
      </w:r>
    </w:p>
    <w:p>
      <w:r>
        <w:t>without it, but RAG queries require it).</w:t>
      </w:r>
    </w:p>
    <w:p>
      <w:pPr>
        <w:pStyle w:val="Heading3"/>
      </w:pPr>
      <w:r>
        <w:t>Environment Variables</w:t>
      </w:r>
    </w:p>
    <w:p>
      <w:r>
        <w:t xml:space="preserve">All configuration uses the </w:t>
      </w:r>
      <w:r>
        <w:rPr>
          <w:rFonts w:ascii="Consolas" w:hAnsi="Consolas"/>
          <w:color w:val="2E864B"/>
          <w:sz w:val="20"/>
        </w:rPr>
        <w:t>BIOMARKER_</w:t>
      </w:r>
      <w:r>
        <w:t xml:space="preserve"> prefix. Key variables: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Required for LLM queries</w:t>
        <w:br/>
        <w:t>export BIOMARKER_ANTHROPIC_API_KEY="sk-ant-..."</w:t>
        <w:br/>
        <w:br/>
        <w:t># Milvus connection (defaults shown)</w:t>
        <w:br/>
        <w:t>export BIOMARKER_MILVUS_HOST="localhost"</w:t>
        <w:br/>
        <w:t>export BIOMARKER_MILVUS_PORT=19530</w:t>
        <w:br/>
        <w:br/>
        <w:t># Service ports (defaults shown)</w:t>
        <w:br/>
        <w:t>export BIOMARKER_API_PORT=8529        # FastAPI REST API</w:t>
        <w:br/>
        <w:t>export BIOMARKER_STREAMLIT_PORT=8528  # Streamlit UI</w:t>
        <w:br/>
        <w:br/>
        <w:t># Optional: API key for authentication (empty = no auth)</w:t>
        <w:br/>
        <w:t>export BIOMARKER_API_KEY=""</w:t>
      </w:r>
    </w:p>
    <w:p>
      <w:r>
        <w:t xml:space="preserve">The settings are managed by Pydantic </w:t>
      </w:r>
      <w:r>
        <w:rPr>
          <w:rFonts w:ascii="Consolas" w:hAnsi="Consolas"/>
          <w:color w:val="2E864B"/>
          <w:sz w:val="20"/>
        </w:rPr>
        <w:t>BaseSettings</w:t>
      </w:r>
      <w:r>
        <w:t xml:space="preserve"> in </w:t>
      </w:r>
      <w:r>
        <w:rPr>
          <w:rFonts w:ascii="Consolas" w:hAnsi="Consolas"/>
          <w:color w:val="2E864B"/>
          <w:sz w:val="20"/>
        </w:rPr>
        <w:t>config/settings.py</w:t>
      </w:r>
      <w:r/>
    </w:p>
    <w:p>
      <w:r>
        <w:t xml:space="preserve">(140 lines), which reads from environment variables and </w:t>
      </w:r>
      <w:r>
        <w:rPr>
          <w:rFonts w:ascii="Consolas" w:hAnsi="Consolas"/>
          <w:color w:val="2E864B"/>
          <w:sz w:val="20"/>
        </w:rPr>
        <w:t>.env</w:t>
      </w:r>
      <w:r>
        <w:t xml:space="preserve"> files</w:t>
      </w:r>
    </w:p>
    <w:p>
      <w:r>
        <w:t>automatically.</w:t>
      </w:r>
    </w:p>
    <w:p>
      <w:pPr>
        <w:pStyle w:val="Heading3"/>
      </w:pPr>
      <w:r>
        <w:t>Ports</w:t>
      </w:r>
    </w:p>
    <w:p>
      <w:r>
        <w:t>The agent uses three ports: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Port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Protocol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**8528**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Streamlit UI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HTTP (browser)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**8529**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FastAPI REST API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HTTP (JSON)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**19530**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Milvus vector database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gRPC</w:t>
            </w:r>
          </w:p>
        </w:tc>
      </w:tr>
    </w:tbl>
    <w:p>
      <w:r>
        <w:t>Milvus also requires etcd (port 2379) and MinIO (ports 9000/9001) for its</w:t>
      </w:r>
    </w:p>
    <w:p>
      <w:r>
        <w:t>internal operations. These are managed by Docker Compose.</w:t>
      </w:r>
    </w:p>
    <w:p>
      <w:pPr>
        <w:pStyle w:val="Heading3"/>
      </w:pPr>
      <w:r>
        <w:t>Starting with Docker Compose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From the project root</w:t>
        <w:br/>
        <w:t>cd ai_agent_adds/precision_biomarker_agent</w:t>
        <w:br/>
        <w:br/>
        <w:t># Start the full stack (Milvus + API + UI)</w:t>
        <w:br/>
        <w:t>docker compose up -d</w:t>
        <w:br/>
        <w:br/>
        <w:t># Verify services are running</w:t>
        <w:br/>
        <w:t>curl http://localhost:8529/health</w:t>
      </w:r>
    </w:p>
    <w:p>
      <w:pPr>
        <w:pStyle w:val="Heading3"/>
      </w:pPr>
      <w:r>
        <w:t>Seeding the Collections</w:t>
      </w:r>
    </w:p>
    <w:p>
      <w:r>
        <w:t>On first startup, the collections need to be seeded with reference data.</w:t>
      </w:r>
    </w:p>
    <w:p>
      <w:r>
        <w:t xml:space="preserve">The seeding scripts in </w:t>
      </w:r>
      <w:r>
        <w:rPr>
          <w:rFonts w:ascii="Consolas" w:hAnsi="Consolas"/>
          <w:color w:val="2E864B"/>
          <w:sz w:val="20"/>
        </w:rPr>
        <w:t>scripts/</w:t>
      </w:r>
      <w:r>
        <w:t xml:space="preserve"> populate all 13 writable collections with</w:t>
      </w:r>
    </w:p>
    <w:p>
      <w:r>
        <w:t>biomarker definitions, genetic variants, PGx rules, disease trajectories,</w:t>
      </w:r>
    </w:p>
    <w:p>
      <w:r>
        <w:t>clinical evidence, and more.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Seed all collections</w:t>
        <w:br/>
        <w:t>python scripts/seed_collections.py</w:t>
        <w:br/>
        <w:br/>
        <w:t># Verify seeding</w:t>
        <w:br/>
        <w:t>curl http://localhost:8529/collections</w:t>
      </w:r>
    </w:p>
    <w:p>
      <w:r>
        <w:t>The response will show each collection name and its record count.</w:t>
      </w:r>
    </w:p>
    <w:p>
      <w:pPr>
        <w:pStyle w:val="Heading3"/>
      </w:pPr>
      <w:r>
        <w:t>Running Without Docker</w:t>
      </w:r>
    </w:p>
    <w:p>
      <w:r>
        <w:t>For development, you can run the services directly: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Install dependencies</w:t>
        <w:br/>
        <w:t>pip install -r requirements.txt</w:t>
        <w:br/>
        <w:br/>
        <w:t># Start the API server</w:t>
        <w:br/>
        <w:t>uvicorn api.main:app --host 0.0.0.0 --port 8529 --reload</w:t>
        <w:br/>
        <w:br/>
        <w:t># In a separate terminal, start the UI</w:t>
        <w:br/>
        <w:t>streamlit run app/biomarker_ui.py --server.port 8528</w:t>
      </w:r>
    </w:p>
    <w:p>
      <w:r>
        <w:t>This requires Milvus to be running separately (either via Docker or a managed</w:t>
      </w:r>
    </w:p>
    <w:p>
      <w:r>
        <w:t>instance).</w:t>
      </w:r>
    </w:p>
    <w:p>
      <w:r>
        <w:t>____________________________________________________________</w:t>
      </w:r>
    </w:p>
    <w:p>
      <w:pPr>
        <w:pStyle w:val="Heading2"/>
      </w:pPr>
      <w:r>
        <w:t>Chapter 11: Exploring the API</w:t>
      </w:r>
    </w:p>
    <w:p>
      <w:r>
        <w:t>The FastAPI server at port 8529 provides 19+ endpoints organized into four</w:t>
      </w:r>
    </w:p>
    <w:p>
      <w:r>
        <w:t>groups: status, analysis, reports, and events. Interactive API documentation is</w:t>
      </w:r>
    </w:p>
    <w:p>
      <w:r>
        <w:t xml:space="preserve">available at </w:t>
      </w:r>
      <w:r>
        <w:rPr>
          <w:rFonts w:ascii="Consolas" w:hAnsi="Consolas"/>
          <w:color w:val="2E864B"/>
          <w:sz w:val="20"/>
        </w:rPr>
        <w:t>http://localhost:8529/docs</w:t>
      </w:r>
      <w:r>
        <w:t xml:space="preserve"> (Swagger UI).</w:t>
      </w:r>
    </w:p>
    <w:p>
      <w:pPr>
        <w:pStyle w:val="Heading3"/>
      </w:pPr>
      <w:r>
        <w:t>Status Endpoints</w:t>
      </w:r>
    </w:p>
    <w:p>
      <w:r/>
      <w:r>
        <w:rPr>
          <w:b/>
        </w:rPr>
        <w:t>GET /health</w:t>
      </w:r>
      <w:r>
        <w:t xml:space="preserve"> -- Service health with collection and vector counts.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curl http://localhost:8529/health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{</w:t>
        <w:br/>
        <w:t xml:space="preserve">  "status": "healthy",</w:t>
        <w:br/>
        <w:t xml:space="preserve">  "collections": 14,</w:t>
        <w:br/>
        <w:t xml:space="preserve">  "total_vectors": 2847,</w:t>
        <w:br/>
        <w:t xml:space="preserve">  "agent_ready": true</w:t>
        <w:br/>
        <w:t>}</w:t>
      </w:r>
    </w:p>
    <w:p>
      <w:r/>
      <w:r>
        <w:rPr>
          <w:b/>
        </w:rPr>
        <w:t>GET /collections</w:t>
      </w:r>
      <w:r>
        <w:t xml:space="preserve"> -- Collection names and record counts.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curl http://localhost:8529/collections</w:t>
      </w:r>
    </w:p>
    <w:p>
      <w:r/>
      <w:r>
        <w:rPr>
          <w:b/>
        </w:rPr>
        <w:t>GET /knowledge/stats</w:t>
      </w:r>
      <w:r>
        <w:t xml:space="preserve"> -- Knowledge graph statistics.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curl http://localhost:8529/knowledge/stats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{</w:t>
        <w:br/>
        <w:t xml:space="preserve">  "disease_domains": 7,</w:t>
        <w:br/>
        <w:t xml:space="preserve">  "total_biomarkers": 42,</w:t>
        <w:br/>
        <w:t xml:space="preserve">  "total_genetic_modifiers": 18,</w:t>
        <w:br/>
        <w:t xml:space="preserve">  "pharmacogenes": 14,</w:t>
        <w:br/>
        <w:t xml:space="preserve">  "pgx_drug_interactions": 27,</w:t>
        <w:br/>
        <w:t xml:space="preserve">  "phenoage_markers": 9,</w:t>
        <w:br/>
        <w:t xml:space="preserve">  "cross_modal_links": 8</w:t>
        <w:br/>
        <w:t>}</w:t>
      </w:r>
    </w:p>
    <w:p>
      <w:r/>
      <w:r>
        <w:rPr>
          <w:b/>
        </w:rPr>
        <w:t>GET /metrics</w:t>
      </w:r>
      <w:r>
        <w:t xml:space="preserve"> -- Prometheus-compatible metrics.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curl http://localhost:8529/metrics</w:t>
      </w:r>
    </w:p>
    <w:p>
      <w:pPr>
        <w:pStyle w:val="Heading3"/>
      </w:pPr>
      <w:r>
        <w:t>Analysis Endpoints</w:t>
      </w:r>
    </w:p>
    <w:p>
      <w:r/>
      <w:r>
        <w:rPr>
          <w:b/>
        </w:rPr>
        <w:t>POST /v1/analyze</w:t>
      </w:r>
      <w:r>
        <w:t xml:space="preserve"> -- Full patient analysis using all modules.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curl -X POST http://localhost:8529/v1/analyze \</w:t>
        <w:br/>
        <w:t xml:space="preserve">  -H "Content-Type: application/json" \</w:t>
        <w:br/>
        <w:t xml:space="preserve">  -d '{</w:t>
        <w:br/>
        <w:t xml:space="preserve">    "patient_id": "HCLS-BIO-2026-00001",</w:t>
        <w:br/>
        <w:t xml:space="preserve">    "age": 45,</w:t>
        <w:br/>
        <w:t xml:space="preserve">    "sex": "M",</w:t>
        <w:br/>
        <w:t xml:space="preserve">    "biomarkers": {</w:t>
        <w:br/>
        <w:t xml:space="preserve">      "albumin": 4.2,</w:t>
        <w:br/>
        <w:t xml:space="preserve">      "creatinine": 0.9,</w:t>
        <w:br/>
        <w:t xml:space="preserve">      "glucose": 95,</w:t>
        <w:br/>
        <w:t xml:space="preserve">      "hs_crp": 1.2,</w:t>
        <w:br/>
        <w:t xml:space="preserve">      "lymphocyte_pct": 30,</w:t>
        <w:br/>
        <w:t xml:space="preserve">      "mcv": 88,</w:t>
        <w:br/>
        <w:t xml:space="preserve">      "rdw": 13.5,</w:t>
        <w:br/>
        <w:t xml:space="preserve">      "alkaline_phosphatase": 65,</w:t>
        <w:br/>
        <w:t xml:space="preserve">      "wbc": 6.5,</w:t>
        <w:br/>
        <w:t xml:space="preserve">      "HbA1c": 5.7,</w:t>
        <w:br/>
        <w:t xml:space="preserve">      "ferritin": 180,</w:t>
        <w:br/>
        <w:t xml:space="preserve">      "tsh": 2.5</w:t>
        <w:br/>
        <w:t xml:space="preserve">    },</w:t>
        <w:br/>
        <w:t xml:space="preserve">    "genotypes": {</w:t>
        <w:br/>
        <w:t xml:space="preserve">      "rs1801133": "CT",</w:t>
        <w:br/>
        <w:t xml:space="preserve">      "rs7903146": "CT"</w:t>
        <w:br/>
        <w:t xml:space="preserve">    },</w:t>
        <w:br/>
        <w:t xml:space="preserve">    "star_alleles": {</w:t>
        <w:br/>
        <w:t xml:space="preserve">      "CYP2D6": "*1/*2",</w:t>
        <w:br/>
        <w:t xml:space="preserve">      "CYP2C19": "*1/*1"</w:t>
        <w:br/>
        <w:t xml:space="preserve">    }</w:t>
        <w:br/>
        <w:t xml:space="preserve">  }'</w:t>
      </w:r>
    </w:p>
    <w:p>
      <w:r/>
      <w:r>
        <w:rPr>
          <w:b/>
        </w:rPr>
        <w:t>POST /v1/biological-age</w:t>
      </w:r>
      <w:r>
        <w:t xml:space="preserve"> -- Biological age calculation only.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curl -X POST http://localhost:8529/v1/biological-age \</w:t>
        <w:br/>
        <w:t xml:space="preserve">  -H "Content-Type: application/json" \</w:t>
        <w:br/>
        <w:t xml:space="preserve">  -d '{</w:t>
        <w:br/>
        <w:t xml:space="preserve">    "age": 45,</w:t>
        <w:br/>
        <w:t xml:space="preserve">    "biomarkers": {</w:t>
        <w:br/>
        <w:t xml:space="preserve">      "albumin": 4.2,</w:t>
        <w:br/>
        <w:t xml:space="preserve">      "creatinine": 0.9,</w:t>
        <w:br/>
        <w:t xml:space="preserve">      "glucose": 95,</w:t>
        <w:br/>
        <w:t xml:space="preserve">      "hs_crp": 1.2,</w:t>
        <w:br/>
        <w:t xml:space="preserve">      "lymphocyte_pct": 30,</w:t>
        <w:br/>
        <w:t xml:space="preserve">      "mcv": 88,</w:t>
        <w:br/>
        <w:t xml:space="preserve">      "rdw": 13.5,</w:t>
        <w:br/>
        <w:t xml:space="preserve">      "alkaline_phosphatase": 65,</w:t>
        <w:br/>
        <w:t xml:space="preserve">      "wbc": 6.5</w:t>
        <w:br/>
        <w:t xml:space="preserve">    }</w:t>
        <w:br/>
        <w:t xml:space="preserve">  }'</w:t>
      </w:r>
    </w:p>
    <w:p>
      <w:r/>
      <w:r>
        <w:rPr>
          <w:b/>
        </w:rPr>
        <w:t>POST /v1/disease-risk</w:t>
      </w:r>
      <w:r>
        <w:t xml:space="preserve"> -- Disease trajectory analysis.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curl -X POST http://localhost:8529/v1/disease-risk \</w:t>
        <w:br/>
        <w:t xml:space="preserve">  -H "Content-Type: application/json" \</w:t>
        <w:br/>
        <w:t xml:space="preserve">  -d '{</w:t>
        <w:br/>
        <w:t xml:space="preserve">    "age": 45,</w:t>
        <w:br/>
        <w:t xml:space="preserve">    "sex": "M",</w:t>
        <w:br/>
        <w:t xml:space="preserve">    "biomarkers": {"HbA1c": 5.8, "fasting_glucose": 105, "triglycerides": 180},</w:t>
        <w:br/>
        <w:t xml:space="preserve">    "genotypes": {"rs7903146": "CT"}</w:t>
        <w:br/>
        <w:t xml:space="preserve">  }'</w:t>
      </w:r>
    </w:p>
    <w:p>
      <w:r/>
      <w:r>
        <w:rPr>
          <w:b/>
        </w:rPr>
        <w:t>POST /v1/pgx</w:t>
      </w:r>
      <w:r>
        <w:t xml:space="preserve"> -- Pharmacogenomic mapping.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curl -X POST http://localhost:8529/v1/pgx \</w:t>
        <w:br/>
        <w:t xml:space="preserve">  -H "Content-Type: application/json" \</w:t>
        <w:br/>
        <w:t xml:space="preserve">  -d '{</w:t>
        <w:br/>
        <w:t xml:space="preserve">    "star_alleles": {</w:t>
        <w:br/>
        <w:t xml:space="preserve">      "CYP2D6": "*4/*4",</w:t>
        <w:br/>
        <w:t xml:space="preserve">      "CYP2C19": "*1/*2",</w:t>
        <w:br/>
        <w:t xml:space="preserve">      "DPYD": "*1/*1"</w:t>
        <w:br/>
        <w:t xml:space="preserve">    },</w:t>
        <w:br/>
        <w:t xml:space="preserve">    "genotypes": {</w:t>
        <w:br/>
        <w:t xml:space="preserve">      "rs9923231": "AG"</w:t>
        <w:br/>
        <w:t xml:space="preserve">    }</w:t>
        <w:br/>
        <w:t xml:space="preserve">  }'</w:t>
      </w:r>
    </w:p>
    <w:p>
      <w:r/>
      <w:r>
        <w:rPr>
          <w:b/>
        </w:rPr>
        <w:t>POST /v1/query</w:t>
      </w:r>
      <w:r>
        <w:t xml:space="preserve"> -- RAG Q&amp;A query with optional patient context.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curl -X POST http://localhost:8529/v1/query \</w:t>
        <w:br/>
        <w:t xml:space="preserve">  -H "Content-Type: application/json" \</w:t>
        <w:br/>
        <w:t xml:space="preserve">  -d '{</w:t>
        <w:br/>
        <w:t xml:space="preserve">    "question": "What does an HbA1c of 5.8% mean for someone with TCF7L2 CT genotype?",</w:t>
        <w:br/>
        <w:t xml:space="preserve">    "year_min": 2020</w:t>
        <w:br/>
        <w:t xml:space="preserve">  }'</w:t>
      </w:r>
    </w:p>
    <w:p>
      <w:pPr>
        <w:pStyle w:val="Heading3"/>
      </w:pPr>
      <w:r>
        <w:t>Report Endpoints</w:t>
      </w:r>
    </w:p>
    <w:p>
      <w:r/>
      <w:r>
        <w:rPr>
          <w:b/>
        </w:rPr>
        <w:t>POST /v1/report/generate</w:t>
      </w:r>
      <w:r>
        <w:t xml:space="preserve"> -- Generate a full patient report.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curl -X POST http://localhost:8529/v1/report/generate \</w:t>
        <w:br/>
        <w:t xml:space="preserve">  -H "Content-Type: application/json" \</w:t>
        <w:br/>
        <w:t xml:space="preserve">  -d '{</w:t>
        <w:br/>
        <w:t xml:space="preserve">    "patient_id": "HCLS-BIO-2026-00001",</w:t>
        <w:br/>
        <w:t xml:space="preserve">    "age": 45,</w:t>
        <w:br/>
        <w:t xml:space="preserve">    "sex": "M",</w:t>
        <w:br/>
        <w:t xml:space="preserve">    "biomarkers": {"albumin": 4.2, "HbA1c": 5.7}</w:t>
        <w:br/>
        <w:t xml:space="preserve">  }'</w:t>
      </w:r>
    </w:p>
    <w:p>
      <w:r/>
      <w:r>
        <w:rPr>
          <w:b/>
        </w:rPr>
        <w:t>GET /v1/report/{report_id}</w:t>
      </w:r>
      <w:r>
        <w:t xml:space="preserve"> -- Retrieve a generated report.</w:t>
      </w:r>
    </w:p>
    <w:p>
      <w:r/>
      <w:r>
        <w:rPr>
          <w:b/>
        </w:rPr>
        <w:t>GET /v1/report/{report_id}/pdf</w:t>
      </w:r>
      <w:r>
        <w:t xml:space="preserve"> -- Download report as PDF.</w:t>
      </w:r>
    </w:p>
    <w:p>
      <w:r/>
      <w:r>
        <w:rPr>
          <w:b/>
        </w:rPr>
        <w:t>GET /v1/report/{report_id}/fhir</w:t>
      </w:r>
      <w:r>
        <w:t xml:space="preserve"> -- Export as FHIR R4 DiagnosticReport.</w:t>
      </w:r>
    </w:p>
    <w:p>
      <w:pPr>
        <w:pStyle w:val="Heading3"/>
      </w:pPr>
      <w:r>
        <w:t>Event Endpoints</w:t>
      </w:r>
    </w:p>
    <w:p>
      <w:r/>
      <w:r>
        <w:rPr>
          <w:b/>
        </w:rPr>
        <w:t>POST /v1/events/inbound</w:t>
      </w:r>
      <w:r>
        <w:t xml:space="preserve"> -- Receive a cross-modal event from another agent.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curl -X POST http://localhost:8529/v1/events/inbound \</w:t>
        <w:br/>
        <w:t xml:space="preserve">  -H "Content-Type: application/json" \</w:t>
        <w:br/>
        <w:t xml:space="preserve">  -d '{</w:t>
        <w:br/>
        <w:t xml:space="preserve">    "source_agent": "imaging_intelligence_agent",</w:t>
        <w:br/>
        <w:t xml:space="preserve">    "event_type": "imaging_finding",</w:t>
        <w:br/>
        <w:t xml:space="preserve">    "payload": {"finding": "hepatic steatosis on ultrasound"}</w:t>
        <w:br/>
        <w:t xml:space="preserve">  }'</w:t>
      </w:r>
    </w:p>
    <w:p>
      <w:r/>
      <w:r>
        <w:rPr>
          <w:b/>
        </w:rPr>
        <w:t>GET /v1/events/outbound</w:t>
      </w:r>
      <w:r>
        <w:t xml:space="preserve"> -- List outbound alerts sent by this agent.</w:t>
      </w:r>
    </w:p>
    <w:p>
      <w:r/>
      <w:r>
        <w:rPr>
          <w:b/>
        </w:rPr>
        <w:t>GET /v1/events/inbound</w:t>
      </w:r>
      <w:r>
        <w:t xml:space="preserve"> -- List received inbound events.</w:t>
      </w:r>
    </w:p>
    <w:p>
      <w:pPr>
        <w:pStyle w:val="Heading3"/>
      </w:pPr>
      <w:r>
        <w:t>Authentication</w:t>
      </w:r>
    </w:p>
    <w:p>
      <w:r>
        <w:t xml:space="preserve">If </w:t>
      </w:r>
      <w:r>
        <w:rPr>
          <w:rFonts w:ascii="Consolas" w:hAnsi="Consolas"/>
          <w:color w:val="2E864B"/>
          <w:sz w:val="20"/>
        </w:rPr>
        <w:t>BIOMARKER_API_KEY</w:t>
      </w:r>
      <w:r>
        <w:t xml:space="preserve"> is set, all endpoints (except </w:t>
      </w:r>
      <w:r>
        <w:rPr>
          <w:rFonts w:ascii="Consolas" w:hAnsi="Consolas"/>
          <w:color w:val="2E864B"/>
          <w:sz w:val="20"/>
        </w:rPr>
        <w:t>/health</w:t>
      </w:r>
      <w:r>
        <w:t xml:space="preserve"> and </w:t>
      </w:r>
      <w:r>
        <w:rPr>
          <w:rFonts w:ascii="Consolas" w:hAnsi="Consolas"/>
          <w:color w:val="2E864B"/>
          <w:sz w:val="20"/>
        </w:rPr>
        <w:t>/metrics</w:t>
      </w:r>
      <w:r>
        <w:t>)</w:t>
      </w:r>
    </w:p>
    <w:p>
      <w:r>
        <w:t xml:space="preserve">require the key in the </w:t>
      </w:r>
      <w:r>
        <w:rPr>
          <w:rFonts w:ascii="Consolas" w:hAnsi="Consolas"/>
          <w:color w:val="2E864B"/>
          <w:sz w:val="20"/>
        </w:rPr>
        <w:t>X-API-Key</w:t>
      </w:r>
      <w:r>
        <w:t xml:space="preserve"> header: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curl -H "X-API-Key: your-secret-key" http://localhost:8529/v1/query ...</w:t>
      </w:r>
    </w:p>
    <w:p>
      <w:r>
        <w:t>____________________________________________________________</w:t>
      </w:r>
    </w:p>
    <w:p>
      <w:pPr>
        <w:pStyle w:val="Heading2"/>
      </w:pPr>
      <w:r>
        <w:t>Chapter 12: Understanding the Codebase</w:t>
      </w:r>
    </w:p>
    <w:p>
      <w:pPr>
        <w:pStyle w:val="Heading3"/>
      </w:pPr>
      <w:r>
        <w:t>Project Structure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precision_biomarker_agent/</w:t>
        <w:br/>
        <w:t>|-- api/</w:t>
        <w:br/>
        <w:t>|   |-- main.py                    (465 lines)  FastAPI app, lifespan, CORS, middleware</w:t>
        <w:br/>
        <w:t>|   |-- routes/</w:t>
        <w:br/>
        <w:t>|       |-- analysis.py            (495 lines)  /v1/analyze, biological-age, disease-risk, pgx, query</w:t>
        <w:br/>
        <w:t>|       |-- reports.py             (296 lines)  /v1/report/generate, PDF, FHIR export</w:t>
        <w:br/>
        <w:t>|       |-- events.py             (326 lines)  /v1/events/inbound, outbound</w:t>
        <w:br/>
        <w:t>|</w:t>
        <w:br/>
        <w:t>|-- app/</w:t>
        <w:br/>
        <w:t>|   |-- biomarker_ui.py           (1,863 lines)  Streamlit UI with 8 tabs</w:t>
        <w:br/>
        <w:t>|</w:t>
        <w:br/>
        <w:t>|-- config/</w:t>
        <w:br/>
        <w:t>|   |-- settings.py                (140 lines)  Pydantic BaseSettings, env vars, weights</w:t>
        <w:br/>
        <w:t>|</w:t>
        <w:br/>
        <w:t>|-- src/</w:t>
        <w:br/>
        <w:t>|   |-- agent.py                   (610 lines)  PrecisionBiomarkerAgent: plan-analyze-search-synthesize</w:t>
        <w:br/>
        <w:t>|   |-- rag_engine.py              (573 lines)  BiomarkerRAGEngine: multi-collection RAG</w:t>
        <w:br/>
        <w:t>|   |-- collections.py            (1,391 lines)  BiomarkerCollectionManager: 14 Milvus schemas</w:t>
        <w:br/>
        <w:t>|   |-- knowledge.py              (1,326 lines)  Knowledge graph: domains, PGx, PhenoAge, cross-modal</w:t>
        <w:br/>
        <w:t>|   |-- models.py                  (786 lines)  Pydantic models for all collections and analysis</w:t>
        <w:br/>
        <w:t>|   |-- pharmacogenomics.py       (1,503 lines)  PharmacogenomicMapper: star alleles to drug recs</w:t>
        <w:br/>
        <w:t>|   |-- disease_trajectory.py     (1,421 lines)  DiseaseTrajectoryAnalyzer: 6+ disease categories</w:t>
        <w:br/>
        <w:t>|   |-- genotype_adjustment.py    (1,225 lines)  GenotypeAdjuster: genotype-adjusted ranges</w:t>
        <w:br/>
        <w:t>|   |-- biological_age.py          (408 lines)  BiologicalAgeCalculator: PhenoAge + GrimAge</w:t>
        <w:br/>
        <w:t>|   |-- export.py                 (1,392 lines)  PDF and FHIR R4 export</w:t>
        <w:br/>
        <w:t>|   |-- report_generator.py        (993 lines)  12-section clinical report generation</w:t>
        <w:br/>
        <w:t>|   |-- critical_values.py         (179 lines)  CriticalValueEngine: panic value detection</w:t>
        <w:br/>
        <w:t>|   |-- discordance_detector.py    (299 lines)  DiscordanceDetector: cross-biomarker patterns</w:t>
        <w:br/>
        <w:t>|   |-- lab_range_interpreter.py   (221 lines)  Standard vs optimal range comparison</w:t>
        <w:br/>
        <w:t>|   |-- audit.py                    (83 lines)  Audit logging for patient data access</w:t>
        <w:br/>
        <w:t>|   |-- translation.py             (217 lines)  Multi-language report translation</w:t>
        <w:br/>
        <w:t>|</w:t>
        <w:br/>
        <w:t>|-- data/                          Reference data, cache, seeding files</w:t>
        <w:br/>
        <w:t>|-- scripts/                       Seeding and utility scripts</w:t>
        <w:br/>
        <w:t>|-- tests/                         Test suite</w:t>
        <w:br/>
        <w:t>|-- docs/                          Documentation (including this guide)</w:t>
        <w:br/>
        <w:t>|-- docker-compose.yml             Full stack: Milvus + etcd + MinIO + API + UI</w:t>
        <w:br/>
        <w:t>|-- Dockerfile                     Container image definition</w:t>
        <w:br/>
        <w:t>|-- requirements.txt               Python dependencies</w:t>
        <w:br/>
        <w:t>|-- pyproject.toml                 Project metadata</w:t>
      </w:r>
    </w:p>
    <w:p>
      <w:pPr>
        <w:pStyle w:val="Heading3"/>
      </w:pPr>
      <w:r>
        <w:t>File-by-File Walkthrough</w:t>
      </w:r>
    </w:p>
    <w:p>
      <w:r/>
      <w:r>
        <w:rPr>
          <w:b/>
        </w:rPr>
        <w:t>config/settings.py</w:t>
      </w:r>
      <w:r>
        <w:t xml:space="preserve"> (140 lines) -- The central configuration file. Uses</w:t>
      </w:r>
    </w:p>
    <w:p>
      <w:r>
        <w:t xml:space="preserve">Pydantic </w:t>
      </w:r>
      <w:r>
        <w:rPr>
          <w:rFonts w:ascii="Consolas" w:hAnsi="Consolas"/>
          <w:color w:val="2E864B"/>
          <w:sz w:val="20"/>
        </w:rPr>
        <w:t>BaseSettings</w:t>
      </w:r>
      <w:r>
        <w:t xml:space="preserve"> with the </w:t>
      </w:r>
      <w:r>
        <w:rPr>
          <w:rFonts w:ascii="Consolas" w:hAnsi="Consolas"/>
          <w:color w:val="2E864B"/>
          <w:sz w:val="20"/>
        </w:rPr>
        <w:t>BIOMARKER_</w:t>
      </w:r>
      <w:r>
        <w:t xml:space="preserve"> env prefix. Defines Milvus</w:t>
      </w:r>
    </w:p>
    <w:p>
      <w:r>
        <w:t>connection parameters, embedding model (</w:t>
      </w:r>
      <w:r>
        <w:rPr>
          <w:rFonts w:ascii="Consolas" w:hAnsi="Consolas"/>
          <w:color w:val="2E864B"/>
          <w:sz w:val="20"/>
        </w:rPr>
        <w:t>BAAI/bge-small-en-v1.5</w:t>
      </w:r>
      <w:r>
        <w:t>, 384</w:t>
      </w:r>
    </w:p>
    <w:p>
      <w:r>
        <w:t>dimensions), LLM settings (Anthropic Claude), 14 collection weights that sum</w:t>
      </w:r>
    </w:p>
    <w:p>
      <w:r>
        <w:t>to ~1.0, search parameters (top_k=5 per collection, score threshold=0.4),</w:t>
      </w:r>
    </w:p>
    <w:p>
      <w:r>
        <w:t>citation thresholds (0.75 high, 0.60 medium), CORS origins, request size</w:t>
      </w:r>
    </w:p>
    <w:p>
      <w:r>
        <w:t>limits, and authentication settings.</w:t>
      </w:r>
    </w:p>
    <w:p>
      <w:r/>
      <w:r>
        <w:rPr>
          <w:b/>
        </w:rPr>
        <w:t>src/models.py</w:t>
      </w:r>
      <w:r>
        <w:t xml:space="preserve"> (786 lines) -- Pydantic data models for every entity in the</w:t>
      </w:r>
    </w:p>
    <w:p>
      <w:r>
        <w:t>system. Defines 7 enums (RiskLevel, ClockType, DiseaseCategory,</w:t>
      </w:r>
    </w:p>
    <w:p>
      <w:r>
        <w:t>MetabolizerPhenotype, CPICLevel, Zygosity, plus source types). Contains models</w:t>
      </w:r>
    </w:p>
    <w:p>
      <w:r>
        <w:t>for all 13 collection record types (BiomarkerReference, GeneticVariant, PGxRule,</w:t>
      </w:r>
    </w:p>
    <w:p>
      <w:r>
        <w:t>DiseaseTrajectory, ClinicalEvidence, NutritionGuideline, DrugInteraction,</w:t>
      </w:r>
    </w:p>
    <w:p>
      <w:r>
        <w:t>AgingMarker, GenotypeAdjustment, MonitoringProtocol, CriticalValue,</w:t>
      </w:r>
    </w:p>
    <w:p>
      <w:r>
        <w:t xml:space="preserve">DiscordanceRule, AJCarrierScreeningEntry). Each model has a </w:t>
      </w:r>
      <w:r>
        <w:rPr>
          <w:rFonts w:ascii="Consolas" w:hAnsi="Consolas"/>
          <w:color w:val="2E864B"/>
          <w:sz w:val="20"/>
        </w:rPr>
        <w:t>to_embedding_text()</w:t>
      </w:r>
      <w:r/>
    </w:p>
    <w:p>
      <w:r>
        <w:t>method for generating the text fed to BGE-small. Also defines PatientProfile</w:t>
      </w:r>
    </w:p>
    <w:p>
      <w:r>
        <w:t>(input), BiologicalAgeResult, DiseaseTrajectoryResult, PGxResult,</w:t>
      </w:r>
    </w:p>
    <w:p>
      <w:r>
        <w:t>GenotypeAdjustmentResult, SearchHit, CrossCollectionResult, AgentQuery,</w:t>
      </w:r>
    </w:p>
    <w:p>
      <w:r>
        <w:t>AgentResponse, AnalysisResult, PatientHistory (longitudinal tracking), and</w:t>
      </w:r>
    </w:p>
    <w:p>
      <w:r>
        <w:t>WearableData (wearable device integration).</w:t>
      </w:r>
    </w:p>
    <w:p>
      <w:r/>
      <w:r>
        <w:rPr>
          <w:b/>
        </w:rPr>
        <w:t>src/collections.py</w:t>
      </w:r>
      <w:r>
        <w:t xml:space="preserve"> (1,391 lines) -- The Milvus collection manager. Defines</w:t>
      </w:r>
    </w:p>
    <w:p>
      <w:r>
        <w:t>the schema (field types, dimensions, index parameters) for all 14 collections</w:t>
      </w:r>
    </w:p>
    <w:p>
      <w:r>
        <w:t xml:space="preserve">using pymilvus. Implements </w:t>
      </w:r>
      <w:r>
        <w:rPr>
          <w:rFonts w:ascii="Consolas" w:hAnsi="Consolas"/>
          <w:color w:val="2E864B"/>
          <w:sz w:val="20"/>
        </w:rPr>
        <w:t>connect()</w:t>
      </w:r>
      <w:r>
        <w:t xml:space="preserve">, </w:t>
      </w:r>
      <w:r>
        <w:rPr>
          <w:rFonts w:ascii="Consolas" w:hAnsi="Consolas"/>
          <w:color w:val="2E864B"/>
          <w:sz w:val="20"/>
        </w:rPr>
        <w:t>disconnect()</w:t>
      </w:r>
      <w:r>
        <w:t xml:space="preserve">, </w:t>
      </w:r>
      <w:r>
        <w:rPr>
          <w:rFonts w:ascii="Consolas" w:hAnsi="Consolas"/>
          <w:color w:val="2E864B"/>
          <w:sz w:val="20"/>
        </w:rPr>
        <w:t>ensure_collections()</w:t>
      </w:r>
      <w:r/>
    </w:p>
    <w:p>
      <w:r>
        <w:t xml:space="preserve">(creates collections if they do not exist), </w:t>
      </w:r>
      <w:r>
        <w:rPr>
          <w:rFonts w:ascii="Consolas" w:hAnsi="Consolas"/>
          <w:color w:val="2E864B"/>
          <w:sz w:val="20"/>
        </w:rPr>
        <w:t>search_all()</w:t>
      </w:r>
      <w:r>
        <w:t xml:space="preserve"> (parallel search</w:t>
      </w:r>
    </w:p>
    <w:p>
      <w:r>
        <w:t xml:space="preserve">across all collections using ThreadPoolExecutor), </w:t>
      </w:r>
      <w:r>
        <w:rPr>
          <w:rFonts w:ascii="Consolas" w:hAnsi="Consolas"/>
          <w:color w:val="2E864B"/>
          <w:sz w:val="20"/>
        </w:rPr>
        <w:t>insert()</w:t>
      </w:r>
      <w:r>
        <w:t xml:space="preserve">, </w:t>
      </w:r>
      <w:r>
        <w:rPr>
          <w:rFonts w:ascii="Consolas" w:hAnsi="Consolas"/>
          <w:color w:val="2E864B"/>
          <w:sz w:val="20"/>
        </w:rPr>
        <w:t>delete()</w:t>
      </w:r>
      <w:r>
        <w:t>,</w:t>
      </w:r>
    </w:p>
    <w:p>
      <w:r/>
      <w:r>
        <w:rPr>
          <w:rFonts w:ascii="Consolas" w:hAnsi="Consolas"/>
          <w:color w:val="2E864B"/>
          <w:sz w:val="20"/>
        </w:rPr>
        <w:t>get_collection_stats()</w:t>
      </w:r>
      <w:r>
        <w:t>, and bulk seeding methods. Each collection uses</w:t>
      </w:r>
    </w:p>
    <w:p>
      <w:r>
        <w:t>COSINE similarity with IVF_FLAT index type.</w:t>
      </w:r>
    </w:p>
    <w:p>
      <w:r/>
      <w:r>
        <w:rPr>
          <w:b/>
        </w:rPr>
        <w:t>src/knowledge.py</w:t>
      </w:r>
      <w:r>
        <w:t xml:space="preserve"> (1,326 lines) -- The structured knowledge graph. Contains</w:t>
      </w:r>
    </w:p>
    <w:p>
      <w:r/>
      <w:r>
        <w:rPr>
          <w:rFonts w:ascii="Consolas" w:hAnsi="Consolas"/>
          <w:color w:val="2E864B"/>
          <w:sz w:val="20"/>
        </w:rPr>
        <w:t>BIOMARKER_DOMAINS</w:t>
      </w:r>
      <w:r>
        <w:t xml:space="preserve"> (7 disease domains with biomarkers, genetic modifiers,</w:t>
      </w:r>
    </w:p>
    <w:p>
      <w:r>
        <w:t xml:space="preserve">and intervention targets), </w:t>
      </w:r>
      <w:r>
        <w:rPr>
          <w:rFonts w:ascii="Consolas" w:hAnsi="Consolas"/>
          <w:color w:val="2E864B"/>
          <w:sz w:val="20"/>
        </w:rPr>
        <w:t>PHENOAGE_KNOWLEDGE</w:t>
      </w:r>
      <w:r>
        <w:t xml:space="preserve"> (PhenoAge clock biomarker</w:t>
      </w:r>
    </w:p>
    <w:p>
      <w:r>
        <w:t xml:space="preserve">descriptions and coefficients), </w:t>
      </w:r>
      <w:r>
        <w:rPr>
          <w:rFonts w:ascii="Consolas" w:hAnsi="Consolas"/>
          <w:color w:val="2E864B"/>
          <w:sz w:val="20"/>
        </w:rPr>
        <w:t>PGX_KNOWLEDGE</w:t>
      </w:r>
      <w:r>
        <w:t xml:space="preserve"> (14 pharmacogenes with key</w:t>
      </w:r>
    </w:p>
    <w:p>
      <w:r>
        <w:t xml:space="preserve">drugs and CPIC guidance), </w:t>
      </w:r>
      <w:r>
        <w:rPr>
          <w:rFonts w:ascii="Consolas" w:hAnsi="Consolas"/>
          <w:color w:val="2E864B"/>
          <w:sz w:val="20"/>
        </w:rPr>
        <w:t>CROSS_MODAL_LINKS</w:t>
      </w:r>
      <w:r>
        <w:t xml:space="preserve"> (8 links to other agents),</w:t>
      </w:r>
    </w:p>
    <w:p>
      <w:r/>
      <w:r>
        <w:rPr>
          <w:rFonts w:ascii="Consolas" w:hAnsi="Consolas"/>
          <w:color w:val="2E864B"/>
          <w:sz w:val="20"/>
        </w:rPr>
        <w:t>GENOTYPE_THRESHOLDS</w:t>
      </w:r>
      <w:r>
        <w:t xml:space="preserve"> (shared clinical thresholds for cross-module</w:t>
      </w:r>
    </w:p>
    <w:p>
      <w:r>
        <w:t xml:space="preserve">consistency), </w:t>
      </w:r>
      <w:r>
        <w:rPr>
          <w:rFonts w:ascii="Consolas" w:hAnsi="Consolas"/>
          <w:color w:val="2E864B"/>
          <w:sz w:val="20"/>
        </w:rPr>
        <w:t>AGE_SEX_REFERENCE_RANGES</w:t>
      </w:r>
      <w:r>
        <w:t xml:space="preserve"> (age- and sex-stratified ranges),</w:t>
      </w:r>
    </w:p>
    <w:p>
      <w:r>
        <w:t xml:space="preserve">and </w:t>
      </w:r>
      <w:r>
        <w:rPr>
          <w:rFonts w:ascii="Consolas" w:hAnsi="Consolas"/>
          <w:color w:val="2E864B"/>
          <w:sz w:val="20"/>
        </w:rPr>
        <w:t>BIOMARKER_PLAUSIBLE_RANGES</w:t>
      </w:r>
      <w:r>
        <w:t xml:space="preserve"> (input validation). Helper functions:</w:t>
      </w:r>
    </w:p>
    <w:p>
      <w:r/>
      <w:r>
        <w:rPr>
          <w:rFonts w:ascii="Consolas" w:hAnsi="Consolas"/>
          <w:color w:val="2E864B"/>
          <w:sz w:val="20"/>
        </w:rPr>
        <w:t>get_domain_context()</w:t>
      </w:r>
      <w:r>
        <w:t xml:space="preserve">, </w:t>
      </w:r>
      <w:r>
        <w:rPr>
          <w:rFonts w:ascii="Consolas" w:hAnsi="Consolas"/>
          <w:color w:val="2E864B"/>
          <w:sz w:val="20"/>
        </w:rPr>
        <w:t>get_pgx_context()</w:t>
      </w:r>
      <w:r>
        <w:t xml:space="preserve">, </w:t>
      </w:r>
      <w:r>
        <w:rPr>
          <w:rFonts w:ascii="Consolas" w:hAnsi="Consolas"/>
          <w:color w:val="2E864B"/>
          <w:sz w:val="20"/>
        </w:rPr>
        <w:t>get_biomarker_context()</w:t>
      </w:r>
      <w:r>
        <w:t>,</w:t>
      </w:r>
    </w:p>
    <w:p>
      <w:r/>
      <w:r>
        <w:rPr>
          <w:rFonts w:ascii="Consolas" w:hAnsi="Consolas"/>
          <w:color w:val="2E864B"/>
          <w:sz w:val="20"/>
        </w:rPr>
        <w:t>get_knowledge_stats()</w:t>
      </w:r>
      <w:r>
        <w:t>.</w:t>
      </w:r>
    </w:p>
    <w:p>
      <w:r/>
      <w:r>
        <w:rPr>
          <w:b/>
        </w:rPr>
        <w:t>src/rag_engine.py</w:t>
      </w:r>
      <w:r>
        <w:t xml:space="preserve"> (573 lines) -- The multi-collection RAG engine.</w:t>
      </w:r>
    </w:p>
    <w:p>
      <w:r/>
      <w:r>
        <w:rPr>
          <w:rFonts w:ascii="Consolas" w:hAnsi="Consolas"/>
          <w:color w:val="2E864B"/>
          <w:sz w:val="20"/>
        </w:rPr>
        <w:t>BiomarkerRAGEngine</w:t>
      </w:r>
      <w:r>
        <w:t xml:space="preserve"> orchestrates: embedding queries with BGE instruction</w:t>
      </w:r>
    </w:p>
    <w:p>
      <w:r>
        <w:t>prefix, parallel search across all 14 collections, disease-area detection and</w:t>
      </w:r>
    </w:p>
    <w:p>
      <w:r>
        <w:t>filtering, year-range filtering for clinical evidence, result deduplication</w:t>
      </w:r>
    </w:p>
    <w:p>
      <w:r>
        <w:t>and ranking (capped at 30), knowledge graph augmentation, citation formatting</w:t>
      </w:r>
    </w:p>
    <w:p>
      <w:r>
        <w:t>(with PubMed links for clinical evidence), prompt construction with evidence</w:t>
      </w:r>
    </w:p>
    <w:p>
      <w:r>
        <w:t>sections and relevance tags, and LLM generation (both synchronous and</w:t>
      </w:r>
    </w:p>
    <w:p>
      <w:r>
        <w:t xml:space="preserve">streaming). Also implements </w:t>
      </w:r>
      <w:r>
        <w:rPr>
          <w:rFonts w:ascii="Consolas" w:hAnsi="Consolas"/>
          <w:color w:val="2E864B"/>
          <w:sz w:val="20"/>
        </w:rPr>
        <w:t>find_related()</w:t>
      </w:r>
      <w:r>
        <w:t xml:space="preserve"> for cross-collection entity</w:t>
      </w:r>
    </w:p>
    <w:p>
      <w:r>
        <w:t>linking ("show me everything about MTHFR").</w:t>
      </w:r>
    </w:p>
    <w:p>
      <w:r/>
      <w:r>
        <w:rPr>
          <w:b/>
        </w:rPr>
        <w:t>src/agent.py</w:t>
      </w:r>
      <w:r>
        <w:t xml:space="preserve"> (610 lines) -- The </w:t>
      </w:r>
      <w:r>
        <w:rPr>
          <w:rFonts w:ascii="Consolas" w:hAnsi="Consolas"/>
          <w:color w:val="2E864B"/>
          <w:sz w:val="20"/>
        </w:rPr>
        <w:t>PrecisionBiomarkerAgent</w:t>
      </w:r>
      <w:r>
        <w:t xml:space="preserve"> class. Implements</w:t>
      </w:r>
    </w:p>
    <w:p>
      <w:r>
        <w:t xml:space="preserve">the plan-analyze-search-synthesize pipeline. </w:t>
      </w:r>
      <w:r>
        <w:rPr>
          <w:rFonts w:ascii="Consolas" w:hAnsi="Consolas"/>
          <w:color w:val="2E864B"/>
          <w:sz w:val="20"/>
        </w:rPr>
        <w:t>search_plan()</w:t>
      </w:r>
      <w:r>
        <w:t xml:space="preserve"> analyzes questions</w:t>
      </w:r>
    </w:p>
    <w:p>
      <w:r>
        <w:t xml:space="preserve">to identify disease areas and relevant modules. </w:t>
      </w:r>
      <w:r>
        <w:rPr>
          <w:rFonts w:ascii="Consolas" w:hAnsi="Consolas"/>
          <w:color w:val="2E864B"/>
          <w:sz w:val="20"/>
        </w:rPr>
        <w:t>analyze_patient()</w:t>
      </w:r>
      <w:r>
        <w:t xml:space="preserve"> runs all</w:t>
      </w:r>
    </w:p>
    <w:p>
      <w:r>
        <w:t>4 analysis modules plus critical value checking, discordance detection, lab</w:t>
      </w:r>
    </w:p>
    <w:p>
      <w:r>
        <w:t xml:space="preserve">range interpretation, and age-stratified adjustments. </w:t>
      </w:r>
      <w:r>
        <w:rPr>
          <w:rFonts w:ascii="Consolas" w:hAnsi="Consolas"/>
          <w:color w:val="2E864B"/>
          <w:sz w:val="20"/>
        </w:rPr>
        <w:t>run()</w:t>
      </w:r>
      <w:r>
        <w:t xml:space="preserve"> orchestrates the</w:t>
      </w:r>
    </w:p>
    <w:p>
      <w:r>
        <w:t>full pipeline: plan, analyze (if profile provided), search via RAG, evaluate</w:t>
      </w:r>
    </w:p>
    <w:p>
      <w:r>
        <w:t>evidence quality, run sub-queries if evidence is insufficient, build enhanced</w:t>
      </w:r>
    </w:p>
    <w:p>
      <w:r>
        <w:t>prompt with analysis results, and generate LLM answer.</w:t>
      </w:r>
    </w:p>
    <w:p>
      <w:r/>
      <w:r>
        <w:rPr>
          <w:b/>
        </w:rPr>
        <w:t>src/pharmacogenomics.py</w:t>
      </w:r>
      <w:r>
        <w:t xml:space="preserve"> (1,503 lines) -- The </w:t>
      </w:r>
      <w:r>
        <w:rPr>
          <w:rFonts w:ascii="Consolas" w:hAnsi="Consolas"/>
          <w:color w:val="2E864B"/>
          <w:sz w:val="20"/>
        </w:rPr>
        <w:t>PharmacogenomicMapper</w:t>
      </w:r>
      <w:r>
        <w:t>. Maps</w:t>
      </w:r>
    </w:p>
    <w:p>
      <w:r>
        <w:t>star alleles to metabolizer phenotypes for all 14 pharmacogenes using CPIC</w:t>
      </w:r>
    </w:p>
    <w:p>
      <w:r>
        <w:t>guidelines. Contains the complete star allele to function mapping for CYP2D6,</w:t>
      </w:r>
    </w:p>
    <w:p>
      <w:r>
        <w:t>CYP2C19, CYP2C9, VKORC1, SLCO1B1, DPYD, CYP3A5, TPMT, and MTHFR. Tracks</w:t>
      </w:r>
    </w:p>
    <w:p>
      <w:r>
        <w:t xml:space="preserve">CPIC guideline versions with PMIDs. </w:t>
      </w:r>
      <w:r>
        <w:rPr>
          <w:rFonts w:ascii="Consolas" w:hAnsi="Consolas"/>
          <w:color w:val="2E864B"/>
          <w:sz w:val="20"/>
        </w:rPr>
        <w:t>map_all()</w:t>
      </w:r>
      <w:r>
        <w:t xml:space="preserve"> processes a patient's complete</w:t>
      </w:r>
    </w:p>
    <w:p>
      <w:r>
        <w:t>star allele and genotype data and returns phenotypes, affected drugs, and dosing</w:t>
      </w:r>
    </w:p>
    <w:p>
      <w:r>
        <w:t>recommendations.</w:t>
      </w:r>
    </w:p>
    <w:p>
      <w:r/>
      <w:r>
        <w:rPr>
          <w:b/>
        </w:rPr>
        <w:t>src/disease_trajectory.py</w:t>
      </w:r>
      <w:r>
        <w:t xml:space="preserve"> (1,421 lines) -- The </w:t>
      </w:r>
      <w:r>
        <w:rPr>
          <w:rFonts w:ascii="Consolas" w:hAnsi="Consolas"/>
          <w:color w:val="2E864B"/>
          <w:sz w:val="20"/>
        </w:rPr>
        <w:t>DiseaseTrajectoryAnalyzer</w:t>
      </w:r>
      <w:r>
        <w:t>.</w:t>
      </w:r>
    </w:p>
    <w:p>
      <w:r>
        <w:t>Analyzes pre-symptomatic disease risk across 6+ categories. Uses biomarker</w:t>
      </w:r>
    </w:p>
    <w:p>
      <w:r>
        <w:t>patterns, genetic risk factors, and demographic data to estimate disease stage,</w:t>
      </w:r>
    </w:p>
    <w:p>
      <w:r>
        <w:t>risk level, years to clinical onset, and intervention recommendations. Includes</w:t>
      </w:r>
    </w:p>
    <w:p>
      <w:r>
        <w:t>detailed trajectory models for type 2 diabetes, cardiovascular disease,</w:t>
      </w:r>
    </w:p>
    <w:p>
      <w:r>
        <w:t>NAFLD/NASH, thyroid disorders, iron overload, and nutritional deficiencies.</w:t>
      </w:r>
    </w:p>
    <w:p>
      <w:r/>
      <w:r>
        <w:rPr>
          <w:b/>
        </w:rPr>
        <w:t>src/biological_age.py</w:t>
      </w:r>
      <w:r>
        <w:t xml:space="preserve"> (408 lines) -- The </w:t>
      </w:r>
      <w:r>
        <w:rPr>
          <w:rFonts w:ascii="Consolas" w:hAnsi="Consolas"/>
          <w:color w:val="2E864B"/>
          <w:sz w:val="20"/>
        </w:rPr>
        <w:t>BiologicalAgeCalculator</w:t>
      </w:r>
      <w:r>
        <w:t>.</w:t>
      </w:r>
    </w:p>
    <w:p>
      <w:r>
        <w:t>Implements PhenoAge (Levine et al. 2018) using Gompertz mortality modeling with</w:t>
      </w:r>
    </w:p>
    <w:p>
      <w:r>
        <w:t>9 blood biomarkers. Handles unit conversion (US clinical units to SI for</w:t>
      </w:r>
    </w:p>
    <w:p>
      <w:r>
        <w:t>coefficient application). Also implements GrimAge surrogate estimation from</w:t>
      </w:r>
    </w:p>
    <w:p>
      <w:r>
        <w:t>plasma protein markers (GDF-15, Cystatin C, leptin, PAI-1, TIMP-1, ADM) with</w:t>
      </w:r>
    </w:p>
    <w:p>
      <w:r>
        <w:t>confidence scoring based on marker coverage. Computes 95% confidence intervals</w:t>
      </w:r>
    </w:p>
    <w:p>
      <w:r>
        <w:t>and risk classification with confidence qualifiers.</w:t>
      </w:r>
    </w:p>
    <w:p>
      <w:r/>
      <w:r>
        <w:rPr>
          <w:b/>
        </w:rPr>
        <w:t>src/genotype_adjustment.py</w:t>
      </w:r>
      <w:r>
        <w:t xml:space="preserve"> (1,225 lines) -- The </w:t>
      </w:r>
      <w:r>
        <w:rPr>
          <w:rFonts w:ascii="Consolas" w:hAnsi="Consolas"/>
          <w:color w:val="2E864B"/>
          <w:sz w:val="20"/>
        </w:rPr>
        <w:t>GenotypeAdjuster</w:t>
      </w:r>
      <w:r>
        <w:t>.</w:t>
      </w:r>
    </w:p>
    <w:p>
      <w:r>
        <w:t>Calculates genotype-adjusted reference ranges for biomarkers modified by genetic</w:t>
      </w:r>
    </w:p>
    <w:p>
      <w:r>
        <w:t>variants. Covers MTHFR (homocysteine), APOE (lipids), PNPLA3 (ALT), HFE</w:t>
      </w:r>
    </w:p>
    <w:p>
      <w:r>
        <w:t>(ferritin), DIO2 (TSH), VDR (vitamin D), FADS1 (omega-3), TCF7L2 (glucose/</w:t>
      </w:r>
    </w:p>
    <w:p>
      <w:r>
        <w:t>HbA1c), and APOL1 (eGFR). Also applies age- and sex-stratified adjustments</w:t>
      </w:r>
    </w:p>
    <w:p>
      <w:r>
        <w:t>using ranges from NHANES III and Harrison's Principles of Internal Medicine.</w:t>
      </w:r>
    </w:p>
    <w:p>
      <w:r/>
      <w:r>
        <w:rPr>
          <w:b/>
        </w:rPr>
        <w:t>src/export.py</w:t>
      </w:r>
      <w:r>
        <w:t xml:space="preserve"> (1,392 lines) -- Export functionality. Generates PDF reports</w:t>
      </w:r>
    </w:p>
    <w:p>
      <w:r>
        <w:t>using ReportLab with clinical formatting (headers, tables, charts). Exports</w:t>
      </w:r>
    </w:p>
    <w:p>
      <w:r>
        <w:t>FHIR R4 DiagnosticReport resources with proper coding (LOINC, SNOMED CT) for</w:t>
      </w:r>
    </w:p>
    <w:p>
      <w:r>
        <w:t>interoperability with electronic health record systems.</w:t>
      </w:r>
    </w:p>
    <w:p>
      <w:r/>
      <w:r>
        <w:rPr>
          <w:b/>
        </w:rPr>
        <w:t>src/report_generator.py</w:t>
      </w:r>
      <w:r>
        <w:t xml:space="preserve"> (993 lines) -- Generates comprehensive 12-section</w:t>
      </w:r>
    </w:p>
    <w:p>
      <w:r>
        <w:t>clinical reports combining biological age assessment, disease trajectories,</w:t>
      </w:r>
    </w:p>
    <w:p>
      <w:r>
        <w:t>pharmacogenomic profile, genotype-adjusted ranges, critical alerts, nutritional</w:t>
      </w:r>
    </w:p>
    <w:p>
      <w:r>
        <w:t>recommendations, monitoring protocols, and cross-modal triggers.</w:t>
      </w:r>
    </w:p>
    <w:p>
      <w:r/>
      <w:r>
        <w:rPr>
          <w:b/>
        </w:rPr>
        <w:t>src/critical_values.py</w:t>
      </w:r>
      <w:r>
        <w:t xml:space="preserve"> (179 lines) -- </w:t>
      </w:r>
      <w:r>
        <w:rPr>
          <w:rFonts w:ascii="Consolas" w:hAnsi="Consolas"/>
          <w:color w:val="2E864B"/>
          <w:sz w:val="20"/>
        </w:rPr>
        <w:t>CriticalValueEngine</w:t>
      </w:r>
      <w:r>
        <w:t>. Checks</w:t>
      </w:r>
    </w:p>
    <w:p>
      <w:r>
        <w:t>biomarker values against critical (panic) thresholds and generates alerts for</w:t>
      </w:r>
    </w:p>
    <w:p>
      <w:r>
        <w:t>values requiring immediate clinical action.</w:t>
      </w:r>
    </w:p>
    <w:p>
      <w:r/>
      <w:r>
        <w:rPr>
          <w:b/>
        </w:rPr>
        <w:t>src/discordance_detector.py</w:t>
      </w:r>
      <w:r>
        <w:t xml:space="preserve"> (299 lines) -- </w:t>
      </w:r>
      <w:r>
        <w:rPr>
          <w:rFonts w:ascii="Consolas" w:hAnsi="Consolas"/>
          <w:color w:val="2E864B"/>
          <w:sz w:val="20"/>
        </w:rPr>
        <w:t>DiscordanceDetector</w:t>
      </w:r>
      <w:r>
        <w:t>. Identifies</w:t>
      </w:r>
    </w:p>
    <w:p>
      <w:r>
        <w:t>cross-biomarker inconsistencies (e.g., elevated ferritin with low iron</w:t>
      </w:r>
    </w:p>
    <w:p>
      <w:r>
        <w:t>saturation, which may suggest inflammation rather than iron overload).</w:t>
      </w:r>
    </w:p>
    <w:p>
      <w:r/>
      <w:r>
        <w:rPr>
          <w:b/>
        </w:rPr>
        <w:t>src/lab_range_interpreter.py</w:t>
      </w:r>
      <w:r>
        <w:t xml:space="preserve"> (221 lines) -- </w:t>
      </w:r>
      <w:r>
        <w:rPr>
          <w:rFonts w:ascii="Consolas" w:hAnsi="Consolas"/>
          <w:color w:val="2E864B"/>
          <w:sz w:val="20"/>
        </w:rPr>
        <w:t>LabRangeInterpreter</w:t>
      </w:r>
      <w:r>
        <w:t>. Compares</w:t>
      </w:r>
    </w:p>
    <w:p>
      <w:r>
        <w:t>values against both standard lab ranges and evidence-based optimal ranges,</w:t>
      </w:r>
    </w:p>
    <w:p>
      <w:r>
        <w:t>identifying biomarkers that are "normal" by lab standards but suboptimal for</w:t>
      </w:r>
    </w:p>
    <w:p>
      <w:r>
        <w:t>health optimization.</w:t>
      </w:r>
    </w:p>
    <w:p>
      <w:r/>
      <w:r>
        <w:rPr>
          <w:b/>
        </w:rPr>
        <w:t>src/audit.py</w:t>
      </w:r>
      <w:r>
        <w:t xml:space="preserve"> (83 lines) -- Audit logging for patient data access. Records</w:t>
      </w:r>
    </w:p>
    <w:p>
      <w:r>
        <w:t>who accessed what patient data, when, and what operations were performed.</w:t>
      </w:r>
    </w:p>
    <w:p>
      <w:r/>
      <w:r>
        <w:rPr>
          <w:b/>
        </w:rPr>
        <w:t>src/translation.py</w:t>
      </w:r>
      <w:r>
        <w:t xml:space="preserve"> (217 lines) -- Multi-language translation support for</w:t>
      </w:r>
    </w:p>
    <w:p>
      <w:r>
        <w:t>generated reports.</w:t>
      </w:r>
    </w:p>
    <w:p>
      <w:r/>
      <w:r>
        <w:rPr>
          <w:b/>
        </w:rPr>
        <w:t>api/main.py</w:t>
      </w:r>
      <w:r>
        <w:t xml:space="preserve"> (465 lines) -- FastAPI application. Manages the application</w:t>
      </w:r>
    </w:p>
    <w:p>
      <w:r>
        <w:t>lifespan (startup initialization of Milvus, embedder, LLM, and all analysis</w:t>
      </w:r>
    </w:p>
    <w:p>
      <w:r>
        <w:t>modules; graceful shutdown). Configures CORS, API key authentication, and</w:t>
      </w:r>
    </w:p>
    <w:p>
      <w:r>
        <w:t>request size limiting middleware. Includes status endpoints (/health,</w:t>
      </w:r>
    </w:p>
    <w:p>
      <w:r>
        <w:t>/collections, /knowledge/stats, /metrics). Includes route modules for</w:t>
      </w:r>
    </w:p>
    <w:p>
      <w:r>
        <w:t>analysis, reports, and events.</w:t>
      </w:r>
    </w:p>
    <w:p>
      <w:r/>
      <w:r>
        <w:rPr>
          <w:b/>
        </w:rPr>
        <w:t>app/biomarker_ui.py</w:t>
      </w:r>
      <w:r>
        <w:t xml:space="preserve"> (1,863 lines) -- Streamlit interface with 8 tabs. The</w:t>
      </w:r>
    </w:p>
    <w:p>
      <w:r>
        <w:t>most user-facing part of the system. Provides forms for patient data entry,</w:t>
      </w:r>
    </w:p>
    <w:p>
      <w:r>
        <w:t>sample patient loading, result visualization with charts and tables, and</w:t>
      </w:r>
    </w:p>
    <w:p>
      <w:r>
        <w:t>report download.</w:t>
      </w:r>
    </w:p>
    <w:p>
      <w:r>
        <w:t>____________________________________________________________</w:t>
      </w:r>
    </w:p>
    <w:p>
      <w:pPr>
        <w:pStyle w:val="Heading2"/>
      </w:pPr>
      <w:r>
        <w:t>Chapter 13: Next Steps</w:t>
      </w:r>
    </w:p>
    <w:p>
      <w:r>
        <w:t>Now that you understand the foundations, here are some paths for deeper</w:t>
      </w:r>
    </w:p>
    <w:p>
      <w:r>
        <w:t>exploration:</w:t>
      </w:r>
    </w:p>
    <w:p>
      <w:pPr>
        <w:pStyle w:val="Heading3"/>
      </w:pPr>
      <w:r>
        <w:t>For Developers</w:t>
      </w:r>
    </w:p>
    <w:p>
      <w:pPr>
        <w:pStyle w:val="ListNumber"/>
      </w:pPr>
      <w:r/>
      <w:r>
        <w:rPr>
          <w:b/>
        </w:rPr>
        <w:t>Read the API docs</w:t>
      </w:r>
      <w:r>
        <w:t xml:space="preserve">: Open </w:t>
      </w:r>
      <w:r>
        <w:rPr>
          <w:rFonts w:ascii="Consolas" w:hAnsi="Consolas"/>
          <w:color w:val="2E864B"/>
          <w:sz w:val="20"/>
        </w:rPr>
        <w:t>http://localhost:8529/docs</w:t>
      </w:r>
      <w:r>
        <w:t xml:space="preserve"> and try every</w:t>
      </w:r>
    </w:p>
    <w:p>
      <w:r>
        <w:t>endpoint with the interactive Swagger UI.</w:t>
      </w:r>
    </w:p>
    <w:p>
      <w:pPr>
        <w:pStyle w:val="ListNumber"/>
      </w:pPr>
      <w:r/>
      <w:r>
        <w:rPr>
          <w:b/>
        </w:rPr>
        <w:t>Trace a query</w:t>
      </w:r>
      <w:r>
        <w:t xml:space="preserve">: Put a breakpoint in </w:t>
      </w:r>
      <w:r>
        <w:rPr>
          <w:rFonts w:ascii="Consolas" w:hAnsi="Consolas"/>
          <w:color w:val="2E864B"/>
          <w:sz w:val="20"/>
        </w:rPr>
        <w:t>agent.py:run()</w:t>
      </w:r>
      <w:r>
        <w:t xml:space="preserve"> and follow a question</w:t>
      </w:r>
    </w:p>
    <w:p>
      <w:r>
        <w:t>through plan, analyze, search, and synthesize. Watch how evidence flows from</w:t>
      </w:r>
    </w:p>
    <w:p>
      <w:r>
        <w:t>Milvus through the RAG engine to the LLM.</w:t>
      </w:r>
    </w:p>
    <w:p>
      <w:pPr>
        <w:pStyle w:val="ListNumber"/>
      </w:pPr>
      <w:r/>
      <w:r>
        <w:rPr>
          <w:b/>
        </w:rPr>
        <w:t>Add a new collection</w:t>
      </w:r>
      <w:r>
        <w:t xml:space="preserve">: Follow the pattern in </w:t>
      </w:r>
      <w:r>
        <w:rPr>
          <w:rFonts w:ascii="Consolas" w:hAnsi="Consolas"/>
          <w:color w:val="2E864B"/>
          <w:sz w:val="20"/>
        </w:rPr>
        <w:t>collections.py</w:t>
      </w:r>
      <w:r>
        <w:t xml:space="preserve"> to add a new</w:t>
      </w:r>
    </w:p>
    <w:p>
      <w:r>
        <w:t xml:space="preserve">domain collection. Create its Pydantic model in </w:t>
      </w:r>
      <w:r>
        <w:rPr>
          <w:rFonts w:ascii="Consolas" w:hAnsi="Consolas"/>
          <w:color w:val="2E864B"/>
          <w:sz w:val="20"/>
        </w:rPr>
        <w:t>models.py</w:t>
      </w:r>
      <w:r>
        <w:t>, add its weight</w:t>
      </w:r>
    </w:p>
    <w:p>
      <w:r>
        <w:t xml:space="preserve">in </w:t>
      </w:r>
      <w:r>
        <w:rPr>
          <w:rFonts w:ascii="Consolas" w:hAnsi="Consolas"/>
          <w:color w:val="2E864B"/>
          <w:sz w:val="20"/>
        </w:rPr>
        <w:t>settings.py</w:t>
      </w:r>
      <w:r>
        <w:t xml:space="preserve">, and register it in </w:t>
      </w:r>
      <w:r>
        <w:rPr>
          <w:rFonts w:ascii="Consolas" w:hAnsi="Consolas"/>
          <w:color w:val="2E864B"/>
          <w:sz w:val="20"/>
        </w:rPr>
        <w:t>rag_engine.py:COLLECTION_CONFIG</w:t>
      </w:r>
      <w:r>
        <w:t>.</w:t>
      </w:r>
    </w:p>
    <w:p>
      <w:pPr>
        <w:pStyle w:val="ListNumber"/>
      </w:pPr>
      <w:r/>
      <w:r>
        <w:rPr>
          <w:b/>
        </w:rPr>
        <w:t>Write tests</w:t>
      </w:r>
      <w:r>
        <w:t xml:space="preserve">: The </w:t>
      </w:r>
      <w:r>
        <w:rPr>
          <w:rFonts w:ascii="Consolas" w:hAnsi="Consolas"/>
          <w:color w:val="2E864B"/>
          <w:sz w:val="20"/>
        </w:rPr>
        <w:t>tests/</w:t>
      </w:r>
      <w:r>
        <w:t xml:space="preserve"> directory contains the test suite. The critical</w:t>
      </w:r>
    </w:p>
    <w:p>
      <w:r>
        <w:t>analysis modules (biological</w:t>
      </w:r>
      <w:r>
        <w:rPr>
          <w:i/>
        </w:rPr>
        <w:t>age, pharmacogenomics, disease</w:t>
      </w:r>
      <w:r>
        <w:t>trajectory,</w:t>
      </w:r>
    </w:p>
    <w:p>
      <w:r>
        <w:t>genotype_adjustment) are pure computation with no external dependencies,</w:t>
      </w:r>
    </w:p>
    <w:p>
      <w:r>
        <w:t>making them ideal for unit testing.</w:t>
      </w:r>
    </w:p>
    <w:p>
      <w:pPr>
        <w:pStyle w:val="Heading3"/>
      </w:pPr>
      <w:r>
        <w:t>For Data Scientists</w:t>
      </w:r>
    </w:p>
    <w:p>
      <w:pPr>
        <w:pStyle w:val="ListNumber"/>
      </w:pPr>
      <w:r/>
      <w:r>
        <w:rPr>
          <w:b/>
        </w:rPr>
        <w:t>Experiment with weights</w:t>
      </w:r>
      <w:r>
        <w:t>: Adjust the 14 collection weights in</w:t>
      </w:r>
    </w:p>
    <w:p>
      <w:r/>
      <w:r>
        <w:rPr>
          <w:rFonts w:ascii="Consolas" w:hAnsi="Consolas"/>
          <w:color w:val="2E864B"/>
          <w:sz w:val="20"/>
        </w:rPr>
        <w:t>config/settings.py</w:t>
      </w:r>
      <w:r>
        <w:t xml:space="preserve"> and observe how they change the ranking of evidence in</w:t>
      </w:r>
    </w:p>
    <w:p>
      <w:r>
        <w:t>RAG responses.</w:t>
      </w:r>
    </w:p>
    <w:p>
      <w:pPr>
        <w:pStyle w:val="ListNumber"/>
      </w:pPr>
      <w:r/>
      <w:r>
        <w:rPr>
          <w:b/>
        </w:rPr>
        <w:t>Analyze the PhenoAge algorithm</w:t>
      </w:r>
      <w:r>
        <w:t xml:space="preserve">: Read </w:t>
      </w:r>
      <w:r>
        <w:rPr>
          <w:rFonts w:ascii="Consolas" w:hAnsi="Consolas"/>
          <w:color w:val="2E864B"/>
          <w:sz w:val="20"/>
        </w:rPr>
        <w:t>src/biological_age.py</w:t>
      </w:r>
      <w:r>
        <w:t xml:space="preserve"> alongside</w:t>
      </w:r>
    </w:p>
    <w:p>
      <w:r>
        <w:t>the Levine et al. 2018 paper (PMID:29676998). Verify the coefficients. Try</w:t>
      </w:r>
    </w:p>
    <w:p>
      <w:r>
        <w:t>modifying the Gompertz parameters and observe the effect on biological age</w:t>
      </w:r>
    </w:p>
    <w:p>
      <w:r>
        <w:t>estimates.</w:t>
      </w:r>
    </w:p>
    <w:p>
      <w:pPr>
        <w:pStyle w:val="ListNumber"/>
      </w:pPr>
      <w:r/>
      <w:r>
        <w:rPr>
          <w:b/>
        </w:rPr>
        <w:t>Build a validation cohort</w:t>
      </w:r>
      <w:r>
        <w:t>: Use the biological age calculator on known</w:t>
      </w:r>
    </w:p>
    <w:p>
      <w:r>
        <w:t>patient panels and compare against published PhenoAge results.</w:t>
      </w:r>
    </w:p>
    <w:p>
      <w:pPr>
        <w:pStyle w:val="Heading3"/>
      </w:pPr>
      <w:r>
        <w:t>For Clinicians</w:t>
      </w:r>
    </w:p>
    <w:p>
      <w:pPr>
        <w:pStyle w:val="ListNumber"/>
      </w:pPr>
      <w:r/>
      <w:r>
        <w:rPr>
          <w:b/>
        </w:rPr>
        <w:t>Run the demo patient</w:t>
      </w:r>
      <w:r>
        <w:t>: Walk through Chapter 6 with the demo patient and</w:t>
      </w:r>
    </w:p>
    <w:p>
      <w:r>
        <w:t>verify that the clinical interpretations match your medical knowledge.</w:t>
      </w:r>
    </w:p>
    <w:p>
      <w:pPr>
        <w:pStyle w:val="ListNumber"/>
      </w:pPr>
      <w:r/>
      <w:r>
        <w:rPr>
          <w:b/>
        </w:rPr>
        <w:t>Test edge cases</w:t>
      </w:r>
      <w:r>
        <w:t>: Enter patients with extreme biomarker values, rare</w:t>
      </w:r>
    </w:p>
    <w:p>
      <w:r>
        <w:t>genotype combinations, or complex multi-drug regimens. See how the system</w:t>
      </w:r>
    </w:p>
    <w:p>
      <w:r>
        <w:t>handles them.</w:t>
      </w:r>
    </w:p>
    <w:p>
      <w:pPr>
        <w:pStyle w:val="ListNumber"/>
      </w:pPr>
      <w:r/>
      <w:r>
        <w:rPr>
          <w:b/>
        </w:rPr>
        <w:t>Review the PGx recommendations</w:t>
      </w:r>
      <w:r>
        <w:t>: Compare the agent's CPIC recommendations</w:t>
      </w:r>
    </w:p>
    <w:p>
      <w:r>
        <w:t>against the current guidelines at cpicpgx.org.</w:t>
      </w:r>
    </w:p>
    <w:p>
      <w:pPr>
        <w:pStyle w:val="Heading3"/>
      </w:pPr>
      <w:r>
        <w:t>For Everyone</w:t>
      </w:r>
    </w:p>
    <w:p>
      <w:pPr>
        <w:pStyle w:val="ListNumber"/>
      </w:pPr>
      <w:r/>
      <w:r>
        <w:rPr>
          <w:b/>
        </w:rPr>
        <w:t>Read the knowledge graph</w:t>
      </w:r>
      <w:r>
        <w:t xml:space="preserve">: Open </w:t>
      </w:r>
      <w:r>
        <w:rPr>
          <w:rFonts w:ascii="Consolas" w:hAnsi="Consolas"/>
          <w:color w:val="2E864B"/>
          <w:sz w:val="20"/>
        </w:rPr>
        <w:t>src/knowledge.py</w:t>
      </w:r>
      <w:r>
        <w:t xml:space="preserve"> and read through the</w:t>
      </w:r>
    </w:p>
    <w:p>
      <w:r>
        <w:t>disease domain definitions. This is the most readable file in the codebase</w:t>
      </w:r>
    </w:p>
    <w:p>
      <w:r>
        <w:t>and provides a medical education in itself.</w:t>
      </w:r>
    </w:p>
    <w:p>
      <w:pPr>
        <w:pStyle w:val="ListNumber"/>
      </w:pPr>
      <w:r/>
      <w:r>
        <w:rPr>
          <w:b/>
        </w:rPr>
        <w:t>Explore cross-modal links</w:t>
      </w:r>
      <w:r>
        <w:t>: Understand how this agent connects to the</w:t>
      </w:r>
    </w:p>
    <w:p>
      <w:r>
        <w:t>other four HCLS AI Factory agents (Imaging, Oncology, CAR-T, Autoimmune).</w:t>
      </w:r>
    </w:p>
    <w:p>
      <w:pPr>
        <w:pStyle w:val="ListNumber"/>
      </w:pPr>
      <w:r/>
      <w:r>
        <w:rPr>
          <w:b/>
        </w:rPr>
        <w:t>Contribute</w:t>
      </w:r>
      <w:r>
        <w:t>: File issues for incorrect clinical data, missing drug-gene</w:t>
      </w:r>
    </w:p>
    <w:p>
      <w:r>
        <w:t>pairs, or collection schema improvements.</w:t>
      </w:r>
    </w:p>
    <w:p>
      <w:r>
        <w:t>____________________________________________________________</w:t>
      </w:r>
    </w:p>
    <w:p>
      <w:pPr>
        <w:pStyle w:val="Heading2"/>
      </w:pPr>
      <w:r>
        <w:t>Chapter 14: Glossary</w:t>
      </w:r>
    </w:p>
    <w:p>
      <w:r/>
      <w:r>
        <w:rPr>
          <w:b/>
        </w:rPr>
        <w:t>Allele</w:t>
      </w:r>
      <w:r>
        <w:t xml:space="preserve"> -- One of the possible versions of a gene. Most genes have two</w:t>
      </w:r>
    </w:p>
    <w:p>
      <w:r>
        <w:t>alleles (one from each parent). Variants between alleles can affect protein</w:t>
      </w:r>
    </w:p>
    <w:p>
      <w:r>
        <w:t>function.</w:t>
      </w:r>
    </w:p>
    <w:p>
      <w:r/>
      <w:r>
        <w:rPr>
          <w:b/>
        </w:rPr>
        <w:t>ApoB</w:t>
      </w:r>
      <w:r>
        <w:t xml:space="preserve"> -- Apolipoprotein B. A protein component of LDL particles. Considered a</w:t>
      </w:r>
    </w:p>
    <w:p>
      <w:r>
        <w:t>more accurate predictor of cardiovascular risk than LDL-C because it counts</w:t>
      </w:r>
    </w:p>
    <w:p>
      <w:r>
        <w:t>actual atherogenic particles.</w:t>
      </w:r>
    </w:p>
    <w:p>
      <w:r/>
      <w:r>
        <w:rPr>
          <w:b/>
        </w:rPr>
        <w:t>APOE</w:t>
      </w:r>
      <w:r>
        <w:t xml:space="preserve"> -- Apolipoprotein E gene. Three common variants (e2, e3, e4) affect</w:t>
      </w:r>
    </w:p>
    <w:p>
      <w:r>
        <w:t>lipid metabolism and Alzheimer's disease risk. E4 carriers have elevated LDL</w:t>
      </w:r>
    </w:p>
    <w:p>
      <w:r>
        <w:t>and increased cardiovascular and neurological risk.</w:t>
      </w:r>
    </w:p>
    <w:p>
      <w:r/>
      <w:r>
        <w:rPr>
          <w:b/>
        </w:rPr>
        <w:t>Biological Age</w:t>
      </w:r>
      <w:r>
        <w:t xml:space="preserve"> -- An estimate of physiological age based on biomarker values,</w:t>
      </w:r>
    </w:p>
    <w:p>
      <w:r>
        <w:t>as opposed to chronological (calendar) age. A person who is 50 years old</w:t>
      </w:r>
    </w:p>
    <w:p>
      <w:r>
        <w:t>chronologically may have a biological age of 45 (aging slower) or 55 (aging</w:t>
      </w:r>
    </w:p>
    <w:p>
      <w:r>
        <w:t>faster).</w:t>
      </w:r>
    </w:p>
    <w:p>
      <w:r/>
      <w:r>
        <w:rPr>
          <w:b/>
        </w:rPr>
        <w:t>BGE-small-en-v1.5</w:t>
      </w:r>
      <w:r>
        <w:t xml:space="preserve"> -- BAAI General Embedding model. The embedding model used</w:t>
      </w:r>
    </w:p>
    <w:p>
      <w:r>
        <w:t>by this agent to convert text into 384-dimensional vectors for similarity</w:t>
      </w:r>
    </w:p>
    <w:p>
      <w:r>
        <w:t>search.</w:t>
      </w:r>
    </w:p>
    <w:p>
      <w:r/>
      <w:r>
        <w:rPr>
          <w:b/>
        </w:rPr>
        <w:t>Biomarker</w:t>
      </w:r>
      <w:r>
        <w:t xml:space="preserve"> -- Any measurable substance or characteristic in the body that</w:t>
      </w:r>
    </w:p>
    <w:p>
      <w:r>
        <w:t>indicates a biological state, risk factor, or disease process.</w:t>
      </w:r>
    </w:p>
    <w:p>
      <w:r/>
      <w:r>
        <w:rPr>
          <w:b/>
        </w:rPr>
        <w:t>CBC</w:t>
      </w:r>
      <w:r>
        <w:t xml:space="preserve"> -- Complete Blood Count. A standard blood test measuring WBC, RBC,</w:t>
      </w:r>
    </w:p>
    <w:p>
      <w:r>
        <w:t>hemoglobin, hematocrit, MCV, RDW, platelets, and differential counts.</w:t>
      </w:r>
    </w:p>
    <w:p>
      <w:r/>
      <w:r>
        <w:rPr>
          <w:b/>
        </w:rPr>
        <w:t>CMP</w:t>
      </w:r>
      <w:r>
        <w:t xml:space="preserve"> -- Comprehensive Metabolic Panel. A blood test measuring glucose,</w:t>
      </w:r>
    </w:p>
    <w:p>
      <w:r>
        <w:t>electrolytes, kidney function (creatinine, BUN), liver enzymes (ALT, AST,</w:t>
      </w:r>
    </w:p>
    <w:p>
      <w:r>
        <w:t>alkaline phosphatase), and proteins (albumin, total protein).</w:t>
      </w:r>
    </w:p>
    <w:p>
      <w:r/>
      <w:r>
        <w:rPr>
          <w:b/>
        </w:rPr>
        <w:t>CPIC</w:t>
      </w:r>
      <w:r>
        <w:t xml:space="preserve"> -- Clinical Pharmacogenetics Implementation Consortium. An organization</w:t>
      </w:r>
    </w:p>
    <w:p>
      <w:r>
        <w:t>that publishes evidence-based guidelines for translating genetic test results</w:t>
      </w:r>
    </w:p>
    <w:p>
      <w:r>
        <w:t>into actionable prescribing decisions.</w:t>
      </w:r>
    </w:p>
    <w:p>
      <w:r/>
      <w:r>
        <w:rPr>
          <w:b/>
        </w:rPr>
        <w:t>CRP (hs-CRP)</w:t>
      </w:r>
      <w:r>
        <w:t xml:space="preserve"> -- C-Reactive Protein (high-sensitivity). An inflammatory</w:t>
      </w:r>
    </w:p>
    <w:p>
      <w:r>
        <w:t>marker produced by the liver. Elevated levels indicate systemic inflammation</w:t>
      </w:r>
    </w:p>
    <w:p>
      <w:r>
        <w:t>and increased cardiovascular risk.</w:t>
      </w:r>
    </w:p>
    <w:p>
      <w:r/>
      <w:r>
        <w:rPr>
          <w:b/>
        </w:rPr>
        <w:t>Cross-Modal Trigger</w:t>
      </w:r>
      <w:r>
        <w:t xml:space="preserve"> -- A signal sent from one HCLS AI Factory agent to</w:t>
      </w:r>
    </w:p>
    <w:p>
      <w:r>
        <w:t>another when a finding in one domain warrants investigation in another (e.g.,</w:t>
      </w:r>
    </w:p>
    <w:p>
      <w:r>
        <w:t>elevated Lp(a) triggering cardiac imaging).</w:t>
      </w:r>
    </w:p>
    <w:p>
      <w:r/>
      <w:r>
        <w:rPr>
          <w:b/>
        </w:rPr>
        <w:t>CYP2D6</w:t>
      </w:r>
      <w:r>
        <w:t xml:space="preserve"> -- Cytochrome P450 2D6. A liver enzyme that metabolizes</w:t>
      </w:r>
    </w:p>
    <w:p>
      <w:r>
        <w:t>approximately 25% of all prescription drugs. Genetic variation causes wide</w:t>
      </w:r>
    </w:p>
    <w:p>
      <w:r>
        <w:t>inter-individual differences in drug metabolism.</w:t>
      </w:r>
    </w:p>
    <w:p>
      <w:r/>
      <w:r>
        <w:rPr>
          <w:b/>
        </w:rPr>
        <w:t>Diplotype</w:t>
      </w:r>
      <w:r>
        <w:t xml:space="preserve"> -- The combination of two alleles at a gene locus (one from each</w:t>
      </w:r>
    </w:p>
    <w:p>
      <w:r>
        <w:t xml:space="preserve">parent), written as allele1/allele2 (e.g., CYP2D6 </w:t>
      </w:r>
      <w:r>
        <w:rPr>
          <w:i/>
        </w:rPr>
        <w:t>1/</w:t>
      </w:r>
      <w:r>
        <w:t>4).</w:t>
      </w:r>
    </w:p>
    <w:p>
      <w:r/>
      <w:r>
        <w:rPr>
          <w:b/>
        </w:rPr>
        <w:t>Discordance</w:t>
      </w:r>
      <w:r>
        <w:t xml:space="preserve"> -- A pattern where two biomarkers that normally move together</w:t>
      </w:r>
    </w:p>
    <w:p>
      <w:r>
        <w:t>show an unexpected divergence, potentially indicating a specific clinical</w:t>
      </w:r>
    </w:p>
    <w:p>
      <w:r>
        <w:t>condition, lab error, or rare disease.</w:t>
      </w:r>
    </w:p>
    <w:p>
      <w:r/>
      <w:r>
        <w:rPr>
          <w:b/>
        </w:rPr>
        <w:t>Disease Trajectory</w:t>
      </w:r>
      <w:r>
        <w:t xml:space="preserve"> -- The projected course of a disease from earliest</w:t>
      </w:r>
    </w:p>
    <w:p>
      <w:r>
        <w:t>detectable biomarker changes through pre-clinical stages to clinical diagnosis,</w:t>
      </w:r>
    </w:p>
    <w:p>
      <w:r>
        <w:t>enabling early intervention.</w:t>
      </w:r>
    </w:p>
    <w:p>
      <w:r/>
      <w:r>
        <w:rPr>
          <w:b/>
        </w:rPr>
        <w:t>DPYD</w:t>
      </w:r>
      <w:r>
        <w:t xml:space="preserve"> -- Dihydropyrimidine dehydrogenase gene. Metabolizes fluoropyrimidine</w:t>
      </w:r>
    </w:p>
    <w:p>
      <w:r>
        <w:t>chemotherapy drugs. Poor metabolizers face life-threatening toxicity from</w:t>
      </w:r>
    </w:p>
    <w:p>
      <w:r>
        <w:t>standard doses.</w:t>
      </w:r>
    </w:p>
    <w:p>
      <w:r/>
      <w:r>
        <w:rPr>
          <w:b/>
        </w:rPr>
        <w:t>Embedding</w:t>
      </w:r>
      <w:r>
        <w:t xml:space="preserve"> -- A mathematical representation of text as a vector (list of</w:t>
      </w:r>
    </w:p>
    <w:p>
      <w:r>
        <w:t>numbers) in high-dimensional space, where similar meanings produce similar</w:t>
      </w:r>
    </w:p>
    <w:p>
      <w:r>
        <w:t>vectors.</w:t>
      </w:r>
    </w:p>
    <w:p>
      <w:r/>
      <w:r>
        <w:rPr>
          <w:b/>
        </w:rPr>
        <w:t>FADS1</w:t>
      </w:r>
      <w:r>
        <w:t xml:space="preserve"> -- Fatty Acid Desaturase 1. Affects conversion of short-chain to</w:t>
      </w:r>
    </w:p>
    <w:p>
      <w:r>
        <w:t>long-chain omega-3 fatty acids. Variants may increase dietary omega-3</w:t>
      </w:r>
    </w:p>
    <w:p>
      <w:r>
        <w:t>requirements.</w:t>
      </w:r>
    </w:p>
    <w:p>
      <w:r/>
      <w:r>
        <w:rPr>
          <w:b/>
        </w:rPr>
        <w:t>FHIR R4</w:t>
      </w:r>
      <w:r>
        <w:t xml:space="preserve"> -- Fast Healthcare Interoperability Resources, Release 4. A standard</w:t>
      </w:r>
    </w:p>
    <w:p>
      <w:r>
        <w:t>for exchanging healthcare information electronically. The agent can export</w:t>
      </w:r>
    </w:p>
    <w:p>
      <w:r>
        <w:t>reports in FHIR R4 DiagnosticReport format.</w:t>
      </w:r>
    </w:p>
    <w:p>
      <w:r/>
      <w:r>
        <w:rPr>
          <w:b/>
        </w:rPr>
        <w:t>FIB-4</w:t>
      </w:r>
      <w:r>
        <w:t xml:space="preserve"> -- Fibrosis-4 Index. A calculated score using age, AST, ALT, and</w:t>
      </w:r>
    </w:p>
    <w:p>
      <w:r>
        <w:t>platelet count to estimate liver fibrosis severity.</w:t>
      </w:r>
    </w:p>
    <w:p>
      <w:r/>
      <w:r>
        <w:rPr>
          <w:b/>
        </w:rPr>
        <w:t>Genotype</w:t>
      </w:r>
      <w:r>
        <w:t xml:space="preserve"> -- The specific combination of alleles at a given genetic locus.</w:t>
      </w:r>
    </w:p>
    <w:p>
      <w:r>
        <w:t>Written as two letters (e.g., CT for heterozygous MTHFR C677T).</w:t>
      </w:r>
    </w:p>
    <w:p>
      <w:r/>
      <w:r>
        <w:rPr>
          <w:b/>
        </w:rPr>
        <w:t>GrimAge</w:t>
      </w:r>
      <w:r>
        <w:t xml:space="preserve"> -- An epigenetic clock (Lu et al. 2019) that predicts lifespan and</w:t>
      </w:r>
    </w:p>
    <w:p>
      <w:r>
        <w:t>healthspan using DNA methylation patterns. This agent uses a simplified</w:t>
      </w:r>
    </w:p>
    <w:p>
      <w:r>
        <w:t>surrogate based on plasma protein markers.</w:t>
      </w:r>
    </w:p>
    <w:p>
      <w:r/>
      <w:r>
        <w:rPr>
          <w:b/>
        </w:rPr>
        <w:t>HbA1c</w:t>
      </w:r>
      <w:r>
        <w:t xml:space="preserve"> -- Glycated Hemoglobin. Reflects average blood glucose over the</w:t>
      </w:r>
    </w:p>
    <w:p>
      <w:r>
        <w:t>preceding 2-3 months. Used to diagnose and monitor diabetes.</w:t>
      </w:r>
    </w:p>
    <w:p>
      <w:r/>
      <w:r>
        <w:rPr>
          <w:b/>
        </w:rPr>
        <w:t>HFE</w:t>
      </w:r>
      <w:r>
        <w:t xml:space="preserve"> -- The hemochromatosis gene. C282Y and H63D variants cause hereditary</w:t>
      </w:r>
    </w:p>
    <w:p>
      <w:r>
        <w:t>hemochromatosis (iron overload disorder).</w:t>
      </w:r>
    </w:p>
    <w:p>
      <w:r/>
      <w:r>
        <w:rPr>
          <w:b/>
        </w:rPr>
        <w:t>HOMA-IR</w:t>
      </w:r>
      <w:r>
        <w:t xml:space="preserve"> -- Homeostatic Model Assessment of Insulin Resistance. Calculated</w:t>
      </w:r>
    </w:p>
    <w:p>
      <w:r>
        <w:t>from fasting glucose and insulin to estimate insulin resistance.</w:t>
      </w:r>
    </w:p>
    <w:p>
      <w:r/>
      <w:r>
        <w:rPr>
          <w:b/>
        </w:rPr>
        <w:t>Homocysteine</w:t>
      </w:r>
      <w:r>
        <w:t xml:space="preserve"> -- An amino acid in the blood. Elevated levels (often due to</w:t>
      </w:r>
    </w:p>
    <w:p>
      <w:r>
        <w:t>MTHFR variants) are associated with cardiovascular disease, stroke, and</w:t>
      </w:r>
    </w:p>
    <w:p>
      <w:r>
        <w:t>cognitive decline.</w:t>
      </w:r>
    </w:p>
    <w:p>
      <w:r/>
      <w:r>
        <w:rPr>
          <w:b/>
        </w:rPr>
        <w:t>IVF_FLAT</w:t>
      </w:r>
      <w:r>
        <w:t xml:space="preserve"> -- An index type used by Milvus for approximate nearest neighbor</w:t>
      </w:r>
    </w:p>
    <w:p>
      <w:r>
        <w:t>search. Provides good recall with moderate memory usage.</w:t>
      </w:r>
    </w:p>
    <w:p>
      <w:r/>
      <w:r>
        <w:rPr>
          <w:b/>
        </w:rPr>
        <w:t>Knowledge Graph</w:t>
      </w:r>
      <w:r>
        <w:t xml:space="preserve"> -- A structured representation of domain knowledge</w:t>
      </w:r>
    </w:p>
    <w:p>
      <w:r>
        <w:t>(disease domains, gene-drug relationships, biomarker coefficients) that</w:t>
      </w:r>
    </w:p>
    <w:p>
      <w:r>
        <w:t>supplements the vector-searchable collections.</w:t>
      </w:r>
    </w:p>
    <w:p>
      <w:r/>
      <w:r>
        <w:rPr>
          <w:b/>
        </w:rPr>
        <w:t>LDL</w:t>
      </w:r>
      <w:r>
        <w:t xml:space="preserve"> -- Low-Density Lipoprotein cholesterol. The primary target for</w:t>
      </w:r>
    </w:p>
    <w:p>
      <w:r>
        <w:t>cardiovascular risk reduction. Elevated LDL is a major risk factor for</w:t>
      </w:r>
    </w:p>
    <w:p>
      <w:r>
        <w:t>atherosclerosis.</w:t>
      </w:r>
    </w:p>
    <w:p>
      <w:r/>
      <w:r>
        <w:rPr>
          <w:b/>
        </w:rPr>
        <w:t>LOINC</w:t>
      </w:r>
      <w:r>
        <w:t xml:space="preserve"> -- Logical Observation Identifiers Names and Codes. A standardized</w:t>
      </w:r>
    </w:p>
    <w:p>
      <w:r>
        <w:t>coding system for laboratory tests and clinical observations.</w:t>
      </w:r>
    </w:p>
    <w:p>
      <w:r/>
      <w:r>
        <w:rPr>
          <w:b/>
        </w:rPr>
        <w:t>Lp(a)</w:t>
      </w:r>
      <w:r>
        <w:t xml:space="preserve"> -- Lipoprotein(a). A genetically determined cardiovascular risk factor</w:t>
      </w:r>
    </w:p>
    <w:p>
      <w:r>
        <w:t>largely unresponsive to statins. Values above 50 mg/dL indicate elevated risk.</w:t>
      </w:r>
    </w:p>
    <w:p>
      <w:r/>
      <w:r>
        <w:rPr>
          <w:b/>
        </w:rPr>
        <w:t>MCV</w:t>
      </w:r>
      <w:r>
        <w:t xml:space="preserve"> -- Mean Corpuscular Volume. The average size of red blood cells.</w:t>
      </w:r>
    </w:p>
    <w:p>
      <w:r>
        <w:t>Elevated MCV (macrocytosis) can indicate B12 or folate deficiency. Used in</w:t>
      </w:r>
    </w:p>
    <w:p>
      <w:r>
        <w:t>the PhenoAge algorithm.</w:t>
      </w:r>
    </w:p>
    <w:p>
      <w:r/>
      <w:r>
        <w:rPr>
          <w:b/>
        </w:rPr>
        <w:t>Metabolizer Phenotype</w:t>
      </w:r>
      <w:r>
        <w:t xml:space="preserve"> -- Classification of enzyme activity based on</w:t>
      </w:r>
    </w:p>
    <w:p>
      <w:r>
        <w:t>genetics: ultra-rapid, normal, intermediate, or poor. Determines how fast a</w:t>
      </w:r>
    </w:p>
    <w:p>
      <w:r>
        <w:t>person processes a drug.</w:t>
      </w:r>
    </w:p>
    <w:p>
      <w:r/>
      <w:r>
        <w:rPr>
          <w:b/>
        </w:rPr>
        <w:t>Milvus</w:t>
      </w:r>
      <w:r>
        <w:t xml:space="preserve"> -- An open-source vector database designed for similarity search on</w:t>
      </w:r>
    </w:p>
    <w:p>
      <w:r>
        <w:t>embedding vectors. The storage backend for all 14 collections.</w:t>
      </w:r>
    </w:p>
    <w:p>
      <w:r/>
      <w:r>
        <w:rPr>
          <w:b/>
        </w:rPr>
        <w:t>MTHFR</w:t>
      </w:r>
      <w:r>
        <w:t xml:space="preserve"> -- Methylenetetrahydrofolate reductase. C677T and A1298C variants</w:t>
      </w:r>
    </w:p>
    <w:p>
      <w:r>
        <w:t>reduce enzyme activity, affecting folate metabolism and homocysteine levels.</w:t>
      </w:r>
    </w:p>
    <w:p>
      <w:r/>
      <w:r>
        <w:rPr>
          <w:b/>
        </w:rPr>
        <w:t>PGx (Pharmacogenomics)</w:t>
      </w:r>
      <w:r>
        <w:t xml:space="preserve"> -- The study of how genetic variation affects</w:t>
      </w:r>
    </w:p>
    <w:p>
      <w:r>
        <w:t>individual responses to drugs. Used to optimize drug selection and dosing.</w:t>
      </w:r>
    </w:p>
    <w:p>
      <w:r/>
      <w:r>
        <w:rPr>
          <w:b/>
        </w:rPr>
        <w:t>PhenoAge</w:t>
      </w:r>
      <w:r>
        <w:t xml:space="preserve"> -- An epigenetic aging clock (Levine et al. 2018) that estimates</w:t>
      </w:r>
    </w:p>
    <w:p>
      <w:r>
        <w:t>biological age from 9 routine blood biomarkers using Gompertz mortality</w:t>
      </w:r>
    </w:p>
    <w:p>
      <w:r>
        <w:t>modeling.</w:t>
      </w:r>
    </w:p>
    <w:p>
      <w:r/>
      <w:r>
        <w:rPr>
          <w:b/>
        </w:rPr>
        <w:t>PNPLA3</w:t>
      </w:r>
      <w:r>
        <w:t xml:space="preserve"> -- Patatin-like phospholipase domain-containing protein 3. The I148M</w:t>
      </w:r>
    </w:p>
    <w:p>
      <w:r>
        <w:t>variant (rs738409) dramatically increases risk of NAFLD, NASH, and liver</w:t>
      </w:r>
    </w:p>
    <w:p>
      <w:r>
        <w:t>fibrosis.</w:t>
      </w:r>
    </w:p>
    <w:p>
      <w:r/>
      <w:r>
        <w:rPr>
          <w:b/>
        </w:rPr>
        <w:t>Population Frequency</w:t>
      </w:r>
      <w:r>
        <w:t xml:space="preserve"> -- The proportion of people in a defined population</w:t>
      </w:r>
    </w:p>
    <w:p>
      <w:r>
        <w:t>who carry a particular allele or genotype.</w:t>
      </w:r>
    </w:p>
    <w:p>
      <w:r/>
      <w:r>
        <w:rPr>
          <w:b/>
        </w:rPr>
        <w:t>RAG</w:t>
      </w:r>
      <w:r>
        <w:t xml:space="preserve"> -- Retrieval-Augmented Generation. A pattern where an LLM generates</w:t>
      </w:r>
    </w:p>
    <w:p>
      <w:r>
        <w:t>responses grounded in retrieved evidence rather than relying solely on its</w:t>
      </w:r>
    </w:p>
    <w:p>
      <w:r>
        <w:t>training data.</w:t>
      </w:r>
    </w:p>
    <w:p>
      <w:r/>
      <w:r>
        <w:rPr>
          <w:b/>
        </w:rPr>
        <w:t>RDW</w:t>
      </w:r>
      <w:r>
        <w:t xml:space="preserve"> -- Red Cell Distribution Width. Measures variation in red blood cell</w:t>
      </w:r>
    </w:p>
    <w:p>
      <w:r>
        <w:t>size. Elevated RDW is associated with inflammation, nutritional deficiency, and</w:t>
      </w:r>
    </w:p>
    <w:p>
      <w:r>
        <w:t>accelerated aging. Has the largest positive coefficient in PhenoAge.</w:t>
      </w:r>
    </w:p>
    <w:p>
      <w:r/>
      <w:r>
        <w:rPr>
          <w:b/>
        </w:rPr>
        <w:t>Reference Range</w:t>
      </w:r>
      <w:r>
        <w:t xml:space="preserve"> -- The range of values considered normal for a biomarker in a</w:t>
      </w:r>
    </w:p>
    <w:p>
      <w:r>
        <w:t>healthy population. Typically defined as the central 95% of a reference</w:t>
      </w:r>
    </w:p>
    <w:p>
      <w:r>
        <w:t>population.</w:t>
      </w:r>
    </w:p>
    <w:p>
      <w:r/>
      <w:r>
        <w:rPr>
          <w:b/>
        </w:rPr>
        <w:t>rsID</w:t>
      </w:r>
      <w:r>
        <w:t xml:space="preserve"> -- Reference SNP cluster ID. A standardized identifier for a specific</w:t>
      </w:r>
    </w:p>
    <w:p>
      <w:r>
        <w:t>single-nucleotide polymorphism (e.g., rs1801133 for MTHFR C677T).</w:t>
      </w:r>
    </w:p>
    <w:p>
      <w:r/>
      <w:r>
        <w:rPr>
          <w:b/>
        </w:rPr>
        <w:t>Similarity Score</w:t>
      </w:r>
      <w:r>
        <w:t xml:space="preserve"> -- A number (typically 0 to 1) indicating how closely a</w:t>
      </w:r>
    </w:p>
    <w:p>
      <w:r>
        <w:t>search query matches a stored record in vector space. Higher scores mean closer</w:t>
      </w:r>
    </w:p>
    <w:p>
      <w:r>
        <w:t>semantic match.</w:t>
      </w:r>
    </w:p>
    <w:p>
      <w:r/>
      <w:r>
        <w:rPr>
          <w:b/>
        </w:rPr>
        <w:t>SLCO1B1</w:t>
      </w:r>
      <w:r>
        <w:t xml:space="preserve"> -- Solute Carrier Organic Anion Transporter. The *5 variant reduces</w:t>
      </w:r>
    </w:p>
    <w:p>
      <w:r>
        <w:t>hepatic statin uptake, increasing myopathy risk with simvastatin.</w:t>
      </w:r>
    </w:p>
    <w:p>
      <w:r/>
      <w:r>
        <w:rPr>
          <w:b/>
        </w:rPr>
        <w:t>SNOMED CT</w:t>
      </w:r>
      <w:r>
        <w:t xml:space="preserve"> -- Systematized Nomenclature of Medicine -- Clinical Terms. A</w:t>
      </w:r>
    </w:p>
    <w:p>
      <w:r>
        <w:t>standardized clinical terminology used in electronic health records.</w:t>
      </w:r>
    </w:p>
    <w:p>
      <w:r/>
      <w:r>
        <w:rPr>
          <w:b/>
        </w:rPr>
        <w:t>SNP</w:t>
      </w:r>
      <w:r>
        <w:t xml:space="preserve"> -- Single-Nucleotide Polymorphism. A variation at a single position in</w:t>
      </w:r>
    </w:p>
    <w:p>
      <w:r>
        <w:t>DNA. The most common type of genetic variation, with millions identified across</w:t>
      </w:r>
    </w:p>
    <w:p>
      <w:r>
        <w:t>the human genome.</w:t>
      </w:r>
    </w:p>
    <w:p>
      <w:r/>
      <w:r>
        <w:rPr>
          <w:b/>
        </w:rPr>
        <w:t>Star Allele</w:t>
      </w:r>
      <w:r>
        <w:t xml:space="preserve"> -- A standardized nomenclature for pharmacogene variants,</w:t>
      </w:r>
    </w:p>
    <w:p>
      <w:r>
        <w:t xml:space="preserve">written as an asterisk followed by a number (e.g., </w:t>
      </w:r>
      <w:r>
        <w:rPr>
          <w:i/>
        </w:rPr>
        <w:t xml:space="preserve">1, </w:t>
      </w:r>
      <w:r>
        <w:t>4, *17). Each star</w:t>
      </w:r>
    </w:p>
    <w:p>
      <w:r>
        <w:t>allele represents a specific haplotype with defined functional consequences.</w:t>
      </w:r>
    </w:p>
    <w:p>
      <w:r/>
      <w:r>
        <w:rPr>
          <w:b/>
        </w:rPr>
        <w:t>TCF7L2</w:t>
      </w:r>
      <w:r>
        <w:t xml:space="preserve"> -- Transcription Factor 7-Like 2. The strongest genetic risk factor</w:t>
      </w:r>
    </w:p>
    <w:p>
      <w:r>
        <w:t>for type 2 diabetes. The rs7903146 T allele increases risk by approximately</w:t>
      </w:r>
    </w:p>
    <w:p>
      <w:r>
        <w:t>40% per copy.</w:t>
      </w:r>
    </w:p>
    <w:p>
      <w:r/>
      <w:r>
        <w:rPr>
          <w:b/>
        </w:rPr>
        <w:t>ThreadPoolExecutor</w:t>
      </w:r>
      <w:r>
        <w:t xml:space="preserve"> -- A Python concurrency mechanism used by the agent to</w:t>
      </w:r>
    </w:p>
    <w:p>
      <w:r>
        <w:t>search all 14 collections in parallel, significantly reducing query latency.</w:t>
      </w:r>
    </w:p>
    <w:p>
      <w:r/>
      <w:r>
        <w:rPr>
          <w:b/>
        </w:rPr>
        <w:t>TPMT</w:t>
      </w:r>
      <w:r>
        <w:t xml:space="preserve"> -- Thiopurine S-methyltransferase. Metabolizes thiopurine drugs</w:t>
      </w:r>
    </w:p>
    <w:p>
      <w:r>
        <w:t>(azathioprine, 6-MP). Poor metabolizers risk severe myelosuppression.</w:t>
      </w:r>
    </w:p>
    <w:p>
      <w:r/>
      <w:r>
        <w:rPr>
          <w:b/>
        </w:rPr>
        <w:t>TSH</w:t>
      </w:r>
      <w:r>
        <w:t xml:space="preserve"> -- Thyroid-Stimulating Hormone. The primary screening test for thyroid</w:t>
      </w:r>
    </w:p>
    <w:p>
      <w:r>
        <w:t>function. Reference ranges vary by age, with higher upper limits acceptable in</w:t>
      </w:r>
    </w:p>
    <w:p>
      <w:r>
        <w:t>elderly patients.</w:t>
      </w:r>
    </w:p>
    <w:p>
      <w:r/>
      <w:r>
        <w:rPr>
          <w:b/>
        </w:rPr>
        <w:t>Vector Database</w:t>
      </w:r>
      <w:r>
        <w:t xml:space="preserve"> -- A database optimized for storing and searching</w:t>
      </w:r>
    </w:p>
    <w:p>
      <w:r>
        <w:t>high-dimensional vectors (embeddings). Enables semantic similarity search</w:t>
      </w:r>
    </w:p>
    <w:p>
      <w:r>
        <w:t>rather than keyword matching.</w:t>
      </w:r>
    </w:p>
    <w:p>
      <w:r/>
      <w:r>
        <w:rPr>
          <w:b/>
        </w:rPr>
        <w:t>VDR</w:t>
      </w:r>
      <w:r>
        <w:t xml:space="preserve"> -- Vitamin D Receptor. Genetic variants affect vitamin D absorption</w:t>
      </w:r>
    </w:p>
    <w:p>
      <w:r>
        <w:t>and metabolism, potentially requiring higher supplementation doses.</w:t>
      </w:r>
    </w:p>
    <w:p>
      <w:r/>
      <w:r>
        <w:rPr>
          <w:b/>
        </w:rPr>
        <w:t>VKORC1</w:t>
      </w:r>
      <w:r>
        <w:t xml:space="preserve"> -- Vitamin K epoxide reductase complex subunit 1. Warfarin's drug</w:t>
      </w:r>
    </w:p>
    <w:p>
      <w:r>
        <w:t>target. Genetic variants determine warfarin dose sensitivity.</w:t>
      </w:r>
    </w:p>
    <w:p>
      <w:r/>
      <w:r>
        <w:rPr>
          <w:b/>
        </w:rPr>
        <w:t>WBC</w:t>
      </w:r>
      <w:r>
        <w:t xml:space="preserve"> -- White Blood Cell count. Measures immune system activity. Elevated WBC</w:t>
      </w:r>
    </w:p>
    <w:p>
      <w:r>
        <w:t>contributes positively to PhenoAge (associated with accelerated aging).</w:t>
      </w:r>
    </w:p>
    <w:p>
      <w:r>
        <w:t>____________________________________________________________</w:t>
      </w:r>
    </w:p>
    <w:p>
      <w:r>
        <w:t>*This guide is part of the HCLS AI Factory documentation. For questions,</w:t>
      </w:r>
    </w:p>
    <w:p>
      <w:r>
        <w:t>contributions, or corrections, please open an issue in the project repository.*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7733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7733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773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