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Precision Autoimmune Intelligence Agent</w:t>
      </w:r>
    </w:p>
    <w:p>
      <w:pPr>
        <w:jc w:val="center"/>
      </w:pPr>
      <w:r>
        <w:rPr>
          <w:color w:val="006633"/>
          <w:sz w:val="28"/>
        </w:rPr>
        <w:t>Clinical Impact Assessment &amp; Market Analysis</w:t>
      </w:r>
    </w:p>
    <w:p/>
    <w:p>
      <w:r>
        <w:rPr>
          <w:b/>
        </w:rPr>
        <w:t xml:space="preserve">Author: </w:t>
      </w:r>
      <w:r>
        <w:t>Adam Jones</w:t>
      </w:r>
    </w:p>
    <w:p>
      <w:r>
        <w:rPr>
          <w:b/>
        </w:rPr>
        <w:t xml:space="preserve">Date: </w:t>
      </w:r>
      <w:r>
        <w:t>March 10, 2026</w:t>
      </w:r>
    </w:p>
    <w:p>
      <w:r>
        <w:rPr>
          <w:b/>
        </w:rPr>
        <w:t xml:space="preserve">Version: </w:t>
      </w:r>
      <w:r>
        <w:t>1.0</w:t>
      </w:r>
    </w:p>
    <w:p>
      <w:r>
        <w:rPr>
          <w:b/>
        </w:rPr>
        <w:t xml:space="preserve">Context: </w:t>
      </w:r>
      <w:r>
        <w:t>HCLS AI Factory — Precision Medicine Accelerator on NVIDIA DGX Spark</w:t>
      </w:r>
    </w:p>
    <w:p>
      <w:r>
        <w:br w:type="page"/>
      </w:r>
    </w:p>
    <w:p>
      <w:pPr>
        <w:pStyle w:val="Heading1"/>
      </w:pPr>
      <w:r>
        <w:t>1. Will This Agent Reduce Diagnostic Delays?</w:t>
      </w:r>
    </w:p>
    <w:p>
      <w:r>
        <w:t>Yes — and the impact potential is significant. The core problem this agent addresses is real and well-documented in the medical literature.</w:t>
      </w:r>
    </w:p>
    <w:p>
      <w:pPr>
        <w:pStyle w:val="Heading2"/>
      </w:pPr>
      <w:r>
        <w:t>1.1 The Diagnostic Delay Problem</w:t>
      </w:r>
    </w:p>
    <w:p>
      <w:pPr>
        <w:pStyle w:val="ListBullet"/>
      </w:pPr>
      <w:r>
        <w:rPr>
          <w:b/>
        </w:rPr>
        <w:t>4.5-Year Average Delay:</w:t>
      </w:r>
      <w:r>
        <w:t xml:space="preserve"> The average time to autoimmune diagnosis is 4.5 years (American Autoimmune Related Diseases Association). Some conditions like Ankylosing Spondylitis average 8–11 years.</w:t>
      </w:r>
    </w:p>
    <w:p>
      <w:pPr>
        <w:pStyle w:val="ListBullet"/>
      </w:pPr>
      <w:r>
        <w:rPr>
          <w:b/>
        </w:rPr>
        <w:t>4–5 Specialists Per Patient:</w:t>
      </w:r>
      <w:r>
        <w:t xml:space="preserve"> Patients see an average of 4–5 specialists before receiving a correct diagnosis. Each specialist sees their piece of the puzzle but rarely the full picture.</w:t>
      </w:r>
    </w:p>
    <w:p>
      <w:pPr>
        <w:pStyle w:val="ListBullet"/>
      </w:pPr>
      <w:r>
        <w:rPr>
          <w:b/>
        </w:rPr>
        <w:t>High Misdiagnosis Rates:</w:t>
      </w:r>
      <w:r>
        <w:t xml:space="preserve"> Autoimmune conditions are frequently confused with other conditions — fibromyalgia, anxiety, mechanical back pain, IBS. The POTS/hEDS/MCAS triad is routinely dismissed as psychosomatic.</w:t>
      </w:r>
    </w:p>
    <w:p>
      <w:pPr>
        <w:pStyle w:val="ListBullet"/>
      </w:pPr>
      <w:r>
        <w:rPr>
          <w:b/>
        </w:rPr>
        <w:t>Scale of Impact:</w:t>
      </w:r>
      <w:r>
        <w:t xml:space="preserve"> An estimated 50 million Americans (and 300+ million globally) live with autoimmune diseases. Many remain undiagnosed or misdiagnosed for years.</w:t>
      </w:r>
    </w:p>
    <w:p>
      <w:pPr>
        <w:pStyle w:val="Heading2"/>
      </w:pPr>
      <w:r>
        <w:t>1.2 Three Bottlenecks This Agent Addresses</w:t>
      </w:r>
    </w:p>
    <w:p>
      <w:pPr>
        <w:pStyle w:val="Heading2"/>
      </w:pPr>
      <w:r>
        <w:t>Bottleneck 1: Pattern Recognition Across Siloed Clinical Data</w:t>
      </w:r>
    </w:p>
    <w:p>
      <w:r>
        <w:t>In real-world practice, the anti-dsDNA result sits in one lab system, the proteinuria finding in a nephrology note, and the malar rash description in a dermatology consult. No single clinician sees all the data simultaneously. The agent's multi-collection RAG engine pulls across 14 vector collections in parallel — performing exactly the cross-referencing that gets missed in fragmented healthcare delivery.</w:t>
      </w:r>
    </w:p>
    <w:p>
      <w:pPr>
        <w:pStyle w:val="ListBullet"/>
      </w:pPr>
      <w:r>
        <w:rPr>
          <w:b/>
        </w:rPr>
        <w:t>How the agent solves it:</w:t>
      </w:r>
      <w:r>
        <w:t xml:space="preserve"> Searches 14 Milvus collections simultaneously with weighted relevance scoring</w:t>
      </w:r>
    </w:p>
    <w:p>
      <w:pPr>
        <w:pStyle w:val="ListBullet"/>
      </w:pPr>
      <w:r>
        <w:t xml:space="preserve"> Ingests years of clinical PDFs from multiple providers into a unified vector store</w:t>
      </w:r>
    </w:p>
    <w:p>
      <w:pPr>
        <w:pStyle w:val="ListBullet"/>
      </w:pPr>
      <w:r>
        <w:t xml:space="preserve"> Surfaces connections between autoantibody results, lab values, imaging findings, and clinical notes that span different specialists and time periods</w:t>
      </w:r>
    </w:p>
    <w:p>
      <w:pPr>
        <w:pStyle w:val="Heading2"/>
      </w:pPr>
      <w:r>
        <w:t>Bottleneck 2: Classification Criteria Are Complex and Underutilized</w:t>
      </w:r>
    </w:p>
    <w:p>
      <w:r>
        <w:t>Most primary care physicians and even some specialists do not have the 2019 ACR/EULAR SLE classification criteria memorized — 8 weighted categories, entry criterion (ANA ≥1:80), and a threshold of ≥10 points. Similarly, the 2010 RA criteria, ASAS criteria for axial spondyloarthritis, and the 2016 Sjögren's criteria are complex multi-domain scoring systems that require integration of clinical, serological, and imaging data.</w:t>
      </w:r>
    </w:p>
    <w:p>
      <w:pPr>
        <w:pStyle w:val="ListBullet"/>
      </w:pPr>
      <w:r>
        <w:rPr>
          <w:b/>
        </w:rPr>
        <w:t>How the agent solves it:</w:t>
      </w:r>
      <w:r>
        <w:t xml:space="preserve"> Implements 10 validated classification criteria sets with automated scoring</w:t>
      </w:r>
    </w:p>
    <w:p>
      <w:pPr>
        <w:pStyle w:val="ListBullet"/>
      </w:pPr>
      <w:r>
        <w:t xml:space="preserve"> Applies criteria deterministically — no hallucination, no approximation</w:t>
      </w:r>
    </w:p>
    <w:p>
      <w:pPr>
        <w:pStyle w:val="ListBullet"/>
      </w:pPr>
      <w:r>
        <w:t xml:space="preserve"> Generates differential diagnoses ranked by evidence strength (antibody specificity weighted 2.0×, HLA odds ratios on log₂ scale)</w:t>
      </w:r>
    </w:p>
    <w:p>
      <w:pPr>
        <w:pStyle w:val="ListBullet"/>
      </w:pPr>
      <w:r>
        <w:t xml:space="preserve"> Detects 9 overlap syndromes that are frequently missed (MCTD, rhupus, T1D-celiac, POTS/hEDS/MCAS triad)</w:t>
      </w:r>
    </w:p>
    <w:p>
      <w:pPr>
        <w:pStyle w:val="Heading2"/>
      </w:pPr>
      <w:r>
        <w:t>Bottleneck 3: The Diagnostic Odyssey Itself</w:t>
      </w:r>
    </w:p>
    <w:p>
      <w:r>
        <w:t>The most insidious problem in autoimmune diagnosis is that critical findings are scattered across years of medical records. An anti-SSA/Ro that was positive 3 years ago in a routine lab panel — but never followed up because the ordering physician didn't recognize its significance — is exactly the kind of pattern that humans are terrible at detecting retrospectively and that computers excel at.</w:t>
      </w:r>
    </w:p>
    <w:p>
      <w:pPr>
        <w:pStyle w:val="ListBullet"/>
      </w:pPr>
      <w:r>
        <w:rPr>
          <w:b/>
        </w:rPr>
        <w:t>How the agent solves it:</w:t>
      </w:r>
      <w:r>
        <w:t xml:space="preserve"> Timeline builder reconstructs multi-year patient histories from ingested documents</w:t>
      </w:r>
    </w:p>
    <w:p>
      <w:pPr>
        <w:pStyle w:val="ListBullet"/>
      </w:pPr>
      <w:r>
        <w:t xml:space="preserve"> Classifies 12 event types (symptom onset, diagnosis, misdiagnosis, lab results, referrals, ER visits, etc.)</w:t>
      </w:r>
    </w:p>
    <w:p>
      <w:pPr>
        <w:pStyle w:val="ListBullet"/>
      </w:pPr>
      <w:r>
        <w:t xml:space="preserve"> Calculates days from first symptom for each event, surfacing diagnostic delays quantitatively</w:t>
      </w:r>
    </w:p>
    <w:p>
      <w:pPr>
        <w:pStyle w:val="ListBullet"/>
      </w:pPr>
      <w:r>
        <w:t xml:space="preserve"> Identifies specialist referral gaps and missed follow-up opportunities</w:t>
      </w:r>
    </w:p>
    <w:p>
      <w:pPr>
        <w:pStyle w:val="Heading2"/>
      </w:pPr>
      <w:r>
        <w:t>1.3 High-Impact Clinical Scenarios</w:t>
      </w:r>
    </w:p>
    <w:p>
      <w:r>
        <w:t>The agent's value is most pronounced in cases that are hardest for the current healthcare system:</w:t>
      </w:r>
    </w:p>
    <w:p>
      <w:pPr>
        <w:pStyle w:val="ListBullet"/>
      </w:pPr>
      <w:r>
        <w:rPr>
          <w:b/>
        </w:rPr>
        <w:t>Classic Delayed Diagnosis:</w:t>
      </w:r>
      <w:r>
        <w:t xml:space="preserve"> Sarah Mitchell (34F, SLE): 3.5 years across 5 specialists before lupus nephritis diagnosis. The agent connects scattered ANA → rising anti-dsDNA → falling C3/C4 → proteinuria into a single coherent diagnostic picture and scores SLE criteria at 27/10 (meets threshold of 10).</w:t>
      </w:r>
    </w:p>
    <w:p>
      <w:pPr>
        <w:pStyle w:val="ListBullet"/>
      </w:pPr>
      <w:r>
        <w:rPr>
          <w:b/>
        </w:rPr>
        <w:t>Dismissed and Misdiagnosed:</w:t>
      </w:r>
      <w:r>
        <w:t xml:space="preserve"> Maya Rodriguez (28F, POTS/hEDS/MCAS): 4 years of dismissals as 'anxiety' and 'deconditioning.' The agent flags the orthostatic heart rate pattern in ER vitals, hypermobility that was never formally scored, and elevated tryptase that was dismissed. No single antibody test diagnoses this triad — it requires pattern recognition across clinical domains.</w:t>
      </w:r>
    </w:p>
    <w:p>
      <w:pPr>
        <w:pStyle w:val="ListBullet"/>
      </w:pPr>
      <w:r>
        <w:rPr>
          <w:b/>
        </w:rPr>
        <w:t>Overlap Syndromes:</w:t>
      </w:r>
      <w:r>
        <w:t xml:space="preserve"> Rachel Thompson (38F, MCTD): Features of SLE, SSc, and myositis that don't neatly fit one diagnosis. The agent detects anti-RNP positivity and automatically flags Mixed Connective Tissue Disease as an overlap syndrome.</w:t>
      </w:r>
    </w:p>
    <w:p>
      <w:pPr>
        <w:pStyle w:val="ListBullet"/>
      </w:pPr>
      <w:r>
        <w:rPr>
          <w:b/>
        </w:rPr>
        <w:t>Polyautoimmunity:</w:t>
      </w:r>
      <w:r>
        <w:t xml:space="preserve"> James Cooper (19M, T1D + Celiac): The agent detects the T1D-Celiac overlap via shared HLA-DQ2 and anti-tTG positivity, and flags thyroid screening (anti-TPO) based on the 15–30% prevalence of autoimmune thyroid disease in T1D patients.</w:t>
      </w:r>
    </w:p>
    <w:p>
      <w:pPr>
        <w:pStyle w:val="Heading1"/>
      </w:pPr>
      <w:r>
        <w:t>2. Does Anything Like This Currently Exist?</w:t>
      </w:r>
    </w:p>
    <w:p>
      <w:r>
        <w:t>Not in this integrated form. The following analysis compares the Precision Autoimmune Agent against the current landscape of clinical AI tools for autoimmune disease.</w:t>
      </w:r>
    </w:p>
    <w:p>
      <w:pPr>
        <w:pStyle w:val="Heading2"/>
      </w:pPr>
      <w:r>
        <w:t>2.1 What Exists Today</w:t>
      </w:r>
    </w:p>
    <w:p>
      <w:r>
        <w:rPr>
          <w:b/>
        </w:rPr>
        <w:t>Differential Diagnosis Generators (DXplain, Isabel Healthcare, Symptom Checkers)</w:t>
      </w:r>
      <w:r/>
    </w:p>
    <w:p>
      <w:pPr>
        <w:pStyle w:val="ListBullet"/>
      </w:pPr>
      <w:r>
        <w:t>Work from manually entered symptom lists, not from ingested clinical documents</w:t>
      </w:r>
    </w:p>
    <w:p>
      <w:pPr>
        <w:pStyle w:val="ListBullet"/>
      </w:pPr>
      <w:r>
        <w:t>No RAG pipeline, no longitudinal analysis, no document ingestion</w:t>
      </w:r>
    </w:p>
    <w:p>
      <w:pPr>
        <w:pStyle w:val="ListBullet"/>
      </w:pPr>
      <w:r>
        <w:t>No autoantibody interpretation with sensitivity/specificity data</w:t>
      </w:r>
    </w:p>
    <w:p>
      <w:pPr>
        <w:pStyle w:val="ListBullet"/>
      </w:pPr>
      <w:r>
        <w:t>No HLA-disease association analysis</w:t>
      </w:r>
    </w:p>
    <w:p>
      <w:pPr>
        <w:pStyle w:val="ListBullet"/>
      </w:pPr>
      <w:r>
        <w:t>No overlap syndrome detection</w:t>
      </w:r>
    </w:p>
    <w:p>
      <w:r>
        <w:rPr>
          <w:b/>
        </w:rPr>
        <w:t>EHR Clinical Decision Support (Epic/Cerner CDS Modules)</w:t>
      </w:r>
      <w:r/>
    </w:p>
    <w:p>
      <w:pPr>
        <w:pStyle w:val="ListBullet"/>
      </w:pPr>
      <w:r>
        <w:t>Basic rule-based alerts (e.g., 'ANA positive — consider rheumatology referral')</w:t>
      </w:r>
    </w:p>
    <w:p>
      <w:pPr>
        <w:pStyle w:val="ListBullet"/>
      </w:pPr>
      <w:r>
        <w:t>Single-rule triggers, not multi-factor pattern recognition</w:t>
      </w:r>
    </w:p>
    <w:p>
      <w:pPr>
        <w:pStyle w:val="ListBullet"/>
      </w:pPr>
      <w:r>
        <w:t>No classification criteria scoring</w:t>
      </w:r>
    </w:p>
    <w:p>
      <w:pPr>
        <w:pStyle w:val="ListBullet"/>
      </w:pPr>
      <w:r>
        <w:t>No cross-specialist document integration</w:t>
      </w:r>
    </w:p>
    <w:p>
      <w:pPr>
        <w:pStyle w:val="ListBullet"/>
      </w:pPr>
      <w:r>
        <w:t>No diagnostic odyssey reconstruction</w:t>
      </w:r>
    </w:p>
    <w:p>
      <w:r>
        <w:rPr>
          <w:b/>
        </w:rPr>
        <w:t>Rheumatology-Specific Calculators</w:t>
      </w:r>
      <w:r/>
    </w:p>
    <w:p>
      <w:pPr>
        <w:pStyle w:val="ListBullet"/>
      </w:pPr>
      <w:r>
        <w:t>DAS28, SLEDAI, BASDAI calculators exist as standalone web tools and mobile apps</w:t>
      </w:r>
    </w:p>
    <w:p>
      <w:pPr>
        <w:pStyle w:val="ListBullet"/>
      </w:pPr>
      <w:r>
        <w:t>Calculate one score at a time from manually entered values</w:t>
      </w:r>
    </w:p>
    <w:p>
      <w:pPr>
        <w:pStyle w:val="ListBullet"/>
      </w:pPr>
      <w:r>
        <w:t>Do not connect to autoantibody panels, HLA typing, or therapy recommendations</w:t>
      </w:r>
    </w:p>
    <w:p>
      <w:pPr>
        <w:pStyle w:val="ListBullet"/>
      </w:pPr>
      <w:r>
        <w:t>No RAG context, no evidence citations, no longitudinal tracking</w:t>
      </w:r>
    </w:p>
    <w:p>
      <w:r>
        <w:rPr>
          <w:b/>
        </w:rPr>
        <w:t>Commercial Autoimmune Lab Panels (Exagen AVISE, Crescendo Vectra DA)</w:t>
      </w:r>
      <w:r/>
    </w:p>
    <w:p>
      <w:pPr>
        <w:pStyle w:val="ListBullet"/>
      </w:pPr>
      <w:r>
        <w:t>Lab-side analytics for specific proprietary tests</w:t>
      </w:r>
    </w:p>
    <w:p>
      <w:pPr>
        <w:pStyle w:val="ListBullet"/>
      </w:pPr>
      <w:r>
        <w:t>Analyze one panel at a time (AVISE for lupus, Vectra DA for RA activity)</w:t>
      </w:r>
    </w:p>
    <w:p>
      <w:pPr>
        <w:pStyle w:val="ListBullet"/>
      </w:pPr>
      <w:r>
        <w:t>Do not integrate with HLA typing, clinical documents, or other lab results</w:t>
      </w:r>
    </w:p>
    <w:p>
      <w:pPr>
        <w:pStyle w:val="ListBullet"/>
      </w:pPr>
      <w:r>
        <w:t>No flare prediction, no therapy recommendation, no diagnostic odyssey analysis</w:t>
      </w:r>
    </w:p>
    <w:p>
      <w:r>
        <w:rPr>
          <w:b/>
        </w:rPr>
        <w:t>IBM Watson for Health (Discontinued)</w:t>
      </w:r>
      <w:r/>
    </w:p>
    <w:p>
      <w:pPr>
        <w:pStyle w:val="ListBullet"/>
      </w:pPr>
      <w:r>
        <w:t>Attempted similar multi-modal clinical AI for oncology</w:t>
      </w:r>
    </w:p>
    <w:p>
      <w:pPr>
        <w:pStyle w:val="ListBullet"/>
      </w:pPr>
      <w:r>
        <w:t>Failed partly due to poor integration with clinical workflows</w:t>
      </w:r>
    </w:p>
    <w:p>
      <w:pPr>
        <w:pStyle w:val="ListBullet"/>
      </w:pPr>
      <w:r>
        <w:t>Lacked transparency in reasoning (black box recommendations)</w:t>
      </w:r>
    </w:p>
    <w:p>
      <w:pPr>
        <w:pStyle w:val="ListBullet"/>
      </w:pPr>
      <w:r>
        <w:t>Never extended to autoimmune disease</w:t>
      </w:r>
    </w:p>
    <w:p>
      <w:pPr>
        <w:pStyle w:val="Heading2"/>
      </w:pPr>
      <w:r>
        <w:t>2.2 What Does NOT Exist (and What This Agent Does)</w:t>
      </w:r>
    </w:p>
    <w:p>
      <w:r>
        <w:t>The following capabilities are not available as an integrated automated system anywhere in the current market:</w:t>
      </w:r>
    </w:p>
    <w:p>
      <w:pPr>
        <w:pStyle w:val="ListBullet"/>
      </w:pPr>
      <w:r>
        <w:rPr>
          <w:b/>
        </w:rPr>
        <w:t>Integrated Multi-Engine Analysis:</w:t>
      </w:r>
      <w:r>
        <w:t xml:space="preserve"> Nobody combines autoantibody interpretation (24 antibodies with sensitivity/specificity) + HLA association analysis (22 alleles with odds ratios) + disease activity scoring (20 validated instruments) + flare prediction (13 disease patterns) + biologic therapy recommendations (22 drugs with PGx) + diagnostic odyssey timeline reconstruction in a single RAG-powered system.</w:t>
      </w:r>
    </w:p>
    <w:p>
      <w:pPr>
        <w:pStyle w:val="ListBullet"/>
      </w:pPr>
      <w:r>
        <w:rPr>
          <w:b/>
        </w:rPr>
        <w:t>Document-Driven Diagnostic Odyssey:</w:t>
      </w:r>
      <w:r>
        <w:t xml:space="preserve"> No existing tool ingests years of clinical PDFs from multiple providers and reconstructs the diagnostic timeline to surface missed patterns, delayed referrals, and diagnostic gaps.</w:t>
      </w:r>
    </w:p>
    <w:p>
      <w:pPr>
        <w:pStyle w:val="ListBullet"/>
      </w:pPr>
      <w:r>
        <w:rPr>
          <w:b/>
        </w:rPr>
        <w:t>Overlap Syndrome Detection:</w:t>
      </w:r>
      <w:r>
        <w:t xml:space="preserve"> The detection of 9 overlap syndromes (MCTD, rhupus, Sjögren's-SLE, POTS/hEDS/MCAS, SSc-myositis, T1D-celiac, thyroid-T1D, RA-Sjögren's, lupus-APS) across antibody profiles is not available as an automated tool anywhere.</w:t>
      </w:r>
    </w:p>
    <w:p>
      <w:pPr>
        <w:pStyle w:val="ListBullet"/>
      </w:pPr>
      <w:r>
        <w:rPr>
          <w:b/>
        </w:rPr>
        <w:t>Cross-Agent Integration:</w:t>
      </w:r>
      <w:r>
        <w:t xml:space="preserve"> The architecture where the Autoimmune Agent can request inflammation context from the Biomarker Agent, imaging findings from the Imaging Agent, and publish diagnosis events for other agents to consume — this multi-agent coordination pattern is a novel design for clinical AI.</w:t>
      </w:r>
    </w:p>
    <w:p>
      <w:pPr>
        <w:pStyle w:val="ListBullet"/>
      </w:pPr>
      <w:r>
        <w:rPr>
          <w:b/>
        </w:rPr>
        <w:t>Evidence-Grounded RAG with Deterministic Engines:</w:t>
      </w:r>
      <w:r>
        <w:t xml:space="preserve"> The combination of deterministic clinical engines (no hallucination in criteria scoring) with RAG-powered synthesis (evidence-grounded natural language explanations) is architecturally distinct from pure LLM chatbots or pure rule-based systems.</w:t>
      </w:r>
    </w:p>
    <w:p>
      <w:pPr>
        <w:pStyle w:val="Heading2"/>
      </w:pPr>
      <w:r>
        <w:t>2.3 Closest Market Comparisons</w:t>
      </w:r>
    </w:p>
    <w:p>
      <w:r>
        <w:rPr>
          <w:b/>
        </w:rPr>
        <w:t>Tempus (Oncology)</w:t>
      </w:r>
      <w:r/>
    </w:p>
    <w:p>
      <w:pPr>
        <w:pStyle w:val="ListBullet"/>
      </w:pPr>
      <w:r>
        <w:t>Multi-modal AI platform combining genomics + clinical data + treatment matching</w:t>
      </w:r>
    </w:p>
    <w:p>
      <w:pPr>
        <w:pStyle w:val="ListBullet"/>
      </w:pPr>
      <w:r>
        <w:t>Built for oncology — has not extended to autoimmune disease</w:t>
      </w:r>
    </w:p>
    <w:p>
      <w:pPr>
        <w:pStyle w:val="ListBullet"/>
      </w:pPr>
      <w:r>
        <w:t>Closest architectural parallel to what this agent does for autoimmunity</w:t>
      </w:r>
    </w:p>
    <w:p>
      <w:pPr>
        <w:pStyle w:val="ListBullet"/>
      </w:pPr>
      <w:r>
        <w:t>Valued at ~$6.1B (as of 2024 IPO)</w:t>
      </w:r>
    </w:p>
    <w:p>
      <w:r>
        <w:rPr>
          <w:b/>
        </w:rPr>
        <w:t>Flatiron Health (Oncology)</w:t>
      </w:r>
      <w:r/>
    </w:p>
    <w:p>
      <w:pPr>
        <w:pStyle w:val="ListBullet"/>
      </w:pPr>
      <w:r>
        <w:t>Real-world evidence platform for cancer treatment analytics</w:t>
      </w:r>
    </w:p>
    <w:p>
      <w:pPr>
        <w:pStyle w:val="ListBullet"/>
      </w:pPr>
      <w:r>
        <w:t>Focuses on oncology data aggregation and clinical trial matching</w:t>
      </w:r>
    </w:p>
    <w:p>
      <w:pPr>
        <w:pStyle w:val="ListBullet"/>
      </w:pPr>
      <w:r>
        <w:t>No autoimmune disease coverage</w:t>
      </w:r>
    </w:p>
    <w:p>
      <w:pPr>
        <w:pStyle w:val="ListBullet"/>
      </w:pPr>
      <w:r>
        <w:t>Acquired by Roche for $1.9B in 2018</w:t>
      </w:r>
    </w:p>
    <w:p>
      <w:r>
        <w:rPr>
          <w:b/>
        </w:rPr>
        <w:t xml:space="preserve">Key Insight: </w:t>
      </w:r>
      <w:r>
        <w:t>Rheumatology is 5–10 years behind oncology in precision medicine tooling. This agent is essentially building for autoimmune disease what Tempus and Flatiron built for cancer — with the added complexity of overlap syndromes, diagnostic odysseys, and multi-system disease that make autoimmune conditions uniquely challenging.</w:t>
      </w:r>
    </w:p>
    <w:p>
      <w:pPr>
        <w:pStyle w:val="Heading1"/>
      </w:pPr>
      <w:r>
        <w:t>3. Honest Assessment and Caveats</w:t>
      </w:r>
    </w:p>
    <w:p>
      <w:pPr>
        <w:pStyle w:val="Heading2"/>
      </w:pPr>
      <w:r>
        <w:t>3.1 What This Agent Is</w:t>
      </w:r>
    </w:p>
    <w:p>
      <w:pPr>
        <w:pStyle w:val="ListBullet"/>
      </w:pPr>
      <w:r>
        <w:rPr>
          <w:b/>
        </w:rPr>
        <w:t>Clinical Decision Support:</w:t>
      </w:r>
      <w:r>
        <w:t xml:space="preserve"> A clinical decision support tool that surfaces patterns for clinicians to evaluate — not a diagnostic replacement. The design reflects this: evidence citations with sensitivity/specificity, transparency in scoring, FHIR R4 export for EHR integration.</w:t>
      </w:r>
    </w:p>
    <w:p>
      <w:pPr>
        <w:pStyle w:val="ListBullet"/>
      </w:pPr>
      <w:r>
        <w:rPr>
          <w:b/>
        </w:rPr>
        <w:t>Proof of Concept:</w:t>
      </w:r>
      <w:r>
        <w:t xml:space="preserve"> The 9 synthetic patients with 186 clinical PDFs demonstrate that the architecture works end-to-end across 13 diseases, 20 scoring systems, 9 overlap syndromes, and 22 biologic therapies. All 455 tests pass.</w:t>
      </w:r>
    </w:p>
    <w:p>
      <w:pPr>
        <w:pStyle w:val="ListBullet"/>
      </w:pPr>
      <w:r>
        <w:rPr>
          <w:b/>
        </w:rPr>
        <w:t>Transparent and Evidence-Based:</w:t>
      </w:r>
      <w:r>
        <w:t xml:space="preserve"> The RAG engine cites specific evidence with relevance scores. The classification criteria use published, validated scoring systems. Nothing is a black box.</w:t>
      </w:r>
    </w:p>
    <w:p>
      <w:pPr>
        <w:pStyle w:val="Heading2"/>
      </w:pPr>
      <w:r>
        <w:t>3.2 What Would Be Needed for Clinical Deployment</w:t>
      </w:r>
    </w:p>
    <w:p>
      <w:pPr>
        <w:pStyle w:val="ListBullet"/>
      </w:pPr>
      <w:r>
        <w:rPr>
          <w:b/>
        </w:rPr>
        <w:t>Clinical Validation:</w:t>
      </w:r>
      <w:r>
        <w:t xml:space="preserve"> IRB-approved studies with real patient data to quantify diagnostic time reduction. The synthetic data proves the architecture; real-world data would prove the clinical impact.</w:t>
      </w:r>
    </w:p>
    <w:p>
      <w:pPr>
        <w:pStyle w:val="ListBullet"/>
      </w:pPr>
      <w:r>
        <w:rPr>
          <w:b/>
        </w:rPr>
        <w:t>Real-World Data Messiness:</w:t>
      </w:r>
      <w:r>
        <w:t xml:space="preserve"> Real clinical documents introduce OCR errors, inconsistent lab naming conventions, missing data fields, and provider-specific documentation styles. Additional NLP robustness work would be needed.</w:t>
      </w:r>
    </w:p>
    <w:p>
      <w:pPr>
        <w:pStyle w:val="ListBullet"/>
      </w:pPr>
      <w:r>
        <w:rPr>
          <w:b/>
        </w:rPr>
        <w:t>Regulatory and Compliance:</w:t>
      </w:r>
      <w:r>
        <w:t xml:space="preserve"> HIPAA compliance, audit logging, role-based access control, and integration with EHR systems (FHIR APIs, HL7v2 interfaces) for production deployment.</w:t>
      </w:r>
    </w:p>
    <w:p>
      <w:pPr>
        <w:pStyle w:val="ListBullet"/>
      </w:pPr>
      <w:r>
        <w:rPr>
          <w:b/>
        </w:rPr>
        <w:t>Outcome Measurement:</w:t>
      </w:r>
      <w:r>
        <w:t xml:space="preserve"> Prospective studies measuring time-to-diagnosis before and after agent deployment, sensitivity/specificity of the differential diagnosis engine against expert rheumatologist consensus, and false-positive/false-negative rates for overlap syndrome detection.</w:t>
      </w:r>
    </w:p>
    <w:p>
      <w:pPr>
        <w:pStyle w:val="Heading2"/>
      </w:pPr>
      <w:r>
        <w:t>3.3 The Bottom Line</w:t>
      </w:r>
    </w:p>
    <w:p>
      <w:r>
        <w:t>The core thesis — that an AI system cross-referencing autoantibodies, HLA typing, biomarkers, clinical documents, and validated classification criteria can meaningfully reduce the 4.5-year average autoimmune diagnostic delay — is sound. The Precision Autoimmune Intelligence Agent is a credible, working proof of that thesis.</w:t>
      </w:r>
    </w:p>
    <w:p>
      <w:r>
        <w:t>Nobody else has built this for autoimmune disease. The technology exists, the clinical need is massive and well-documented, and this agent demonstrates that the integration is technically feasible with current tools (Milvus, Claude, BGE embeddings, NVIDIA DGX Spark).</w:t>
      </w:r>
    </w:p>
    <w:p>
      <w:r>
        <w:t>The opportunity is to do for autoimmune disease what Tempus did for oncology — and the market for that is wide open.</w:t>
      </w:r>
    </w:p>
    <w:p>
      <w:r>
        <w:br w:type="page"/>
      </w:r>
    </w:p>
    <w:p>
      <w:pPr>
        <w:pStyle w:val="Heading1"/>
      </w:pPr>
      <w:r>
        <w:t>4. Summary Statistics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Metric</w:t>
            </w:r>
          </w:p>
        </w:tc>
        <w:tc>
          <w:tcPr>
            <w:tcW w:type="dxa" w:w="4320"/>
          </w:tcPr>
          <w:p>
            <w:r>
              <w:rPr>
                <w:b/>
                <w:sz w:val="20"/>
              </w:rPr>
              <w:t>Value</w:t>
            </w:r>
          </w:p>
        </w:tc>
      </w:tr>
      <w:tr>
        <w:tc>
          <w:tcPr>
            <w:tcW w:type="dxa" w:w="4320"/>
          </w:tcPr>
          <w:p>
            <w:r>
              <w:rPr>
                <w:sz w:val="20"/>
              </w:rPr>
              <w:t>Autoimmune diseases covered</w:t>
            </w:r>
          </w:p>
        </w:tc>
        <w:tc>
          <w:tcPr>
            <w:tcW w:type="dxa" w:w="4320"/>
          </w:tcPr>
          <w:p>
            <w:r>
              <w:rPr>
                <w:sz w:val="20"/>
              </w:rPr>
              <w:t>13 (+ POTS/hEDS/MCAS triad)</w:t>
            </w:r>
          </w:p>
        </w:tc>
      </w:tr>
      <w:tr>
        <w:tc>
          <w:tcPr>
            <w:tcW w:type="dxa" w:w="4320"/>
          </w:tcPr>
          <w:p>
            <w:r>
              <w:rPr>
                <w:sz w:val="20"/>
              </w:rPr>
              <w:t>Average diagnostic delay (current)</w:t>
            </w:r>
          </w:p>
        </w:tc>
        <w:tc>
          <w:tcPr>
            <w:tcW w:type="dxa" w:w="4320"/>
          </w:tcPr>
          <w:p>
            <w:r>
              <w:rPr>
                <w:sz w:val="20"/>
              </w:rPr>
              <w:t>4.5 years</w:t>
            </w:r>
          </w:p>
        </w:tc>
      </w:tr>
      <w:tr>
        <w:tc>
          <w:tcPr>
            <w:tcW w:type="dxa" w:w="4320"/>
          </w:tcPr>
          <w:p>
            <w:r>
              <w:rPr>
                <w:sz w:val="20"/>
              </w:rPr>
              <w:t>Specialists seen before diagnosis (avg)</w:t>
            </w:r>
          </w:p>
        </w:tc>
        <w:tc>
          <w:tcPr>
            <w:tcW w:type="dxa" w:w="4320"/>
          </w:tcPr>
          <w:p>
            <w:r>
              <w:rPr>
                <w:sz w:val="20"/>
              </w:rPr>
              <w:t>4–5</w:t>
            </w:r>
          </w:p>
        </w:tc>
      </w:tr>
      <w:tr>
        <w:tc>
          <w:tcPr>
            <w:tcW w:type="dxa" w:w="4320"/>
          </w:tcPr>
          <w:p>
            <w:r>
              <w:rPr>
                <w:sz w:val="20"/>
              </w:rPr>
              <w:t>Autoantibodies with disease mappings</w:t>
            </w:r>
          </w:p>
        </w:tc>
        <w:tc>
          <w:tcPr>
            <w:tcW w:type="dxa" w:w="4320"/>
          </w:tcPr>
          <w:p>
            <w:r>
              <w:rPr>
                <w:sz w:val="20"/>
              </w:rPr>
              <w:t>24 (30 total associations)</w:t>
            </w:r>
          </w:p>
        </w:tc>
      </w:tr>
      <w:tr>
        <w:tc>
          <w:tcPr>
            <w:tcW w:type="dxa" w:w="4320"/>
          </w:tcPr>
          <w:p>
            <w:r>
              <w:rPr>
                <w:sz w:val="20"/>
              </w:rPr>
              <w:t>HLA alleles with odds ratios</w:t>
            </w:r>
          </w:p>
        </w:tc>
        <w:tc>
          <w:tcPr>
            <w:tcW w:type="dxa" w:w="4320"/>
          </w:tcPr>
          <w:p>
            <w:r>
              <w:rPr>
                <w:sz w:val="20"/>
              </w:rPr>
              <w:t>22 (34 total associations)</w:t>
            </w:r>
          </w:p>
        </w:tc>
      </w:tr>
      <w:tr>
        <w:tc>
          <w:tcPr>
            <w:tcW w:type="dxa" w:w="4320"/>
          </w:tcPr>
          <w:p>
            <w:r>
              <w:rPr>
                <w:sz w:val="20"/>
              </w:rPr>
              <w:t>Disease activity scoring systems</w:t>
            </w:r>
          </w:p>
        </w:tc>
        <w:tc>
          <w:tcPr>
            <w:tcW w:type="dxa" w:w="4320"/>
          </w:tcPr>
          <w:p>
            <w:r>
              <w:rPr>
                <w:sz w:val="20"/>
              </w:rPr>
              <w:t>20 validated instruments</w:t>
            </w:r>
          </w:p>
        </w:tc>
      </w:tr>
      <w:tr>
        <w:tc>
          <w:tcPr>
            <w:tcW w:type="dxa" w:w="4320"/>
          </w:tcPr>
          <w:p>
            <w:r>
              <w:rPr>
                <w:sz w:val="20"/>
              </w:rPr>
              <w:t>Biologic therapies with PGx context</w:t>
            </w:r>
          </w:p>
        </w:tc>
        <w:tc>
          <w:tcPr>
            <w:tcW w:type="dxa" w:w="4320"/>
          </w:tcPr>
          <w:p>
            <w:r>
              <w:rPr>
                <w:sz w:val="20"/>
              </w:rPr>
              <w:t>22 drugs</w:t>
            </w:r>
          </w:p>
        </w:tc>
      </w:tr>
      <w:tr>
        <w:tc>
          <w:tcPr>
            <w:tcW w:type="dxa" w:w="4320"/>
          </w:tcPr>
          <w:p>
            <w:r>
              <w:rPr>
                <w:sz w:val="20"/>
              </w:rPr>
              <w:t>Overlap syndromes detected</w:t>
            </w:r>
          </w:p>
        </w:tc>
        <w:tc>
          <w:tcPr>
            <w:tcW w:type="dxa" w:w="4320"/>
          </w:tcPr>
          <w:p>
            <w:r>
              <w:rPr>
                <w:sz w:val="20"/>
              </w:rPr>
              <w:t>9</w:t>
            </w:r>
          </w:p>
        </w:tc>
      </w:tr>
      <w:tr>
        <w:tc>
          <w:tcPr>
            <w:tcW w:type="dxa" w:w="4320"/>
          </w:tcPr>
          <w:p>
            <w:r>
              <w:rPr>
                <w:sz w:val="20"/>
              </w:rPr>
              <w:t>Comparable products on market</w:t>
            </w:r>
          </w:p>
        </w:tc>
        <w:tc>
          <w:tcPr>
            <w:tcW w:type="dxa" w:w="4320"/>
          </w:tcPr>
          <w:p>
            <w:r>
              <w:rPr>
                <w:sz w:val="20"/>
              </w:rPr>
              <w:t>None (integrated form)</w:t>
            </w:r>
          </w:p>
        </w:tc>
      </w:tr>
      <w:tr>
        <w:tc>
          <w:tcPr>
            <w:tcW w:type="dxa" w:w="4320"/>
          </w:tcPr>
          <w:p>
            <w:r>
              <w:rPr>
                <w:sz w:val="20"/>
              </w:rPr>
              <w:t>Closest market parallel</w:t>
            </w:r>
          </w:p>
        </w:tc>
        <w:tc>
          <w:tcPr>
            <w:tcW w:type="dxa" w:w="4320"/>
          </w:tcPr>
          <w:p>
            <w:r>
              <w:rPr>
                <w:sz w:val="20"/>
              </w:rPr>
              <w:t>Tempus (oncology, $6.1B valuation)</w:t>
            </w:r>
          </w:p>
        </w:tc>
      </w:tr>
    </w:tbl>
    <w:p/>
    <w:p>
      <w:pPr>
        <w:jc w:val="center"/>
      </w:pPr>
      <w:r>
        <w:rPr>
          <w:color w:val="666666"/>
          <w:sz w:val="18"/>
        </w:rPr>
        <w:t>Report generated: March 10,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663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66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663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