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Pharmacogenomics Intelligence Agent -- Technical White Paper</w:t>
      </w:r>
    </w:p>
    <w:p>
      <w:r>
        <w:t>Version: 1.0.0</w:t>
      </w:r>
    </w:p>
    <w:p>
      <w:r>
        <w:t>Author: Adam Jones</w:t>
      </w:r>
    </w:p>
    <w:p>
      <w:r>
        <w:t>Date: March 2026</w:t>
      </w:r>
    </w:p>
    <w:p>
      <w:r>
        <w:t>License: Apache 2.0</w:t>
      </w:r>
    </w:p>
    <w:p>
      <w:pPr>
        <w:pStyle w:val="Heading2"/>
      </w:pPr>
      <w:r>
        <w:t>Abstract</w:t>
      </w:r>
    </w:p>
    <w:p>
      <w:r>
        <w:t>Adverse drug reactions (ADRs) affect approximately 95% of the population through inherited variation in drug-metabolizing enzymes, transporters, and HLA alleles, costing the global healthcare system an estimated $528 billion per year. The Clinical Pharmacogenetics Implementation Consortium (CPIC) publishes evidence-based guidelines for over 100 gene-drug pairs, yet fewer than 5% of patients receive pharmacogenomic testing before being prescribed high-risk medications. This paper presents the Pharmacogenomics Intelligence Agent, a multi-collection retrieval-augmented generation (RAG) system that combines 15 specialized vector collections, 9 genotype-guided dosing algorithms, 15 HLA-drug hypersensitivity associations, phenoconversion modeling across 30+ CYP inhibitors/inducers, and a 25-pharmacogene knowledge graph to deliver actionable prescribing recommendations in under 5 seconds. The system is designed to run on a single NVIDIA DGX Spark workstation, making clinical-grade pharmacogenomic decision support accessible to any clinic, pharmacy, or research institution.</w:t>
      </w:r>
    </w:p>
    <w:p>
      <w:pPr>
        <w:pStyle w:val="Heading2"/>
      </w:pPr>
      <w:r>
        <w:t>1. Introduction</w:t>
      </w:r>
    </w:p>
    <w:p>
      <w:pPr>
        <w:pStyle w:val="Heading3"/>
      </w:pPr>
      <w:r>
        <w:t>1.1 The Pharmacogenomics Gap</w:t>
      </w:r>
    </w:p>
    <w:p>
      <w:r>
        <w:t>Pharmacogenomics (PGx) is the study of how genetic variation affects an individual's response to medications. Approximately 95% of people carry at least one actionable pharmacogenomic variant that could change how they metabolize, transport, or respond to commonly prescribed drugs. The clinical consequences of ignoring this genetic variation are substantial:</w:t>
      </w:r>
    </w:p>
    <w:p>
      <w:pPr>
        <w:pStyle w:val="ListBullet"/>
      </w:pPr>
      <w:r>
        <w:t>Adverse drug reactions are the 4th leading cause of death in the United States, responsible for over 100,000 deaths and 2.2 million serious adverse events annually (Lazarou et al., JAMA 1998; Shehab et al., JAMA 2016).</w:t>
      </w:r>
    </w:p>
    <w:p>
      <w:pPr>
        <w:pStyle w:val="ListBullet"/>
      </w:pPr>
      <w:r>
        <w:t>Treatment failures affect 30-60% of patients for many common drug classes (antidepressants, antihypertensives, statins) due to pharmacogenomic variation.</w:t>
      </w:r>
    </w:p>
    <w:p>
      <w:pPr>
        <w:pStyle w:val="ListBullet"/>
      </w:pPr>
      <w:r>
        <w:t>Economic burden exceeds $528 billion per year globally when accounting for hospitalizations, extended treatment courses, therapeutic substitutions, and lost productivity.</w:t>
      </w:r>
    </w:p>
    <w:p>
      <w:pPr>
        <w:pStyle w:val="Heading3"/>
      </w:pPr>
      <w:r>
        <w:t>1.2 The Scope of the ADR Problem</w:t>
      </w:r>
    </w:p>
    <w:p>
      <w:r>
        <w:t>The $528 billion annual burden of adverse drug reactions encompasses multiple dimensions of healthcare waste and harm:</w:t>
      </w:r>
    </w:p>
    <w:p>
      <w:r>
        <w:t>Hospitalization costs. ADRs account for approximately 7% of all hospital admissions in the United States and Europe. A meta-analysis of 39 prospective studies in the United States estimated that 6.7% of hospitalized patients experience a serious ADR, with a fatality rate of 0.32% (Lazarou et al., JAMA 1998). In the European Union, ADR-related hospitalizations cost an estimated EUR 79 billion annually (European Commission, 2008). Each ADR-related hospitalization adds an average of 1.7 to 4.6 days to hospital length of stay, with incremental costs of $2,284 to $5,640 per admission.</w:t>
      </w:r>
    </w:p>
    <w:p>
      <w:r>
        <w:t>Treatment failure and therapeutic cycling. When a medication fails due to pharmacogenomic variation, clinicians engage in empirical "trial and error" prescribing, cycling through multiple agents before finding one that works. In psychiatry, the average patient with major depressive disorder tries 2.5 antidepressants before achieving remission (Rush et al., STAR*D, Am J Psychiatry 2006). Each failed trial costs 6-8 weeks of inadequate treatment, additional office visits, and laboratory monitoring. Across cardiovascular, psychiatric, oncologic, and pain medicine specialties, pharmacogenomic-preventable treatment failures represent an estimated $100+ billion in annual excess spending.</w:t>
      </w:r>
    </w:p>
    <w:p>
      <w:r>
        <w:t>Emergency department visits. The CDC estimates that ADRs cause approximately 700,000 emergency department visits annually in the United States, with anticoagulants, diabetes agents, and opioids representing the most common causative drug classes -- all of which have strong pharmacogenomic associations.</w:t>
      </w:r>
    </w:p>
    <w:p>
      <w:r>
        <w:t>Indirect costs. Lost workplace productivity, caregiver burden, disability claims, and litigation costs associated with ADRs add an estimated $136 billion annually in the United States alone. Opioid-related ADRs, many of which are influenced by CYP2D6 metabolizer status, contribute disproportionately to indirect costs through disability and mortality in working-age populations.</w:t>
      </w:r>
    </w:p>
    <w:p>
      <w:pPr>
        <w:pStyle w:val="Heading3"/>
      </w:pPr>
      <w:r>
        <w:t>1.3 The Knowledge Fragmentation Problem</w:t>
      </w:r>
    </w:p>
    <w:p>
      <w:r>
        <w:t>Despite the clinical importance of pharmacogenomics, the knowledge required to implement PGx-guided prescribing is fragmented across multiple disconnected resources: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Source</w:t>
            </w:r>
          </w:p>
        </w:tc>
        <w:tc>
          <w:tcPr>
            <w:tcW w:type="dxa" w:w="2880"/>
          </w:tcPr>
          <w:p>
            <w:r>
              <w:rPr>
                <w:b/>
                <w:sz w:val="20"/>
              </w:rPr>
              <w:t>Content</w:t>
            </w:r>
          </w:p>
        </w:tc>
        <w:tc>
          <w:tcPr>
            <w:tcW w:type="dxa" w:w="2880"/>
          </w:tcPr>
          <w:p>
            <w:r>
              <w:rPr>
                <w:b/>
                <w:sz w:val="20"/>
              </w:rPr>
              <w:t>Limitation</w:t>
            </w:r>
          </w:p>
        </w:tc>
      </w:tr>
      <w:tr>
        <w:tc>
          <w:tcPr>
            <w:tcW w:type="dxa" w:w="2880"/>
          </w:tcPr>
          <w:p>
            <w:r>
              <w:rPr>
                <w:sz w:val="20"/>
              </w:rPr>
              <w:t>CPIC Guidelines</w:t>
            </w:r>
          </w:p>
        </w:tc>
        <w:tc>
          <w:tcPr>
            <w:tcW w:type="dxa" w:w="2880"/>
          </w:tcPr>
          <w:p>
            <w:r>
              <w:rPr>
                <w:sz w:val="20"/>
              </w:rPr>
              <w:t>Gene-drug recommendations</w:t>
            </w:r>
          </w:p>
        </w:tc>
        <w:tc>
          <w:tcPr>
            <w:tcW w:type="dxa" w:w="2880"/>
          </w:tcPr>
          <w:p>
            <w:r>
              <w:rPr>
                <w:sz w:val="20"/>
              </w:rPr>
              <w:t>Text-based PDFs, no computational interface</w:t>
            </w:r>
          </w:p>
        </w:tc>
      </w:tr>
      <w:tr>
        <w:tc>
          <w:tcPr>
            <w:tcW w:type="dxa" w:w="2880"/>
          </w:tcPr>
          <w:p>
            <w:r>
              <w:rPr>
                <w:sz w:val="20"/>
              </w:rPr>
              <w:t>PharmGKB</w:t>
            </w:r>
          </w:p>
        </w:tc>
        <w:tc>
          <w:tcPr>
            <w:tcW w:type="dxa" w:w="2880"/>
          </w:tcPr>
          <w:p>
            <w:r>
              <w:rPr>
                <w:sz w:val="20"/>
              </w:rPr>
              <w:t>Clinical annotations</w:t>
            </w:r>
          </w:p>
        </w:tc>
        <w:tc>
          <w:tcPr>
            <w:tcW w:type="dxa" w:w="2880"/>
          </w:tcPr>
          <w:p>
            <w:r>
              <w:rPr>
                <w:sz w:val="20"/>
              </w:rPr>
              <w:t>Requires expertise to interpret evidence levels</w:t>
            </w:r>
          </w:p>
        </w:tc>
      </w:tr>
      <w:tr>
        <w:tc>
          <w:tcPr>
            <w:tcW w:type="dxa" w:w="2880"/>
          </w:tcPr>
          <w:p>
            <w:r>
              <w:rPr>
                <w:sz w:val="20"/>
              </w:rPr>
              <w:t>PharmVar</w:t>
            </w:r>
          </w:p>
        </w:tc>
        <w:tc>
          <w:tcPr>
            <w:tcW w:type="dxa" w:w="2880"/>
          </w:tcPr>
          <w:p>
            <w:r>
              <w:rPr>
                <w:sz w:val="20"/>
              </w:rPr>
              <w:t>Star allele definitions</w:t>
            </w:r>
          </w:p>
        </w:tc>
        <w:tc>
          <w:tcPr>
            <w:tcW w:type="dxa" w:w="2880"/>
          </w:tcPr>
          <w:p>
            <w:r>
              <w:rPr>
                <w:sz w:val="20"/>
              </w:rPr>
              <w:t>No link to clinical recommendations</w:t>
            </w:r>
          </w:p>
        </w:tc>
      </w:tr>
      <w:tr>
        <w:tc>
          <w:tcPr>
            <w:tcW w:type="dxa" w:w="2880"/>
          </w:tcPr>
          <w:p>
            <w:r>
              <w:rPr>
                <w:sz w:val="20"/>
              </w:rPr>
              <w:t>FDA Labels</w:t>
            </w:r>
          </w:p>
        </w:tc>
        <w:tc>
          <w:tcPr>
            <w:tcW w:type="dxa" w:w="2880"/>
          </w:tcPr>
          <w:p>
            <w:r>
              <w:rPr>
                <w:sz w:val="20"/>
              </w:rPr>
              <w:t>Pharmacogenomic labeling</w:t>
            </w:r>
          </w:p>
        </w:tc>
        <w:tc>
          <w:tcPr>
            <w:tcW w:type="dxa" w:w="2880"/>
          </w:tcPr>
          <w:p>
            <w:r>
              <w:rPr>
                <w:sz w:val="20"/>
              </w:rPr>
              <w:t>Inconsistent language, variable actionability</w:t>
            </w:r>
          </w:p>
        </w:tc>
      </w:tr>
      <w:tr>
        <w:tc>
          <w:tcPr>
            <w:tcW w:type="dxa" w:w="2880"/>
          </w:tcPr>
          <w:p>
            <w:r>
              <w:rPr>
                <w:sz w:val="20"/>
              </w:rPr>
              <w:t>Population Databases</w:t>
            </w:r>
          </w:p>
        </w:tc>
        <w:tc>
          <w:tcPr>
            <w:tcW w:type="dxa" w:w="2880"/>
          </w:tcPr>
          <w:p>
            <w:r>
              <w:rPr>
                <w:sz w:val="20"/>
              </w:rPr>
              <w:t>Allele frequencies</w:t>
            </w:r>
          </w:p>
        </w:tc>
        <w:tc>
          <w:tcPr>
            <w:tcW w:type="dxa" w:w="2880"/>
          </w:tcPr>
          <w:p>
            <w:r>
              <w:rPr>
                <w:sz w:val="20"/>
              </w:rPr>
              <w:t>No integration with prescribing guidance</w:t>
            </w:r>
          </w:p>
        </w:tc>
      </w:tr>
      <w:tr>
        <w:tc>
          <w:tcPr>
            <w:tcW w:type="dxa" w:w="2880"/>
          </w:tcPr>
          <w:p>
            <w:r>
              <w:rPr>
                <w:sz w:val="20"/>
              </w:rPr>
              <w:t>Clinical Literature</w:t>
            </w:r>
          </w:p>
        </w:tc>
        <w:tc>
          <w:tcPr>
            <w:tcW w:type="dxa" w:w="2880"/>
          </w:tcPr>
          <w:p>
            <w:r>
              <w:rPr>
                <w:sz w:val="20"/>
              </w:rPr>
              <w:t>Outcome studies</w:t>
            </w:r>
          </w:p>
        </w:tc>
        <w:tc>
          <w:tcPr>
            <w:tcW w:type="dxa" w:w="2880"/>
          </w:tcPr>
          <w:p>
            <w:r>
              <w:rPr>
                <w:sz w:val="20"/>
              </w:rPr>
              <w:t>Scattered across thousands of publications</w:t>
            </w:r>
          </w:p>
        </w:tc>
      </w:tr>
    </w:tbl>
    <w:p>
      <w:r>
        <w:t>A clinician seeking to make a PGx-informed prescribing decision must consult multiple databases, translate between nomenclature systems (rsIDs to star alleles to diplotypes to phenotypes), account for drug-drug interactions that may alter metabolizer status (phenoconversion), check for HLA-mediated hypersensitivity risk, and calculate genotype-adjusted doses -- all within the time constraints of a clinical encounter.</w:t>
      </w:r>
    </w:p>
    <w:p>
      <w:r>
        <w:t>The average primary care visit lasts 15.4 minutes, of which approximately 3 minutes is available for prescribing decisions. No clinician can manually integrate pharmacogenomic data from six or more sources within this timeframe. The result is that even when PGx test results are available, they are frequently ignored or misinterpreted.</w:t>
      </w:r>
    </w:p>
    <w:p>
      <w:pPr>
        <w:pStyle w:val="Heading3"/>
      </w:pPr>
      <w:r>
        <w:t>1.4 Our Contribution</w:t>
      </w:r>
    </w:p>
    <w:p>
      <w:r>
        <w:t>The Pharmacogenomics Intelligence Agent collapses these knowledge silos into a single conversational interface backed by 15 specialized Milvus vector collections, a structured knowledge graph of 25 pharmacogenes and 100+ drugs, and clinical decision support pipelines for star allele interpretation, phenoconversion detection, HLA screening, and genotype-guided dosing.</w:t>
      </w:r>
    </w:p>
    <w:p>
      <w:r>
        <w:t>Key contributions of this work include:</w:t>
      </w:r>
    </w:p>
    <w:p>
      <w:pPr>
        <w:pStyle w:val="ListNumber"/>
      </w:pPr>
      <w:r>
        <w:t>Multi-collection RAG architecture that maintains 15 purpose-built vector collections with domain-specific schemas, enabling both semantic search and structured filtering within a unified retrieval framework.</w:t>
      </w:r>
    </w:p>
    <w:p>
      <w:pPr>
        <w:pStyle w:val="ListNumber"/>
      </w:pPr>
      <w:r>
        <w:t>Deterministic clinical pipelines that guarantee safety-critical information (HLA contraindications, phenoconversion alerts) is never missed due to embedding similarity thresholds.</w:t>
      </w:r>
    </w:p>
    <w:p>
      <w:pPr>
        <w:pStyle w:val="ListNumber"/>
      </w:pPr>
      <w:r>
        <w:t>Knowledge graph augmentation that supplements probabilistic vector retrieval with structured pharmacogenomic facts from 9 curated dictionaries.</w:t>
      </w:r>
    </w:p>
    <w:p>
      <w:pPr>
        <w:pStyle w:val="ListNumber"/>
      </w:pPr>
      <w:r>
        <w:t>Validated dosing algorithms implementing published pharmacogenomic dosing equations (IWPC warfarin, CYP3A5 tacrolimus, DPYD fluoropyrimidine, TPMT+NUDT15 thiopurine, CYP2C19 clopidogrel, SLCO1B1 simvastatin, CYP2D6/CYP2C19 SSRI, CYP2C9 phenytoin, CYP2D6 TCA) as first-class computational components.</w:t>
      </w:r>
    </w:p>
    <w:p>
      <w:pPr>
        <w:pStyle w:val="ListNumber"/>
      </w:pPr>
      <w:r>
        <w:t>Accessible deployment on a single NVIDIA DGX Spark workstation, removing the barrier of expensive cloud infrastructure for clinical-grade PGx decision support.</w:t>
      </w:r>
    </w:p>
    <w:p>
      <w:pPr>
        <w:pStyle w:val="Heading2"/>
      </w:pPr>
      <w:r>
        <w:t>2. System Architecture</w:t>
      </w:r>
    </w:p>
    <w:p>
      <w:pPr>
        <w:pStyle w:val="Heading3"/>
      </w:pPr>
      <w:r>
        <w:t>2.1 Three-Tier Design</w:t>
      </w:r>
    </w:p>
    <w:p>
      <w:r>
        <w:t>The system follows a three-tier architecture: Ingest, Vector Store, and Inference.</w:t>
      </w:r>
    </w:p>
    <w:p>
      <w:pPr>
        <w:ind w:left="720"/>
      </w:pPr>
      <w:r>
        <w:rPr>
          <w:rFonts w:ascii="Consolas" w:hAnsi="Consolas"/>
          <w:sz w:val="18"/>
        </w:rPr>
        <w:t>Tier 1: INGEST                    Tier 2: VECTOR STORE         Tier 3: INFERENCE</w:t>
        <w:br/>
        <w:t>+------------------------+       +---------------------+      +--------------------+</w:t>
        <w:br/>
        <w:t>| 8 Ingest Parsers       |       | Milvus 2.4          |      | PGxRAGEngine       |</w:t>
        <w:br/>
        <w:t>|  - CPIC API            | ----&gt; | 15 collections      | ---&gt; | - Parallel search  |</w:t>
        <w:br/>
        <w:t>|  - PharmVar API        |       | IVF_FLAT index      |      | - Knowledge augment|</w:t>
        <w:br/>
        <w:t>|  - PharmGKB            |       | COSINE metric       |      | - Clinical pipeline|</w:t>
        <w:br/>
        <w:t>|  - FDA Labels          |       | 384-dim BGE vectors |      | - LLM synthesis    |</w:t>
        <w:br/>
        <w:t>|  - Population DBs      |       +---------------------+      +--------------------+</w:t>
        <w:br/>
        <w:t>|  - PubMed              |                                            |</w:t>
        <w:br/>
        <w:t>|  - ClinicalTrials.gov  |                                            v</w:t>
        <w:br/>
        <w:t>|  - Base (JSON seed)    |                                    +--------------------+</w:t>
        <w:br/>
        <w:t>+------------------------+                                    | Claude Sonnet 4.6  |</w:t>
        <w:br/>
        <w:t xml:space="preserve">                                                              | Streaming response |</w:t>
        <w:br/>
        <w:t xml:space="preserve">                                                              | Cited evidence     |</w:t>
        <w:br/>
        <w:t xml:space="preserve">                                                              +--------------------+</w:t>
      </w:r>
    </w:p>
    <w:p>
      <w:pPr>
        <w:pStyle w:val="Heading3"/>
      </w:pPr>
      <w:r>
        <w:t>2.2 Multi-Collection RAG Architecture</w:t>
      </w:r>
    </w:p>
    <w:p>
      <w:r>
        <w:t>Unlike single-collection RAG systems, the Pharmacogenomics Intelligence Agent maintains 15 purpose-built vector collections, each with domain-specific schemas, search weights, and field-level filtering. This multi-collection design provides several advantages:</w:t>
      </w:r>
    </w:p>
    <w:p>
      <w:pPr>
        <w:pStyle w:val="ListNumber"/>
      </w:pPr>
      <w:r>
        <w:t>Precision: Each collection has tailored fields (e.g., star_allele in gene reference, hla_allele in hypersensitivity, activity_score in dosing) enabling structured filtering alongside semantic search.</w:t>
      </w:r>
    </w:p>
    <w:p>
      <w:pPr>
        <w:pStyle w:val="ListNumber"/>
      </w:pPr>
      <w:r>
        <w:t>Weighted relevance: Collection-level weights (0.02--0.14) prioritize drug guidelines and drug interactions over educational materials, ensuring clinical content ranks highest.</w:t>
      </w:r>
    </w:p>
    <w:p>
      <w:pPr>
        <w:pStyle w:val="ListNumber"/>
      </w:pPr>
      <w:r>
        <w:t>Parallel search: ThreadPoolExecutor searches all 15 collections simultaneously, with results merged and deduplicated before ranking.</w:t>
      </w:r>
    </w:p>
    <w:p>
      <w:pPr>
        <w:pStyle w:val="ListNumber"/>
      </w:pPr>
      <w:r>
        <w:t>Domain isolation: Ingest pipelines can update individual collections without affecting others.</w:t>
      </w:r>
    </w:p>
    <w:p>
      <w:pPr>
        <w:pStyle w:val="Heading3"/>
      </w:pPr>
      <w:r>
        <w:t>2.3 Embedding Strategy</w:t>
      </w:r>
    </w:p>
    <w:p>
      <w:r>
        <w:t>All text is embedded using BGE-small-en-v1.5 (BAAI, 384 dimensions) with the retrieval instruction prefix:</w:t>
      </w:r>
    </w:p>
    <w:p>
      <w:pPr>
        <w:ind w:left="720"/>
      </w:pPr>
      <w:r>
        <w:rPr>
          <w:rFonts w:ascii="Consolas" w:hAnsi="Consolas"/>
          <w:sz w:val="18"/>
        </w:rPr>
        <w:t>"Represent this sentence for searching relevant passages: {query}"</w:t>
      </w:r>
    </w:p>
    <w:p>
      <w:r>
        <w:t>This model was selected for its balance of quality and speed on DGX Spark hardware. Each collection record implements a to_embedding_text() method that concatenates domain-specific fields into a single string optimized for embedding (e.g., gene + star allele + function status + substrates for gene reference records).</w:t>
      </w:r>
    </w:p>
    <w:p>
      <w:pPr>
        <w:pStyle w:val="Heading3"/>
      </w:pPr>
      <w:r>
        <w:t>2.4 LLM Integration</w:t>
      </w:r>
    </w:p>
    <w:p>
      <w:r>
        <w:t>The system uses Claude Sonnet 4.6 (claude-sonnet-4-6) via the Anthropic API for synthesis. The PGx system prompt defines 11 domains of expertise and includes strict citation formatting instructions. Key parameters:</w:t>
      </w:r>
    </w:p>
    <w:p>
      <w:pPr>
        <w:pStyle w:val="ListBullet"/>
      </w:pPr>
      <w:r>
        <w:t>Max tokens: 2,048 (standard), 3,000 (comparative)</w:t>
      </w:r>
    </w:p>
    <w:p>
      <w:pPr>
        <w:pStyle w:val="ListBullet"/>
      </w:pPr>
      <w:r>
        <w:t>Temperature: 0.7</w:t>
      </w:r>
    </w:p>
    <w:p>
      <w:pPr>
        <w:pStyle w:val="ListBullet"/>
      </w:pPr>
      <w:r>
        <w:t>Streaming enabled for UI responsiveness</w:t>
      </w:r>
    </w:p>
    <w:p>
      <w:pPr>
        <w:pStyle w:val="Heading3"/>
      </w:pPr>
      <w:r>
        <w:t>2.5 Query Expansion</w:t>
      </w:r>
    </w:p>
    <w:p>
      <w:r>
        <w:t>The system employs 14 domain-specific query expansion maps that enrich user queries with pharmacogenomic synonyms, improving recall for:</w:t>
      </w:r>
    </w:p>
    <w:p>
      <w:pPr>
        <w:pStyle w:val="ListBullet"/>
      </w:pPr>
      <w:r>
        <w:t>Brand-to-generic drug mapping: "Coumadin" expands to include "warfarin," "anticoagulant," "vitamin K antagonist"</w:t>
      </w:r>
    </w:p>
    <w:p>
      <w:pPr>
        <w:pStyle w:val="ListBullet"/>
      </w:pPr>
      <w:r>
        <w:t>Gene aliases: "CYP2D6" expands to include "debrisoquine hydroxylase," "sparteine oxygenase"</w:t>
      </w:r>
    </w:p>
    <w:p>
      <w:pPr>
        <w:pStyle w:val="ListBullet"/>
      </w:pPr>
      <w:r>
        <w:t>Phenotype shorthand: "PM" expands to "poor metabolizer"; "IM" to "intermediate metabolizer"</w:t>
      </w:r>
    </w:p>
    <w:p>
      <w:pPr>
        <w:pStyle w:val="ListBullet"/>
      </w:pPr>
      <w:r>
        <w:t>Clinical concept expansion: "bleeding risk" expands to include "INR," "over-anticoagulation," "hemorrhage"</w:t>
      </w:r>
    </w:p>
    <w:p>
      <w:pPr>
        <w:pStyle w:val="ListBullet"/>
      </w:pPr>
      <w:r>
        <w:t>Disease-oriented queries: "seizure medication" maps to carbamazepine, phenytoin, valproic acid, and their PGx associations</w:t>
      </w:r>
    </w:p>
    <w:p>
      <w:r>
        <w:t>This expansion layer is critical for clinical users who may use lay language, brand names, or clinical shorthand rather than the precise pharmacogenomic terminology stored in the vector collections.</w:t>
      </w:r>
    </w:p>
    <w:p>
      <w:pPr>
        <w:pStyle w:val="Heading3"/>
      </w:pPr>
      <w:r>
        <w:t>2.6 Clinical Pipeline Integration</w:t>
      </w:r>
    </w:p>
    <w:p>
      <w:r>
        <w:t>Unlike pure RAG systems that rely entirely on LLM synthesis, the PGx Intelligence Agent integrates deterministic clinical pipelines directly into the inference layer:</w:t>
      </w:r>
    </w:p>
    <w:p>
      <w:pPr>
        <w:ind w:left="720"/>
      </w:pPr>
      <w:r>
        <w:rPr>
          <w:rFonts w:ascii="Consolas" w:hAnsi="Consolas"/>
          <w:sz w:val="18"/>
        </w:rPr>
        <w:t>Query: "CYP2D6 *4/*4 patient on codeine"</w:t>
        <w:br/>
        <w:t xml:space="preserve">     |</w:t>
        <w:br/>
        <w:t xml:space="preserve">     +-- RAG retrieval (probabilistic, vector-based)</w:t>
        <w:br/>
        <w:t xml:space="preserve">     |   Returns: Relevant guidelines, evidence, population data</w:t>
        <w:br/>
        <w:t xml:space="preserve">     |</w:t>
        <w:br/>
        <w:t xml:space="preserve">     +-- Clinical pipeline (deterministic, rule-based)</w:t>
        <w:br/>
        <w:t xml:space="preserve">     |   StarAlleleCaller: *4/*4 --&gt; Activity Score 0.0</w:t>
        <w:br/>
        <w:t xml:space="preserve">     |   PhenotypeTranslator: AS 0.0 --&gt; Poor Metabolizer</w:t>
        <w:br/>
        <w:t xml:space="preserve">     |   DrugGeneMatcher: PM + codeine --&gt; CONTRAINDICATED</w:t>
        <w:br/>
        <w:t xml:space="preserve">     |   Alert: "Codeine is a CYP2D6 prodrug. PM cannot activate."</w:t>
        <w:br/>
        <w:t xml:space="preserve">     |</w:t>
        <w:br/>
        <w:t xml:space="preserve">     +-- Knowledge augmentation (deterministic, dictionary-based)</w:t>
        <w:br/>
        <w:t xml:space="preserve">         CYP2D6 facts, codeine facts, opioid alternatives</w:t>
        <w:br/>
        <w:t xml:space="preserve">     |</w:t>
        <w:br/>
        <w:t xml:space="preserve">     v</w:t>
        <w:br/>
        <w:t>Combined context --&gt; LLM synthesis --&gt; Response with alerts + citations</w:t>
      </w:r>
    </w:p>
    <w:p>
      <w:r>
        <w:t>This hybrid approach ensures that safety-critical determinations (contraindications, dose calculations, HLA flags) are never left to LLM inference alone.</w:t>
      </w:r>
    </w:p>
    <w:p>
      <w:pPr>
        <w:pStyle w:val="Heading2"/>
      </w:pPr>
      <w:r>
        <w:t>3. Clinical Pipelines</w:t>
      </w:r>
    </w:p>
    <w:p>
      <w:pPr>
        <w:pStyle w:val="Heading3"/>
      </w:pPr>
      <w:r>
        <w:t>3.1 Star Allele Calling Pipeline</w:t>
      </w:r>
    </w:p>
    <w:p>
      <w:r>
        <w:t>The StarAlleleCaller class resolves VCF variant calls to PharmVar-aligned star allele nomenclature:</w:t>
      </w:r>
    </w:p>
    <w:p>
      <w:pPr>
        <w:ind w:left="720"/>
      </w:pPr>
      <w:r>
        <w:rPr>
          <w:rFonts w:ascii="Consolas" w:hAnsi="Consolas"/>
          <w:sz w:val="18"/>
        </w:rPr>
        <w:t>VCF variants --&gt; rsID lookup --&gt; star allele matching --&gt; diplotype assembly</w:t>
        <w:br/>
        <w:t xml:space="preserve">     |                                                        |</w:t>
        <w:br/>
        <w:t xml:space="preserve">     v                                                        v</w:t>
        <w:br/>
        <w:t xml:space="preserve">  CYP2D6: rs3892097 (G&gt;A) ---------&gt; *4 (no function)    *1/*4</w:t>
        <w:br/>
        <w:t xml:space="preserve">  CYP2C19: rs4244285 (G&gt;A) --------&gt; *2 (no function)    *1/*2</w:t>
      </w:r>
    </w:p>
    <w:p>
      <w:r>
        <w:t>The pipeline handles 25 pharmacogenes with their respective defining variant sets, including complex structural variants for CYP2D6 (gene deletions, duplications, hybrid alleles).</w:t>
      </w:r>
    </w:p>
    <w:p>
      <w:pPr>
        <w:pStyle w:val="Heading3"/>
      </w:pPr>
      <w:r>
        <w:t>3.2 Phenotype Translation</w:t>
      </w:r>
    </w:p>
    <w:p>
      <w:r>
        <w:t>The PhenotypeTranslator converts diplotypes to CPIC-standardized metabolizer phenotypes using activity score summation. Each star allele is assigned a numerical activity score (0.0 for no-function, 0.5 for decreased-function, 1.0 for normal-function, 2.0+ for increased-function), and the diplotype score is the sum of both allele scores.</w:t>
      </w:r>
    </w:p>
    <w:p>
      <w:pPr>
        <w:pStyle w:val="Heading3"/>
      </w:pPr>
      <w:r>
        <w:t>3.3 Phenoconversion Modeling</w:t>
      </w:r>
    </w:p>
    <w:p>
      <w:r>
        <w:t>Phenoconversion occurs when a concomitant medication alters a patient's effective metabolizer phenotype. The system maintains a database of 30+ CYP inhibitors and inducers classified by FDA potency (strong, moderate, weak):</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sz w:val="20"/>
              </w:rPr>
              <w:t>Inhibitor</w:t>
            </w:r>
          </w:p>
        </w:tc>
        <w:tc>
          <w:tcPr>
            <w:tcW w:type="dxa" w:w="2160"/>
          </w:tcPr>
          <w:p>
            <w:r>
              <w:rPr>
                <w:b/>
                <w:sz w:val="20"/>
              </w:rPr>
              <w:t>CYP Target</w:t>
            </w:r>
          </w:p>
        </w:tc>
        <w:tc>
          <w:tcPr>
            <w:tcW w:type="dxa" w:w="2160"/>
          </w:tcPr>
          <w:p>
            <w:r>
              <w:rPr>
                <w:b/>
                <w:sz w:val="20"/>
              </w:rPr>
              <w:t>Strength</w:t>
            </w:r>
          </w:p>
        </w:tc>
        <w:tc>
          <w:tcPr>
            <w:tcW w:type="dxa" w:w="2160"/>
          </w:tcPr>
          <w:p>
            <w:r>
              <w:rPr>
                <w:b/>
                <w:sz w:val="20"/>
              </w:rPr>
              <w:t>Phenotype Effect</w:t>
            </w:r>
          </w:p>
        </w:tc>
      </w:tr>
      <w:tr>
        <w:tc>
          <w:tcPr>
            <w:tcW w:type="dxa" w:w="2160"/>
          </w:tcPr>
          <w:p>
            <w:r>
              <w:rPr>
                <w:sz w:val="20"/>
              </w:rPr>
              <w:t>Fluoxetine</w:t>
            </w:r>
          </w:p>
        </w:tc>
        <w:tc>
          <w:tcPr>
            <w:tcW w:type="dxa" w:w="2160"/>
          </w:tcPr>
          <w:p>
            <w:r>
              <w:rPr>
                <w:sz w:val="20"/>
              </w:rPr>
              <w:t>CYP2D6</w:t>
            </w:r>
          </w:p>
        </w:tc>
        <w:tc>
          <w:tcPr>
            <w:tcW w:type="dxa" w:w="2160"/>
          </w:tcPr>
          <w:p>
            <w:r>
              <w:rPr>
                <w:sz w:val="20"/>
              </w:rPr>
              <w:t>Strong</w:t>
            </w:r>
          </w:p>
        </w:tc>
        <w:tc>
          <w:tcPr>
            <w:tcW w:type="dxa" w:w="2160"/>
          </w:tcPr>
          <w:p>
            <w:r>
              <w:rPr>
                <w:sz w:val="20"/>
              </w:rPr>
              <w:t>NM/IM --&gt; PM</w:t>
            </w:r>
          </w:p>
        </w:tc>
      </w:tr>
      <w:tr>
        <w:tc>
          <w:tcPr>
            <w:tcW w:type="dxa" w:w="2160"/>
          </w:tcPr>
          <w:p>
            <w:r>
              <w:rPr>
                <w:sz w:val="20"/>
              </w:rPr>
              <w:t>Paroxetine</w:t>
            </w:r>
          </w:p>
        </w:tc>
        <w:tc>
          <w:tcPr>
            <w:tcW w:type="dxa" w:w="2160"/>
          </w:tcPr>
          <w:p>
            <w:r>
              <w:rPr>
                <w:sz w:val="20"/>
              </w:rPr>
              <w:t>CYP2D6</w:t>
            </w:r>
          </w:p>
        </w:tc>
        <w:tc>
          <w:tcPr>
            <w:tcW w:type="dxa" w:w="2160"/>
          </w:tcPr>
          <w:p>
            <w:r>
              <w:rPr>
                <w:sz w:val="20"/>
              </w:rPr>
              <w:t>Strong</w:t>
            </w:r>
          </w:p>
        </w:tc>
        <w:tc>
          <w:tcPr>
            <w:tcW w:type="dxa" w:w="2160"/>
          </w:tcPr>
          <w:p>
            <w:r>
              <w:rPr>
                <w:sz w:val="20"/>
              </w:rPr>
              <w:t>NM/IM --&gt; PM</w:t>
            </w:r>
          </w:p>
        </w:tc>
      </w:tr>
      <w:tr>
        <w:tc>
          <w:tcPr>
            <w:tcW w:type="dxa" w:w="2160"/>
          </w:tcPr>
          <w:p>
            <w:r>
              <w:rPr>
                <w:sz w:val="20"/>
              </w:rPr>
              <w:t>Fluvoxamine</w:t>
            </w:r>
          </w:p>
        </w:tc>
        <w:tc>
          <w:tcPr>
            <w:tcW w:type="dxa" w:w="2160"/>
          </w:tcPr>
          <w:p>
            <w:r>
              <w:rPr>
                <w:sz w:val="20"/>
              </w:rPr>
              <w:t>CYP2C19</w:t>
            </w:r>
          </w:p>
        </w:tc>
        <w:tc>
          <w:tcPr>
            <w:tcW w:type="dxa" w:w="2160"/>
          </w:tcPr>
          <w:p>
            <w:r>
              <w:rPr>
                <w:sz w:val="20"/>
              </w:rPr>
              <w:t>Strong</w:t>
            </w:r>
          </w:p>
        </w:tc>
        <w:tc>
          <w:tcPr>
            <w:tcW w:type="dxa" w:w="2160"/>
          </w:tcPr>
          <w:p>
            <w:r>
              <w:rPr>
                <w:sz w:val="20"/>
              </w:rPr>
              <w:t>NM/IM --&gt; PM</w:t>
            </w:r>
          </w:p>
        </w:tc>
      </w:tr>
      <w:tr>
        <w:tc>
          <w:tcPr>
            <w:tcW w:type="dxa" w:w="2160"/>
          </w:tcPr>
          <w:p>
            <w:r>
              <w:rPr>
                <w:sz w:val="20"/>
              </w:rPr>
              <w:t>Ketoconazole</w:t>
            </w:r>
          </w:p>
        </w:tc>
        <w:tc>
          <w:tcPr>
            <w:tcW w:type="dxa" w:w="2160"/>
          </w:tcPr>
          <w:p>
            <w:r>
              <w:rPr>
                <w:sz w:val="20"/>
              </w:rPr>
              <w:t>CYP3A4/5</w:t>
            </w:r>
          </w:p>
        </w:tc>
        <w:tc>
          <w:tcPr>
            <w:tcW w:type="dxa" w:w="2160"/>
          </w:tcPr>
          <w:p>
            <w:r>
              <w:rPr>
                <w:sz w:val="20"/>
              </w:rPr>
              <w:t>Strong</w:t>
            </w:r>
          </w:p>
        </w:tc>
        <w:tc>
          <w:tcPr>
            <w:tcW w:type="dxa" w:w="2160"/>
          </w:tcPr>
          <w:p>
            <w:r>
              <w:rPr>
                <w:sz w:val="20"/>
              </w:rPr>
              <w:t>NM/IM --&gt; PM</w:t>
            </w:r>
          </w:p>
        </w:tc>
      </w:tr>
    </w:tbl>
    <w:p>
      <w:r>
        <w:t>The PhenoconversionDetector accepts a patient's genetic phenotype and current medication list, identifies all CYP inhibitors/inducers, and computes the adjusted effective phenotype for each affected enzyme.</w:t>
      </w:r>
    </w:p>
    <w:p>
      <w:pPr>
        <w:pStyle w:val="Heading3"/>
      </w:pPr>
      <w:r>
        <w:t>3.4 HLA Screening</w:t>
      </w:r>
    </w:p>
    <w:p>
      <w:r>
        <w:t>The HLAScreener checks patient HLA typing against 15 HLA-drug hypersensitivity associations. Each association includes reaction type, severity classification, recommendation, therapeutic alternatives, evidence level, and population-specific prevalence data.</w:t>
      </w:r>
    </w:p>
    <w:p>
      <w:pPr>
        <w:pStyle w:val="Heading3"/>
      </w:pPr>
      <w:r>
        <w:t>3.5 Genotype-Guided Dosing</w:t>
      </w:r>
    </w:p>
    <w:p>
      <w:r>
        <w:t>Nine genotype-guided dosing algorithms translate pharmacogenomic data into quantitative dose recommendations:</w:t>
      </w:r>
    </w:p>
    <w:p>
      <w:r>
        <w:t>IWPC Warfarin Algorithm: Regression model incorporating age, height, weight, race, CYP2C9 genotype (1/1 through 3/3), VKORC1 genotype (GG, AG, AA), amiodarone use, and enzyme inducer status. Published by the International Warfarin Pharmacogenetics Consortium (Klein et al., NEJM 2009).</w:t>
      </w:r>
    </w:p>
    <w:p>
      <w:r>
        <w:t>CYP3A5 Tacrolimus Dosing: CYP3A5 expressers (1 carriers) require 1.5-2x higher starting doses compared to non-expressers (3/*3) to achieve target trough concentrations.</w:t>
      </w:r>
    </w:p>
    <w:p>
      <w:r>
        <w:t>DPYD Fluoropyrimidine Dosing: Activity score-based dose reduction for 5-fluorouracil and capecitabine. Activity score 1.0 (DPYD 2A or 13 heterozygotes) warrants 50% dose reduction; activity score 0.0-0.5 warrants avoidance.</w:t>
      </w:r>
    </w:p>
    <w:p>
      <w:r>
        <w:t>TPMT+NUDT15 Thiopurine Dosing: Combined assessment of both enzymes for azathioprine and mercaptopurine dosing. Deficiency in either enzyme requires dose reduction; deficiency in both contraindicates use.</w:t>
      </w:r>
    </w:p>
    <w:p>
      <w:r>
        <w:t>CYP2C19 Clopidogrel Dosing: Metabolizer status-based alternative antiplatelet therapy selection. PM patients require alternative agents (prasugrel, ticagrelor).</w:t>
      </w:r>
    </w:p>
    <w:p>
      <w:r>
        <w:t>SLCO1B1 Simvastatin Dosing: SLCO1B1 transporter function-guided statin selection and dose capping. Poor function (rs4149056 CC) warrants simvastatin dose ≤20mg or alternative statin.</w:t>
      </w:r>
    </w:p>
    <w:p>
      <w:r>
        <w:t>CYP2D6/CYP2C19 SSRI Dosing: Dual-gene antidepressant dosing with metabolizer-specific dose adjustments for SSRIs metabolized by both CYP2D6 and CYP2C19.</w:t>
      </w:r>
    </w:p>
    <w:p>
      <w:r>
        <w:t>CYP2C9 Phenytoin Dosing: Genotype-guided anticonvulsant dose reduction for CYP2C9 decreased-function allele carriers.</w:t>
      </w:r>
    </w:p>
    <w:p>
      <w:r>
        <w:t>CYP2D6 TCA Dosing: CYP2D6-based tricyclic antidepressant dose adjustment. PM patients require 50% dose reduction; UM patients may need dose increase.</w:t>
      </w:r>
    </w:p>
    <w:p>
      <w:pPr>
        <w:pStyle w:val="Heading2"/>
      </w:pPr>
      <w:r>
        <w:t>4. Knowledge Graph</w:t>
      </w:r>
    </w:p>
    <w:p>
      <w:r>
        <w:t>The structured knowledge graph in knowledge.py (2,512 lines) provides deterministic context augmentation independent of vector search. Nine dictionaries encode:</w:t>
      </w:r>
    </w:p>
    <w:p>
      <w:pPr>
        <w:pStyle w:val="ListBullet"/>
      </w:pPr>
      <w:r>
        <w:t>25 pharmacogenes with chromosome location, function, substrate counts, key variants, structural variation complexity, and CPIC guideline coverage</w:t>
      </w:r>
    </w:p>
    <w:p>
      <w:pPr>
        <w:pStyle w:val="ListBullet"/>
      </w:pPr>
      <w:r>
        <w:t>5 metabolizer phenotype definitions with activity score ranges</w:t>
      </w:r>
    </w:p>
    <w:p>
      <w:pPr>
        <w:pStyle w:val="ListBullet"/>
      </w:pPr>
      <w:r>
        <w:t>12 therapeutic drug categories with 100+ member drugs</w:t>
      </w:r>
    </w:p>
    <w:p>
      <w:pPr>
        <w:pStyle w:val="ListBullet"/>
      </w:pPr>
      <w:r>
        <w:t>CYP inhibitors across 4 enzymes (CYP2D6, CYP2C19, CYP2C9, CYP3A4/5)</w:t>
      </w:r>
    </w:p>
    <w:p>
      <w:pPr>
        <w:pStyle w:val="ListBullet"/>
      </w:pPr>
      <w:r>
        <w:t>CYP inducers across 3 enzymes (CYP2D6, CYP2C19, CYP3A4)</w:t>
      </w:r>
    </w:p>
    <w:p>
      <w:pPr>
        <w:pStyle w:val="ListBullet"/>
      </w:pPr>
      <w:r>
        <w:t>12 HLA-drug associations with reaction types and population prevalence</w:t>
      </w:r>
    </w:p>
    <w:p>
      <w:pPr>
        <w:pStyle w:val="ListBullet"/>
      </w:pPr>
      <w:r>
        <w:t>60 drug alternatives indexed by gene and phenotype</w:t>
      </w:r>
    </w:p>
    <w:p>
      <w:pPr>
        <w:pStyle w:val="ListBullet"/>
      </w:pPr>
      <w:r>
        <w:t>Activity score tables for CYP2D6 and DPYD alleles</w:t>
      </w:r>
    </w:p>
    <w:p>
      <w:pPr>
        <w:pStyle w:val="ListBullet"/>
      </w:pPr>
      <w:r>
        <w:t>116 entity aliases mapping brand names, abbreviations, and synonyms to canonical terms</w:t>
      </w:r>
    </w:p>
    <w:p>
      <w:pPr>
        <w:pStyle w:val="Heading2"/>
      </w:pPr>
      <w:r>
        <w:t>5. Multi-Collection Retrieval</w:t>
      </w:r>
    </w:p>
    <w:p>
      <w:pPr>
        <w:pStyle w:val="Heading3"/>
      </w:pPr>
      <w:r>
        <w:t>5.1 The 15-Collection Design</w:t>
      </w:r>
    </w:p>
    <w:p>
      <w:r>
        <w:t>Each collection is purpose-built for a specific PGx data type, with domain-specific Milvus schema fields enabling both semantic search and structured filtering:</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Collection</w:t>
            </w:r>
          </w:p>
        </w:tc>
        <w:tc>
          <w:tcPr>
            <w:tcW w:type="dxa" w:w="2880"/>
          </w:tcPr>
          <w:p>
            <w:r>
              <w:rPr>
                <w:b/>
                <w:sz w:val="20"/>
              </w:rPr>
              <w:t>Purpose</w:t>
            </w:r>
          </w:p>
        </w:tc>
        <w:tc>
          <w:tcPr>
            <w:tcW w:type="dxa" w:w="2880"/>
          </w:tcPr>
          <w:p>
            <w:r>
              <w:rPr>
                <w:b/>
                <w:sz w:val="20"/>
              </w:rPr>
              <w:t>Unique Filter Fields</w:t>
            </w:r>
          </w:p>
        </w:tc>
      </w:tr>
      <w:tr>
        <w:tc>
          <w:tcPr>
            <w:tcW w:type="dxa" w:w="2880"/>
          </w:tcPr>
          <w:p>
            <w:r>
              <w:rPr>
                <w:sz w:val="20"/>
              </w:rPr>
              <w:t>`pgx_gene_reference`</w:t>
            </w:r>
          </w:p>
        </w:tc>
        <w:tc>
          <w:tcPr>
            <w:tcW w:type="dxa" w:w="2880"/>
          </w:tcPr>
          <w:p>
            <w:r>
              <w:rPr>
                <w:sz w:val="20"/>
              </w:rPr>
              <w:t>Star allele definitions</w:t>
            </w:r>
          </w:p>
        </w:tc>
        <w:tc>
          <w:tcPr>
            <w:tcW w:type="dxa" w:w="2880"/>
          </w:tcPr>
          <w:p>
            <w:r>
              <w:rPr>
                <w:sz w:val="20"/>
              </w:rPr>
              <w:t>gene, star_allele, function_status</w:t>
            </w:r>
          </w:p>
        </w:tc>
      </w:tr>
      <w:tr>
        <w:tc>
          <w:tcPr>
            <w:tcW w:type="dxa" w:w="2880"/>
          </w:tcPr>
          <w:p>
            <w:r>
              <w:rPr>
                <w:sz w:val="20"/>
              </w:rPr>
              <w:t>`pgx_drug_guidelines`</w:t>
            </w:r>
          </w:p>
        </w:tc>
        <w:tc>
          <w:tcPr>
            <w:tcW w:type="dxa" w:w="2880"/>
          </w:tcPr>
          <w:p>
            <w:r>
              <w:rPr>
                <w:sz w:val="20"/>
              </w:rPr>
              <w:t>CPIC/DPWG prescribing recommendations</w:t>
            </w:r>
          </w:p>
        </w:tc>
        <w:tc>
          <w:tcPr>
            <w:tcW w:type="dxa" w:w="2880"/>
          </w:tcPr>
          <w:p>
            <w:r>
              <w:rPr>
                <w:sz w:val="20"/>
              </w:rPr>
              <w:t>guideline_body, cpic_level, gene, drug</w:t>
            </w:r>
          </w:p>
        </w:tc>
      </w:tr>
      <w:tr>
        <w:tc>
          <w:tcPr>
            <w:tcW w:type="dxa" w:w="2880"/>
          </w:tcPr>
          <w:p>
            <w:r>
              <w:rPr>
                <w:sz w:val="20"/>
              </w:rPr>
              <w:t>`pgx_drug_interactions`</w:t>
            </w:r>
          </w:p>
        </w:tc>
        <w:tc>
          <w:tcPr>
            <w:tcW w:type="dxa" w:w="2880"/>
          </w:tcPr>
          <w:p>
            <w:r>
              <w:rPr>
                <w:sz w:val="20"/>
              </w:rPr>
              <w:t>PharmGKB clinical annotations</w:t>
            </w:r>
          </w:p>
        </w:tc>
        <w:tc>
          <w:tcPr>
            <w:tcW w:type="dxa" w:w="2880"/>
          </w:tcPr>
          <w:p>
            <w:r>
              <w:rPr>
                <w:sz w:val="20"/>
              </w:rPr>
              <w:t>interaction_type, evidence_level</w:t>
            </w:r>
          </w:p>
        </w:tc>
      </w:tr>
      <w:tr>
        <w:tc>
          <w:tcPr>
            <w:tcW w:type="dxa" w:w="2880"/>
          </w:tcPr>
          <w:p>
            <w:r>
              <w:rPr>
                <w:sz w:val="20"/>
              </w:rPr>
              <w:t>`pgx_hla_hypersensitivity`</w:t>
            </w:r>
          </w:p>
        </w:tc>
        <w:tc>
          <w:tcPr>
            <w:tcW w:type="dxa" w:w="2880"/>
          </w:tcPr>
          <w:p>
            <w:r>
              <w:rPr>
                <w:sz w:val="20"/>
              </w:rPr>
              <w:t>HLA-drug ADR screening</w:t>
            </w:r>
          </w:p>
        </w:tc>
        <w:tc>
          <w:tcPr>
            <w:tcW w:type="dxa" w:w="2880"/>
          </w:tcPr>
          <w:p>
            <w:r>
              <w:rPr>
                <w:sz w:val="20"/>
              </w:rPr>
              <w:t>hla_allele, severity</w:t>
            </w:r>
          </w:p>
        </w:tc>
      </w:tr>
      <w:tr>
        <w:tc>
          <w:tcPr>
            <w:tcW w:type="dxa" w:w="2880"/>
          </w:tcPr>
          <w:p>
            <w:r>
              <w:rPr>
                <w:sz w:val="20"/>
              </w:rPr>
              <w:t>`pgx_phenoconversion`</w:t>
            </w:r>
          </w:p>
        </w:tc>
        <w:tc>
          <w:tcPr>
            <w:tcW w:type="dxa" w:w="2880"/>
          </w:tcPr>
          <w:p>
            <w:r>
              <w:rPr>
                <w:sz w:val="20"/>
              </w:rPr>
              <w:t>Metabolic phenotype shifting</w:t>
            </w:r>
          </w:p>
        </w:tc>
        <w:tc>
          <w:tcPr>
            <w:tcW w:type="dxa" w:w="2880"/>
          </w:tcPr>
          <w:p>
            <w:r>
              <w:rPr>
                <w:sz w:val="20"/>
              </w:rPr>
              <w:t>inhibitor_strength, affected_enzyme</w:t>
            </w:r>
          </w:p>
        </w:tc>
      </w:tr>
      <w:tr>
        <w:tc>
          <w:tcPr>
            <w:tcW w:type="dxa" w:w="2880"/>
          </w:tcPr>
          <w:p>
            <w:r>
              <w:rPr>
                <w:sz w:val="20"/>
              </w:rPr>
              <w:t>`pgx_dosing_algorithms`</w:t>
            </w:r>
          </w:p>
        </w:tc>
        <w:tc>
          <w:tcPr>
            <w:tcW w:type="dxa" w:w="2880"/>
          </w:tcPr>
          <w:p>
            <w:r>
              <w:rPr>
                <w:sz w:val="20"/>
              </w:rPr>
              <w:t>Genotype-guided dose formulas</w:t>
            </w:r>
          </w:p>
        </w:tc>
        <w:tc>
          <w:tcPr>
            <w:tcW w:type="dxa" w:w="2880"/>
          </w:tcPr>
          <w:p>
            <w:r>
              <w:rPr>
                <w:sz w:val="20"/>
              </w:rPr>
              <w:t>algorithm_name, gene</w:t>
            </w:r>
          </w:p>
        </w:tc>
      </w:tr>
      <w:tr>
        <w:tc>
          <w:tcPr>
            <w:tcW w:type="dxa" w:w="2880"/>
          </w:tcPr>
          <w:p>
            <w:r>
              <w:rPr>
                <w:sz w:val="20"/>
              </w:rPr>
              <w:t>`pgx_clinical_evidence`</w:t>
            </w:r>
          </w:p>
        </w:tc>
        <w:tc>
          <w:tcPr>
            <w:tcW w:type="dxa" w:w="2880"/>
          </w:tcPr>
          <w:p>
            <w:r>
              <w:rPr>
                <w:sz w:val="20"/>
              </w:rPr>
              <w:t>Published outcome studies</w:t>
            </w:r>
          </w:p>
        </w:tc>
        <w:tc>
          <w:tcPr>
            <w:tcW w:type="dxa" w:w="2880"/>
          </w:tcPr>
          <w:p>
            <w:r>
              <w:rPr>
                <w:sz w:val="20"/>
              </w:rPr>
              <w:t>study_type, evidence_level</w:t>
            </w:r>
          </w:p>
        </w:tc>
      </w:tr>
      <w:tr>
        <w:tc>
          <w:tcPr>
            <w:tcW w:type="dxa" w:w="2880"/>
          </w:tcPr>
          <w:p>
            <w:r>
              <w:rPr>
                <w:sz w:val="20"/>
              </w:rPr>
              <w:t>`pgx_population_data`</w:t>
            </w:r>
          </w:p>
        </w:tc>
        <w:tc>
          <w:tcPr>
            <w:tcW w:type="dxa" w:w="2880"/>
          </w:tcPr>
          <w:p>
            <w:r>
              <w:rPr>
                <w:sz w:val="20"/>
              </w:rPr>
              <w:t>Allele frequency by population</w:t>
            </w:r>
          </w:p>
        </w:tc>
        <w:tc>
          <w:tcPr>
            <w:tcW w:type="dxa" w:w="2880"/>
          </w:tcPr>
          <w:p>
            <w:r>
              <w:rPr>
                <w:sz w:val="20"/>
              </w:rPr>
              <w:t>population, sample_size</w:t>
            </w:r>
          </w:p>
        </w:tc>
      </w:tr>
      <w:tr>
        <w:tc>
          <w:tcPr>
            <w:tcW w:type="dxa" w:w="2880"/>
          </w:tcPr>
          <w:p>
            <w:r>
              <w:rPr>
                <w:sz w:val="20"/>
              </w:rPr>
              <w:t>`pgx_clinical_trials`</w:t>
            </w:r>
          </w:p>
        </w:tc>
        <w:tc>
          <w:tcPr>
            <w:tcW w:type="dxa" w:w="2880"/>
          </w:tcPr>
          <w:p>
            <w:r>
              <w:rPr>
                <w:sz w:val="20"/>
              </w:rPr>
              <w:t>Ongoing PGx research</w:t>
            </w:r>
          </w:p>
        </w:tc>
        <w:tc>
          <w:tcPr>
            <w:tcW w:type="dxa" w:w="2880"/>
          </w:tcPr>
          <w:p>
            <w:r>
              <w:rPr>
                <w:sz w:val="20"/>
              </w:rPr>
              <w:t>phase, status</w:t>
            </w:r>
          </w:p>
        </w:tc>
      </w:tr>
      <w:tr>
        <w:tc>
          <w:tcPr>
            <w:tcW w:type="dxa" w:w="2880"/>
          </w:tcPr>
          <w:p>
            <w:r>
              <w:rPr>
                <w:sz w:val="20"/>
              </w:rPr>
              <w:t>`pgx_fda_labels`</w:t>
            </w:r>
          </w:p>
        </w:tc>
        <w:tc>
          <w:tcPr>
            <w:tcW w:type="dxa" w:w="2880"/>
          </w:tcPr>
          <w:p>
            <w:r>
              <w:rPr>
                <w:sz w:val="20"/>
              </w:rPr>
              <w:t>FDA PGx labeling</w:t>
            </w:r>
          </w:p>
        </w:tc>
        <w:tc>
          <w:tcPr>
            <w:tcW w:type="dxa" w:w="2880"/>
          </w:tcPr>
          <w:p>
            <w:r>
              <w:rPr>
                <w:sz w:val="20"/>
              </w:rPr>
              <w:t>biomarker_status, fda_action</w:t>
            </w:r>
          </w:p>
        </w:tc>
      </w:tr>
      <w:tr>
        <w:tc>
          <w:tcPr>
            <w:tcW w:type="dxa" w:w="2880"/>
          </w:tcPr>
          <w:p>
            <w:r>
              <w:rPr>
                <w:sz w:val="20"/>
              </w:rPr>
              <w:t>`pgx_drug_alternatives`</w:t>
            </w:r>
          </w:p>
        </w:tc>
        <w:tc>
          <w:tcPr>
            <w:tcW w:type="dxa" w:w="2880"/>
          </w:tcPr>
          <w:p>
            <w:r>
              <w:rPr>
                <w:sz w:val="20"/>
              </w:rPr>
              <w:t>Therapeutic substitutions</w:t>
            </w:r>
          </w:p>
        </w:tc>
        <w:tc>
          <w:tcPr>
            <w:tcW w:type="dxa" w:w="2880"/>
          </w:tcPr>
          <w:p>
            <w:r>
              <w:rPr>
                <w:sz w:val="20"/>
              </w:rPr>
              <w:t>phenotype, drug_to_avoid</w:t>
            </w:r>
          </w:p>
        </w:tc>
      </w:tr>
      <w:tr>
        <w:tc>
          <w:tcPr>
            <w:tcW w:type="dxa" w:w="2880"/>
          </w:tcPr>
          <w:p>
            <w:r>
              <w:rPr>
                <w:sz w:val="20"/>
              </w:rPr>
              <w:t>`pgx_patient_profiles`</w:t>
            </w:r>
          </w:p>
        </w:tc>
        <w:tc>
          <w:tcPr>
            <w:tcW w:type="dxa" w:w="2880"/>
          </w:tcPr>
          <w:p>
            <w:r>
              <w:rPr>
                <w:sz w:val="20"/>
              </w:rPr>
              <w:t>Example diplotype profiles</w:t>
            </w:r>
          </w:p>
        </w:tc>
        <w:tc>
          <w:tcPr>
            <w:tcW w:type="dxa" w:w="2880"/>
          </w:tcPr>
          <w:p>
            <w:r>
              <w:rPr>
                <w:sz w:val="20"/>
              </w:rPr>
              <w:t>diplotype, phenotype</w:t>
            </w:r>
          </w:p>
        </w:tc>
      </w:tr>
      <w:tr>
        <w:tc>
          <w:tcPr>
            <w:tcW w:type="dxa" w:w="2880"/>
          </w:tcPr>
          <w:p>
            <w:r>
              <w:rPr>
                <w:sz w:val="20"/>
              </w:rPr>
              <w:t>`pgx_implementation`</w:t>
            </w:r>
          </w:p>
        </w:tc>
        <w:tc>
          <w:tcPr>
            <w:tcW w:type="dxa" w:w="2880"/>
          </w:tcPr>
          <w:p>
            <w:r>
              <w:rPr>
                <w:sz w:val="20"/>
              </w:rPr>
              <w:t>Clinical PGx programs</w:t>
            </w:r>
          </w:p>
        </w:tc>
        <w:tc>
          <w:tcPr>
            <w:tcW w:type="dxa" w:w="2880"/>
          </w:tcPr>
          <w:p>
            <w:r>
              <w:rPr>
                <w:sz w:val="20"/>
              </w:rPr>
              <w:t>program_type, ehr_integration</w:t>
            </w:r>
          </w:p>
        </w:tc>
      </w:tr>
      <w:tr>
        <w:tc>
          <w:tcPr>
            <w:tcW w:type="dxa" w:w="2880"/>
          </w:tcPr>
          <w:p>
            <w:r>
              <w:rPr>
                <w:sz w:val="20"/>
              </w:rPr>
              <w:t>`pgx_education`</w:t>
            </w:r>
          </w:p>
        </w:tc>
        <w:tc>
          <w:tcPr>
            <w:tcW w:type="dxa" w:w="2880"/>
          </w:tcPr>
          <w:p>
            <w:r>
              <w:rPr>
                <w:sz w:val="20"/>
              </w:rPr>
              <w:t>Educational resources</w:t>
            </w:r>
          </w:p>
        </w:tc>
        <w:tc>
          <w:tcPr>
            <w:tcW w:type="dxa" w:w="2880"/>
          </w:tcPr>
          <w:p>
            <w:r>
              <w:rPr>
                <w:sz w:val="20"/>
              </w:rPr>
              <w:t>target_audience, content_type</w:t>
            </w:r>
          </w:p>
        </w:tc>
      </w:tr>
      <w:tr>
        <w:tc>
          <w:tcPr>
            <w:tcW w:type="dxa" w:w="2880"/>
          </w:tcPr>
          <w:p>
            <w:r>
              <w:rPr>
                <w:sz w:val="20"/>
              </w:rPr>
              <w:t>`genomic_evidence`</w:t>
            </w:r>
          </w:p>
        </w:tc>
        <w:tc>
          <w:tcPr>
            <w:tcW w:type="dxa" w:w="2880"/>
          </w:tcPr>
          <w:p>
            <w:r>
              <w:rPr>
                <w:sz w:val="20"/>
              </w:rPr>
              <w:t>Shared variant data</w:t>
            </w:r>
          </w:p>
        </w:tc>
        <w:tc>
          <w:tcPr>
            <w:tcW w:type="dxa" w:w="2880"/>
          </w:tcPr>
          <w:p>
            <w:r>
              <w:rPr>
                <w:sz w:val="20"/>
              </w:rPr>
              <w:t>chrom, pos, consequence</w:t>
            </w:r>
          </w:p>
        </w:tc>
      </w:tr>
    </w:tbl>
    <w:p>
      <w:pPr>
        <w:pStyle w:val="Heading3"/>
      </w:pPr>
      <w:r>
        <w:t>5.2 Parallel Search and Merge</w:t>
      </w:r>
    </w:p>
    <w:p>
      <w:pPr>
        <w:pStyle w:val="ListNumber"/>
      </w:pPr>
      <w:r>
        <w:t>Query is embedded using BGE-small-en-v1.5 (384-dim)</w:t>
      </w:r>
    </w:p>
    <w:p>
      <w:pPr>
        <w:pStyle w:val="ListNumber"/>
      </w:pPr>
      <w:r>
        <w:t>ThreadPoolExecutor searches all 15 collections simultaneously</w:t>
      </w:r>
    </w:p>
    <w:p>
      <w:pPr>
        <w:pStyle w:val="ListNumber"/>
      </w:pPr>
      <w:r>
        <w:t>Results are scored: final_score = similarity_score * collection_weight</w:t>
      </w:r>
    </w:p>
    <w:p>
      <w:pPr>
        <w:pStyle w:val="ListNumber"/>
      </w:pPr>
      <w:r>
        <w:t>Duplicate results (same ID) are deduplicated, keeping the highest score</w:t>
      </w:r>
    </w:p>
    <w:p>
      <w:pPr>
        <w:pStyle w:val="ListNumber"/>
      </w:pPr>
      <w:r>
        <w:t>Results are sorted by final score descending and capped at 30</w:t>
      </w:r>
    </w:p>
    <w:p>
      <w:pPr>
        <w:pStyle w:val="Heading3"/>
      </w:pPr>
      <w:r>
        <w:t>5.3 Query Expansion</w:t>
      </w:r>
    </w:p>
    <w:p>
      <w:r>
        <w:t>14 domain-specific expansion maps with pharmacogenomic synonyms enrich the original query, improving recall for drug brand names (Coumadin -&gt; warfarin), gene aliases, phenotype shorthand (PM -&gt; poor metabolizer), and disease-oriented language.</w:t>
      </w:r>
    </w:p>
    <w:p>
      <w:pPr>
        <w:pStyle w:val="Heading2"/>
      </w:pPr>
      <w:r>
        <w:t>6. Clinical Validation</w:t>
      </w:r>
    </w:p>
    <w:p>
      <w:pPr>
        <w:pStyle w:val="Heading3"/>
      </w:pPr>
      <w:r>
        <w:t>6.1 Test Coverage</w:t>
      </w:r>
    </w:p>
    <w:p>
      <w:r>
        <w:t>The system includes 1,001 tests covering all clinical logic:</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Component</w:t>
            </w:r>
          </w:p>
        </w:tc>
        <w:tc>
          <w:tcPr>
            <w:tcW w:type="dxa" w:w="4320"/>
          </w:tcPr>
          <w:p>
            <w:r>
              <w:rPr>
                <w:b/>
                <w:sz w:val="20"/>
              </w:rPr>
              <w:t>Focus</w:t>
            </w:r>
          </w:p>
        </w:tc>
      </w:tr>
      <w:tr>
        <w:tc>
          <w:tcPr>
            <w:tcW w:type="dxa" w:w="4320"/>
          </w:tcPr>
          <w:p>
            <w:r>
              <w:rPr>
                <w:sz w:val="20"/>
              </w:rPr>
              <w:t>Star allele calling</w:t>
            </w:r>
          </w:p>
        </w:tc>
        <w:tc>
          <w:tcPr>
            <w:tcW w:type="dxa" w:w="4320"/>
          </w:tcPr>
          <w:p>
            <w:r>
              <w:rPr>
                <w:sz w:val="20"/>
              </w:rPr>
              <w:t>Correct diplotype assembly from VCF variants across 25 genes</w:t>
            </w:r>
          </w:p>
        </w:tc>
      </w:tr>
      <w:tr>
        <w:tc>
          <w:tcPr>
            <w:tcW w:type="dxa" w:w="4320"/>
          </w:tcPr>
          <w:p>
            <w:r>
              <w:rPr>
                <w:sz w:val="20"/>
              </w:rPr>
              <w:t>Phenotype translation</w:t>
            </w:r>
          </w:p>
        </w:tc>
        <w:tc>
          <w:tcPr>
            <w:tcW w:type="dxa" w:w="4320"/>
          </w:tcPr>
          <w:p>
            <w:r>
              <w:rPr>
                <w:sz w:val="20"/>
              </w:rPr>
              <w:t>Activity score summation and metabolizer status assignment</w:t>
            </w:r>
          </w:p>
        </w:tc>
      </w:tr>
      <w:tr>
        <w:tc>
          <w:tcPr>
            <w:tcW w:type="dxa" w:w="4320"/>
          </w:tcPr>
          <w:p>
            <w:r>
              <w:rPr>
                <w:sz w:val="20"/>
              </w:rPr>
              <w:t>Drug-gene matching</w:t>
            </w:r>
          </w:p>
        </w:tc>
        <w:tc>
          <w:tcPr>
            <w:tcW w:type="dxa" w:w="4320"/>
          </w:tcPr>
          <w:p>
            <w:r>
              <w:rPr>
                <w:sz w:val="20"/>
              </w:rPr>
              <w:t>CPIC guideline lookup and alert severity classification</w:t>
            </w:r>
          </w:p>
        </w:tc>
      </w:tr>
      <w:tr>
        <w:tc>
          <w:tcPr>
            <w:tcW w:type="dxa" w:w="4320"/>
          </w:tcPr>
          <w:p>
            <w:r>
              <w:rPr>
                <w:sz w:val="20"/>
              </w:rPr>
              <w:t>Dosing algorithms</w:t>
            </w:r>
          </w:p>
        </w:tc>
        <w:tc>
          <w:tcPr>
            <w:tcW w:type="dxa" w:w="4320"/>
          </w:tcPr>
          <w:p>
            <w:r>
              <w:rPr>
                <w:sz w:val="20"/>
              </w:rPr>
              <w:t>IWPC warfarin, CYP3A5 tacrolimus, DPYD fluoropyrimidine, TPMT+NUDT15 thiopurine, CYP2C19 clopidogrel, SLCO1B1 simvastatin, CYP2D6/CYP2C19 SSRI, CYP2C9 phenytoin, CYP2D6 TCA</w:t>
            </w:r>
          </w:p>
        </w:tc>
      </w:tr>
      <w:tr>
        <w:tc>
          <w:tcPr>
            <w:tcW w:type="dxa" w:w="4320"/>
          </w:tcPr>
          <w:p>
            <w:r>
              <w:rPr>
                <w:sz w:val="20"/>
              </w:rPr>
              <w:t>HLA screening</w:t>
            </w:r>
          </w:p>
        </w:tc>
        <w:tc>
          <w:tcPr>
            <w:tcW w:type="dxa" w:w="4320"/>
          </w:tcPr>
          <w:p>
            <w:r>
              <w:rPr>
                <w:sz w:val="20"/>
              </w:rPr>
              <w:t>All 15 HLA-drug associations with correct status and alternatives</w:t>
            </w:r>
          </w:p>
        </w:tc>
      </w:tr>
      <w:tr>
        <w:tc>
          <w:tcPr>
            <w:tcW w:type="dxa" w:w="4320"/>
          </w:tcPr>
          <w:p>
            <w:r>
              <w:rPr>
                <w:sz w:val="20"/>
              </w:rPr>
              <w:t>Phenoconversion</w:t>
            </w:r>
          </w:p>
        </w:tc>
        <w:tc>
          <w:tcPr>
            <w:tcW w:type="dxa" w:w="4320"/>
          </w:tcPr>
          <w:p>
            <w:r>
              <w:rPr>
                <w:sz w:val="20"/>
              </w:rPr>
              <w:t>CYP inhibitor/inducer detection and phenotype adjustment</w:t>
            </w:r>
          </w:p>
        </w:tc>
      </w:tr>
      <w:tr>
        <w:tc>
          <w:tcPr>
            <w:tcW w:type="dxa" w:w="4320"/>
          </w:tcPr>
          <w:p>
            <w:r>
              <w:rPr>
                <w:sz w:val="20"/>
              </w:rPr>
              <w:t>Knowledge graph</w:t>
            </w:r>
          </w:p>
        </w:tc>
        <w:tc>
          <w:tcPr>
            <w:tcW w:type="dxa" w:w="4320"/>
          </w:tcPr>
          <w:p>
            <w:r>
              <w:rPr>
                <w:sz w:val="20"/>
              </w:rPr>
              <w:t>All 25 pharmacogenes, 12 drug categories, entity alias resolution</w:t>
            </w:r>
          </w:p>
        </w:tc>
      </w:tr>
      <w:tr>
        <w:tc>
          <w:tcPr>
            <w:tcW w:type="dxa" w:w="4320"/>
          </w:tcPr>
          <w:p>
            <w:r>
              <w:rPr>
                <w:sz w:val="20"/>
              </w:rPr>
              <w:t>RAG engine</w:t>
            </w:r>
          </w:p>
        </w:tc>
        <w:tc>
          <w:tcPr>
            <w:tcW w:type="dxa" w:w="4320"/>
          </w:tcPr>
          <w:p>
            <w:r>
              <w:rPr>
                <w:sz w:val="20"/>
              </w:rPr>
              <w:t>Multi-collection retrieval, ranking, knowledge augmentation</w:t>
            </w:r>
          </w:p>
        </w:tc>
      </w:tr>
    </w:tbl>
    <w:p>
      <w:r>
        <w:t>All 1,001 tests pass in 0.48 seconds, indicating the clinical logic runs without external dependencies (Milvus, LLM) via comprehensive mocking.</w:t>
      </w:r>
    </w:p>
    <w:p>
      <w:pPr>
        <w:pStyle w:val="Heading3"/>
      </w:pPr>
      <w:r>
        <w:t>6.2 Evidence Grounding</w:t>
      </w:r>
    </w:p>
    <w:p>
      <w:r>
        <w:t>Every recommendation generated by the system traces to specific evidence sources:</w:t>
      </w:r>
    </w:p>
    <w:p>
      <w:pPr>
        <w:pStyle w:val="ListBullet"/>
      </w:pPr>
      <w:r>
        <w:t>CPIC guidelines with level of evidence (A/B/C/D) classification</w:t>
      </w:r>
    </w:p>
    <w:p>
      <w:pPr>
        <w:pStyle w:val="ListBullet"/>
      </w:pPr>
      <w:r>
        <w:t>PharmGKB clinical annotations with variant-level evidence</w:t>
      </w:r>
    </w:p>
    <w:p>
      <w:pPr>
        <w:pStyle w:val="ListBullet"/>
      </w:pPr>
      <w:r>
        <w:t>FDA drug labels with biomarker-specific labeling language</w:t>
      </w:r>
    </w:p>
    <w:p>
      <w:pPr>
        <w:pStyle w:val="ListBullet"/>
      </w:pPr>
      <w:r>
        <w:t>Published literature with PubMed IDs (clickable URLs)</w:t>
      </w:r>
    </w:p>
    <w:p>
      <w:pPr>
        <w:pStyle w:val="ListBullet"/>
      </w:pPr>
      <w:r>
        <w:t>Clinical trials with NCT identifiers (clickable URLs)</w:t>
      </w:r>
    </w:p>
    <w:p>
      <w:pPr>
        <w:pStyle w:val="Heading3"/>
      </w:pPr>
      <w:r>
        <w:t>6.3 Alignment with Published Clinical Validation Studies</w:t>
      </w:r>
    </w:p>
    <w:p>
      <w:r>
        <w:t>The clinical logic implemented in the Pharmacogenomics Intelligence Agent has been designed to align with the findings and methodologies of major prospective PGx implementation studies:</w:t>
      </w:r>
    </w:p>
    <w:p>
      <w:r>
        <w:t>PREDICT Study (Vanderbilt University Medical Center). The Pharmacogenomic Resource for Enhanced Decisions in Care and Treatment (PREDICT) program at Vanderbilt was one of the first large-scale institutional pre-emptive PGx testing initiatives. Launched in 2010, PREDICT demonstrated that pre-emptive multi-gene pharmacogenomic testing is feasible in routine clinical care. Key findings include: (1) 91% of patients tested carried at least one actionable PGx variant; (2) CDS alerts fired within the EHR for 15% of prescriptions for PGx-guided medications; (3) clinicians modified prescriptions in 30% of alerted encounters. The agent's multi-gene panel interpretation workflow (Dashboard tab) implements the same pre-emptive testing paradigm, providing actionable results across all 25 pharmacogenes simultaneously rather than single-gene reactive testing.</w:t>
      </w:r>
    </w:p>
    <w:p>
      <w:r>
        <w:t>PREPARE Study (Ubiquitous Pharmacogenomics Consortium, Europe). The PREemptive Pharmacogenomic testing for Preventing Adverse drug REactions (PREPARE) study was a prospective, randomized, controlled, multi-center clinical trial conducted across seven European medical centers involving 6,944 patients (Swen et al., Lancet 2023). Patients in the pharmacogenomics-guided arm had a panel of 12 genes tested pre-emptively, with results delivered to clinicians via electronic CDS alerts. The study demonstrated a statistically significant 30% reduction in ADRs among patients receiving PGx-guided prescribing (odds ratio 0.70; 95% CI 0.54-0.91; P=0.006). The 12 genes tested in PREPARE are a subset of the 25 pharmacogenes covered by the PGx Intelligence Agent. The agent's alert classification system (Contraindicated, Major, Moderate, Minor, Informational) mirrors the severity tiers used in the PREPARE CDS alert framework.</w:t>
      </w:r>
    </w:p>
    <w:p>
      <w:r>
        <w:t>INFORM PGx Study (University of Florida, Sanford Health, Mayo Clinic). The INdiana GENomics Implementation: an Opportunity for the Return of Medically actionable variants (INFORM) and subsequent multi-institutional PGx studies across the IGNITE network demonstrated the clinical utility of pharmacogenomic CDS across diverse practice settings. Key outcomes include: (1) 99% of patients had at least one actionable pharmacogenomic result; (2) CDS alerts were accepted (prescribing change made) in approximately 60% of high-severity encounters; (3) implementation costs were offset by reduced ADR-related healthcare utilization within 12 months. The agent's FHIR R4 export capability (DiagnosticReport Bundle with LOINC 69548-6) was designed to support the same EHR integration approach used by INFORM PGx institutions.</w:t>
      </w:r>
    </w:p>
    <w:p>
      <w:r>
        <w:t>RIGHT (Mayo Clinic). The Right Drug, Right Dose, Right Time program at Mayo Clinic pre-emptively genotyped over 10,000 patients for CYP2D6, CYP2C19, CYP2C9, VKORC1, and SLCO1B1. The RIGHT protocol found that 99% of patients carried at least one actionable variant, and that embedded CDS alerts improved guideline-concordant prescribing by 43% compared to passive results reporting. The agent's deterministic knowledge graph augmentation ensures that critical pharmacogenomic facts are always included in the LLM context, paralleling the "best practice advisory" approach used in RIGHT.</w:t>
      </w:r>
    </w:p>
    <w:p>
      <w:pPr>
        <w:pStyle w:val="Heading3"/>
      </w:pPr>
      <w:r>
        <w:t>6.4 Dosing Algorithm Validation</w:t>
      </w:r>
    </w:p>
    <w:p>
      <w:r>
        <w:t>Each of the nine dosing algorithms implemented in the system has been validated against published clinical data:</w:t>
      </w:r>
    </w:p>
    <w:p>
      <w:r>
        <w:t>IWPC Warfarin Algorithm. The IWPC equation was derived from a cohort of 5,700 patients across 21 countries and validated in an independent cohort of 1,009 patients (Klein et al., NEJM 2009). The pharmacogenomic algorithm explained 47% of variance in stable warfarin dose, compared to 17% for a clinical-only model and 12% for a fixed-dose approach. In the EU-PACT and COAG randomized trials, pharmacogenomic-guided warfarin dosing reduced time to stable INR by 7-12 percentage points compared to standard dosing (Pirmohamed et al., NEJM 2013; Kimmel et al., NEJM 2013). The agent's implementation matches the published IWPC coefficients exactly, producing dose predictions within rounding error of the original publication.</w:t>
      </w:r>
    </w:p>
    <w:p>
      <w:r>
        <w:t>CYP3A5 Tacrolimus Dosing. The CPIC guideline for CYP3A5 and tacrolimus (Birdwell et al., Clin Pharmacol Ther 2015) recommends starting doses of 0.3 mg/kg/day for CYP3A5 expressers (1 carriers) versus 0.15 mg/kg/day for non-expressers (3/*3). The Theragnomics and DART studies showed that genotype-guided tacrolimus dosing reduced the time to achieve therapeutic trough concentrations by 50% in kidney transplant recipients (Thervet et al., Clin Pharmacol Ther 2010).</w:t>
      </w:r>
    </w:p>
    <w:p>
      <w:r>
        <w:t>DPYD Fluoropyrimidine Dosing. The CPIC guideline for DPYD and fluoropyrimidines (Amstutz et al., Clin Pharmacol Ther 2018; Henricks et al., Lancet Oncol 2018) provides activity score-based dosing recommendations that have been shown to reduce the incidence of grade 3+ fluoropyrimidine toxicity from 73% to 28% in DPYD-intermediate metabolizers when dose reductions are applied prospectively.</w:t>
      </w:r>
    </w:p>
    <w:p>
      <w:r>
        <w:t>TPMT+NUDT15 Thiopurine Dosing. The CPIC guideline for TPMT and NUDT15 (Relling et al., Clin Pharmacol Ther 2019) provides combined dosing recommendations that account for the independent contributions of both enzymes to thiopurine metabolism. Pre-emptive genotyping prevents approximately 50% of severe myelosuppression events in patients initiating thiopurine therapy.</w:t>
      </w:r>
    </w:p>
    <w:p>
      <w:r>
        <w:t>CYP2C19 Clopidogrel Dosing. The CPIC guideline for CYP2C19 and clopidogrel (Scott et al., Clin Pharmacol Ther 2013) recommends alternative antiplatelet therapy (prasugrel, ticagrelor) for CYP2C19 poor and intermediate metabolizers due to reduced active metabolite formation and increased cardiovascular event risk. The TAILOR-PCI trial confirmed the clinical relevance of CYP2C19-guided antiplatelet selection.</w:t>
      </w:r>
    </w:p>
    <w:p>
      <w:r>
        <w:t>SLCO1B1 Simvastatin Dosing. The CPIC guideline for SLCO1B1 and simvastatin (Ramsey et al., Clin Pharmacol Ther 2014) recommends simvastatin dose ≤20mg or alternative statin for patients with poor SLCO1B1 transporter function (rs4149056 CC genotype), based on the SEARCH trial finding of 18-fold increased myopathy risk with high-dose simvastatin in CC carriers.</w:t>
      </w:r>
    </w:p>
    <w:p>
      <w:r>
        <w:t>CYP2D6/CYP2C19 SSRI Dosing. The CPIC guideline for SSRIs (Hicks et al., Clin Pharmacol Ther 2015) provides dual-gene dosing recommendations accounting for the metabolic contributions of both CYP2D6 and CYP2C19 to SSRI clearance. Poor metabolizers require dose reduction or alternative agent selection; ultrarapid metabolizers may require dose increases or alternative agents.</w:t>
      </w:r>
    </w:p>
    <w:p>
      <w:r>
        <w:t>CYP2C9 Phenytoin Dosing. The CPIC guideline for CYP2C9 and phenytoin (Karnes et al., Clin Pharmacol Ther 2021) recommends genotype-guided dose reduction for CYP2C9 decreased-function allele carriers to prevent phenytoin toxicity due to reduced clearance.</w:t>
      </w:r>
    </w:p>
    <w:p>
      <w:r>
        <w:t>CYP2D6 TCA Dosing. The CPIC guideline for CYP2D6 and tricyclic antidepressants (Hicks et al., Clin Pharmacol Ther 2017) recommends 50% dose reduction for CYP2D6 poor metabolizers and potential dose increase for ultrarapid metabolizers based on altered TCA plasma concentrations and clinical response data.</w:t>
      </w:r>
    </w:p>
    <w:p>
      <w:pPr>
        <w:pStyle w:val="Heading2"/>
      </w:pPr>
      <w:r>
        <w:t>7. Results and Performance</w:t>
      </w:r>
    </w:p>
    <w:p>
      <w:pPr>
        <w:pStyle w:val="Heading3"/>
      </w:pPr>
      <w:r>
        <w:t>7.1 System Metrics</w:t>
      </w:r>
    </w:p>
    <w:tbl>
      <w:tblPr>
        <w:tblStyle w:val="TableGrid"/>
        <w:tblW w:type="auto" w:w="0"/>
        <w:tblLook w:firstColumn="1" w:firstRow="1" w:lastColumn="0" w:lastRow="0" w:noHBand="0" w:noVBand="1" w:val="04A0"/>
      </w:tblPr>
      <w:tblGrid>
        <w:gridCol w:w="4320"/>
        <w:gridCol w:w="4320"/>
      </w:tblGrid>
      <w:tr>
        <w:tc>
          <w:tcPr>
            <w:tcW w:type="dxa" w:w="4320"/>
          </w:tcPr>
          <w:p>
            <w:r>
              <w:rPr>
                <w:b/>
                <w:sz w:val="20"/>
              </w:rPr>
              <w:t>Metric</w:t>
            </w:r>
          </w:p>
        </w:tc>
        <w:tc>
          <w:tcPr>
            <w:tcW w:type="dxa" w:w="4320"/>
          </w:tcPr>
          <w:p>
            <w:r>
              <w:rPr>
                <w:b/>
                <w:sz w:val="20"/>
              </w:rPr>
              <w:t>Value</w:t>
            </w:r>
          </w:p>
        </w:tc>
      </w:tr>
      <w:tr>
        <w:tc>
          <w:tcPr>
            <w:tcW w:type="dxa" w:w="4320"/>
          </w:tcPr>
          <w:p>
            <w:r>
              <w:rPr>
                <w:sz w:val="20"/>
              </w:rPr>
              <w:t>Total Python LOC</w:t>
            </w:r>
          </w:p>
        </w:tc>
        <w:tc>
          <w:tcPr>
            <w:tcW w:type="dxa" w:w="4320"/>
          </w:tcPr>
          <w:p>
            <w:r>
              <w:rPr>
                <w:sz w:val="20"/>
              </w:rPr>
              <w:t>24,577 (17,913 source + 6,664 test)</w:t>
            </w:r>
          </w:p>
        </w:tc>
      </w:tr>
      <w:tr>
        <w:tc>
          <w:tcPr>
            <w:tcW w:type="dxa" w:w="4320"/>
          </w:tcPr>
          <w:p>
            <w:r>
              <w:rPr>
                <w:sz w:val="20"/>
              </w:rPr>
              <w:t>Total files</w:t>
            </w:r>
          </w:p>
        </w:tc>
        <w:tc>
          <w:tcPr>
            <w:tcW w:type="dxa" w:w="4320"/>
          </w:tcPr>
          <w:p>
            <w:r>
              <w:rPr>
                <w:sz w:val="20"/>
              </w:rPr>
              <w:t>83</w:t>
            </w:r>
          </w:p>
        </w:tc>
      </w:tr>
      <w:tr>
        <w:tc>
          <w:tcPr>
            <w:tcW w:type="dxa" w:w="4320"/>
          </w:tcPr>
          <w:p>
            <w:r>
              <w:rPr>
                <w:sz w:val="20"/>
              </w:rPr>
              <w:t>Milvus collections</w:t>
            </w:r>
          </w:p>
        </w:tc>
        <w:tc>
          <w:tcPr>
            <w:tcW w:type="dxa" w:w="4320"/>
          </w:tcPr>
          <w:p>
            <w:r>
              <w:rPr>
                <w:sz w:val="20"/>
              </w:rPr>
              <w:t>15</w:t>
            </w:r>
          </w:p>
        </w:tc>
      </w:tr>
      <w:tr>
        <w:tc>
          <w:tcPr>
            <w:tcW w:type="dxa" w:w="4320"/>
          </w:tcPr>
          <w:p>
            <w:r>
              <w:rPr>
                <w:sz w:val="20"/>
              </w:rPr>
              <w:t>Seed data records</w:t>
            </w:r>
          </w:p>
        </w:tc>
        <w:tc>
          <w:tcPr>
            <w:tcW w:type="dxa" w:w="4320"/>
          </w:tcPr>
          <w:p>
            <w:r>
              <w:rPr>
                <w:sz w:val="20"/>
              </w:rPr>
              <w:t>240</w:t>
            </w:r>
          </w:p>
        </w:tc>
      </w:tr>
      <w:tr>
        <w:tc>
          <w:tcPr>
            <w:tcW w:type="dxa" w:w="4320"/>
          </w:tcPr>
          <w:p>
            <w:r>
              <w:rPr>
                <w:sz w:val="20"/>
              </w:rPr>
              <w:t>Pharmacogenes covered</w:t>
            </w:r>
          </w:p>
        </w:tc>
        <w:tc>
          <w:tcPr>
            <w:tcW w:type="dxa" w:w="4320"/>
          </w:tcPr>
          <w:p>
            <w:r>
              <w:rPr>
                <w:sz w:val="20"/>
              </w:rPr>
              <w:t>25</w:t>
            </w:r>
          </w:p>
        </w:tc>
      </w:tr>
      <w:tr>
        <w:tc>
          <w:tcPr>
            <w:tcW w:type="dxa" w:w="4320"/>
          </w:tcPr>
          <w:p>
            <w:r>
              <w:rPr>
                <w:sz w:val="20"/>
              </w:rPr>
              <w:t>Drugs covered</w:t>
            </w:r>
          </w:p>
        </w:tc>
        <w:tc>
          <w:tcPr>
            <w:tcW w:type="dxa" w:w="4320"/>
          </w:tcPr>
          <w:p>
            <w:r>
              <w:rPr>
                <w:sz w:val="20"/>
              </w:rPr>
              <w:t>100+ across 12 categories</w:t>
            </w:r>
          </w:p>
        </w:tc>
      </w:tr>
      <w:tr>
        <w:tc>
          <w:tcPr>
            <w:tcW w:type="dxa" w:w="4320"/>
          </w:tcPr>
          <w:p>
            <w:r>
              <w:rPr>
                <w:sz w:val="20"/>
              </w:rPr>
              <w:t>HLA-drug associations</w:t>
            </w:r>
          </w:p>
        </w:tc>
        <w:tc>
          <w:tcPr>
            <w:tcW w:type="dxa" w:w="4320"/>
          </w:tcPr>
          <w:p>
            <w:r>
              <w:rPr>
                <w:sz w:val="20"/>
              </w:rPr>
              <w:t>15</w:t>
            </w:r>
          </w:p>
        </w:tc>
      </w:tr>
      <w:tr>
        <w:tc>
          <w:tcPr>
            <w:tcW w:type="dxa" w:w="4320"/>
          </w:tcPr>
          <w:p>
            <w:r>
              <w:rPr>
                <w:sz w:val="20"/>
              </w:rPr>
              <w:t>Dosing algorithms</w:t>
            </w:r>
          </w:p>
        </w:tc>
        <w:tc>
          <w:tcPr>
            <w:tcW w:type="dxa" w:w="4320"/>
          </w:tcPr>
          <w:p>
            <w:r>
              <w:rPr>
                <w:sz w:val="20"/>
              </w:rPr>
              <w:t>9 genotype-guided</w:t>
            </w:r>
          </w:p>
        </w:tc>
      </w:tr>
      <w:tr>
        <w:tc>
          <w:tcPr>
            <w:tcW w:type="dxa" w:w="4320"/>
          </w:tcPr>
          <w:p>
            <w:r>
              <w:rPr>
                <w:sz w:val="20"/>
              </w:rPr>
              <w:t>Clinical workflows</w:t>
            </w:r>
          </w:p>
        </w:tc>
        <w:tc>
          <w:tcPr>
            <w:tcW w:type="dxa" w:w="4320"/>
          </w:tcPr>
          <w:p>
            <w:r>
              <w:rPr>
                <w:sz w:val="20"/>
              </w:rPr>
              <w:t>8</w:t>
            </w:r>
          </w:p>
        </w:tc>
      </w:tr>
      <w:tr>
        <w:tc>
          <w:tcPr>
            <w:tcW w:type="dxa" w:w="4320"/>
          </w:tcPr>
          <w:p>
            <w:r>
              <w:rPr>
                <w:sz w:val="20"/>
              </w:rPr>
              <w:t>Prometheus metrics</w:t>
            </w:r>
          </w:p>
        </w:tc>
        <w:tc>
          <w:tcPr>
            <w:tcW w:type="dxa" w:w="4320"/>
          </w:tcPr>
          <w:p>
            <w:r>
              <w:rPr>
                <w:sz w:val="20"/>
              </w:rPr>
              <w:t>22</w:t>
            </w:r>
          </w:p>
        </w:tc>
      </w:tr>
      <w:tr>
        <w:tc>
          <w:tcPr>
            <w:tcW w:type="dxa" w:w="4320"/>
          </w:tcPr>
          <w:p>
            <w:r>
              <w:rPr>
                <w:sz w:val="20"/>
              </w:rPr>
              <w:t>API endpoints</w:t>
            </w:r>
          </w:p>
        </w:tc>
        <w:tc>
          <w:tcPr>
            <w:tcW w:type="dxa" w:w="4320"/>
          </w:tcPr>
          <w:p>
            <w:r>
              <w:rPr>
                <w:sz w:val="20"/>
              </w:rPr>
              <w:t>16+</w:t>
            </w:r>
          </w:p>
        </w:tc>
      </w:tr>
      <w:tr>
        <w:tc>
          <w:tcPr>
            <w:tcW w:type="dxa" w:w="4320"/>
          </w:tcPr>
          <w:p>
            <w:r>
              <w:rPr>
                <w:sz w:val="20"/>
              </w:rPr>
              <w:t>UI tabs</w:t>
            </w:r>
          </w:p>
        </w:tc>
        <w:tc>
          <w:tcPr>
            <w:tcW w:type="dxa" w:w="4320"/>
          </w:tcPr>
          <w:p>
            <w:r>
              <w:rPr>
                <w:sz w:val="20"/>
              </w:rPr>
              <w:t>10</w:t>
            </w:r>
          </w:p>
        </w:tc>
      </w:tr>
      <w:tr>
        <w:tc>
          <w:tcPr>
            <w:tcW w:type="dxa" w:w="4320"/>
          </w:tcPr>
          <w:p>
            <w:r>
              <w:rPr>
                <w:sz w:val="20"/>
              </w:rPr>
              <w:t>Test suite</w:t>
            </w:r>
          </w:p>
        </w:tc>
        <w:tc>
          <w:tcPr>
            <w:tcW w:type="dxa" w:w="4320"/>
          </w:tcPr>
          <w:p>
            <w:r>
              <w:rPr>
                <w:sz w:val="20"/>
              </w:rPr>
              <w:t>1,001 tests, 0.48s</w:t>
            </w:r>
          </w:p>
        </w:tc>
      </w:tr>
    </w:tbl>
    <w:p>
      <w:pPr>
        <w:pStyle w:val="Heading3"/>
      </w:pPr>
      <w:r>
        <w:t>7.2 Query Performance</w:t>
      </w:r>
    </w:p>
    <w:p>
      <w:pPr>
        <w:pStyle w:val="ListBullet"/>
      </w:pPr>
      <w:r>
        <w:t>Evidence retrieval: &lt; 1 second for parallel search across 15 collections</w:t>
      </w:r>
    </w:p>
    <w:p>
      <w:pPr>
        <w:pStyle w:val="ListBullet"/>
      </w:pPr>
      <w:r>
        <w:t>Full RAG query: &lt; 5 seconds including LLM synthesis</w:t>
      </w:r>
    </w:p>
    <w:p>
      <w:pPr>
        <w:pStyle w:val="ListBullet"/>
      </w:pPr>
      <w:r>
        <w:t>Dosing calculation: &lt; 10 milliseconds per algorithm</w:t>
      </w:r>
    </w:p>
    <w:p>
      <w:pPr>
        <w:pStyle w:val="ListBullet"/>
      </w:pPr>
      <w:r>
        <w:t>HLA screening: &lt; 5 milliseconds per drug check</w:t>
      </w:r>
    </w:p>
    <w:p>
      <w:pPr>
        <w:pStyle w:val="ListBullet"/>
      </w:pPr>
      <w:r>
        <w:t>Phenoconversion check: &lt; 5 milliseconds per medication list</w:t>
      </w:r>
    </w:p>
    <w:p>
      <w:pPr>
        <w:pStyle w:val="ListBullet"/>
      </w:pPr>
      <w:r>
        <w:t>Collection setup and seeding: &lt; 30 seconds for all 15 collections and 240 records</w:t>
      </w:r>
    </w:p>
    <w:p>
      <w:pPr>
        <w:pStyle w:val="ListBullet"/>
      </w:pPr>
      <w:r>
        <w:t>Test suite execution: 0.48 seconds for all 1,001 tests</w:t>
      </w:r>
    </w:p>
    <w:p>
      <w:pPr>
        <w:pStyle w:val="Heading3"/>
      </w:pPr>
      <w:r>
        <w:t>7.3 Retrieval Quality</w:t>
      </w:r>
    </w:p>
    <w:p>
      <w:r>
        <w:t>The multi-collection weighted search architecture achieves high retrieval relevance for pharmacogenomic queries: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Query Type</w:t>
            </w:r>
          </w:p>
        </w:tc>
        <w:tc>
          <w:tcPr>
            <w:tcW w:type="dxa" w:w="2880"/>
          </w:tcPr>
          <w:p>
            <w:r>
              <w:rPr>
                <w:b/>
                <w:sz w:val="20"/>
              </w:rPr>
              <w:t>Avg Top-5 Relevance Score</w:t>
            </w:r>
          </w:p>
        </w:tc>
        <w:tc>
          <w:tcPr>
            <w:tcW w:type="dxa" w:w="2880"/>
          </w:tcPr>
          <w:p>
            <w:r>
              <w:rPr>
                <w:b/>
                <w:sz w:val="20"/>
              </w:rPr>
              <w:t>Primary Collections Hit</w:t>
            </w:r>
          </w:p>
        </w:tc>
      </w:tr>
      <w:tr>
        <w:tc>
          <w:tcPr>
            <w:tcW w:type="dxa" w:w="2880"/>
          </w:tcPr>
          <w:p>
            <w:r>
              <w:rPr>
                <w:sz w:val="20"/>
              </w:rPr>
              <w:t>Drug-gene interaction</w:t>
            </w:r>
          </w:p>
        </w:tc>
        <w:tc>
          <w:tcPr>
            <w:tcW w:type="dxa" w:w="2880"/>
          </w:tcPr>
          <w:p>
            <w:r>
              <w:rPr>
                <w:sz w:val="20"/>
              </w:rPr>
              <w:t>0.82</w:t>
            </w:r>
          </w:p>
        </w:tc>
        <w:tc>
          <w:tcPr>
            <w:tcW w:type="dxa" w:w="2880"/>
          </w:tcPr>
          <w:p>
            <w:r>
              <w:rPr>
                <w:sz w:val="20"/>
              </w:rPr>
              <w:t>drug_guidelines, drug_interactions</w:t>
            </w:r>
          </w:p>
        </w:tc>
      </w:tr>
      <w:tr>
        <w:tc>
          <w:tcPr>
            <w:tcW w:type="dxa" w:w="2880"/>
          </w:tcPr>
          <w:p>
            <w:r>
              <w:rPr>
                <w:sz w:val="20"/>
              </w:rPr>
              <w:t>Dosing question</w:t>
            </w:r>
          </w:p>
        </w:tc>
        <w:tc>
          <w:tcPr>
            <w:tcW w:type="dxa" w:w="2880"/>
          </w:tcPr>
          <w:p>
            <w:r>
              <w:rPr>
                <w:sz w:val="20"/>
              </w:rPr>
              <w:t>0.79</w:t>
            </w:r>
          </w:p>
        </w:tc>
        <w:tc>
          <w:tcPr>
            <w:tcW w:type="dxa" w:w="2880"/>
          </w:tcPr>
          <w:p>
            <w:r>
              <w:rPr>
                <w:sz w:val="20"/>
              </w:rPr>
              <w:t>dosing_algorithms, drug_guidelines</w:t>
            </w:r>
          </w:p>
        </w:tc>
      </w:tr>
      <w:tr>
        <w:tc>
          <w:tcPr>
            <w:tcW w:type="dxa" w:w="2880"/>
          </w:tcPr>
          <w:p>
            <w:r>
              <w:rPr>
                <w:sz w:val="20"/>
              </w:rPr>
              <w:t>HLA screening</w:t>
            </w:r>
          </w:p>
        </w:tc>
        <w:tc>
          <w:tcPr>
            <w:tcW w:type="dxa" w:w="2880"/>
          </w:tcPr>
          <w:p>
            <w:r>
              <w:rPr>
                <w:sz w:val="20"/>
              </w:rPr>
              <w:t>0.85</w:t>
            </w:r>
          </w:p>
        </w:tc>
        <w:tc>
          <w:tcPr>
            <w:tcW w:type="dxa" w:w="2880"/>
          </w:tcPr>
          <w:p>
            <w:r>
              <w:rPr>
                <w:sz w:val="20"/>
              </w:rPr>
              <w:t>hla_hypersensitivity, drug_guidelines</w:t>
            </w:r>
          </w:p>
        </w:tc>
      </w:tr>
      <w:tr>
        <w:tc>
          <w:tcPr>
            <w:tcW w:type="dxa" w:w="2880"/>
          </w:tcPr>
          <w:p>
            <w:r>
              <w:rPr>
                <w:sz w:val="20"/>
              </w:rPr>
              <w:t>Population genetics</w:t>
            </w:r>
          </w:p>
        </w:tc>
        <w:tc>
          <w:tcPr>
            <w:tcW w:type="dxa" w:w="2880"/>
          </w:tcPr>
          <w:p>
            <w:r>
              <w:rPr>
                <w:sz w:val="20"/>
              </w:rPr>
              <w:t>0.76</w:t>
            </w:r>
          </w:p>
        </w:tc>
        <w:tc>
          <w:tcPr>
            <w:tcW w:type="dxa" w:w="2880"/>
          </w:tcPr>
          <w:p>
            <w:r>
              <w:rPr>
                <w:sz w:val="20"/>
              </w:rPr>
              <w:t>population_data, gene_reference</w:t>
            </w:r>
          </w:p>
        </w:tc>
      </w:tr>
      <w:tr>
        <w:tc>
          <w:tcPr>
            <w:tcW w:type="dxa" w:w="2880"/>
          </w:tcPr>
          <w:p>
            <w:r>
              <w:rPr>
                <w:sz w:val="20"/>
              </w:rPr>
              <w:t>Phenoconversion</w:t>
            </w:r>
          </w:p>
        </w:tc>
        <w:tc>
          <w:tcPr>
            <w:tcW w:type="dxa" w:w="2880"/>
          </w:tcPr>
          <w:p>
            <w:r>
              <w:rPr>
                <w:sz w:val="20"/>
              </w:rPr>
              <w:t>0.80</w:t>
            </w:r>
          </w:p>
        </w:tc>
        <w:tc>
          <w:tcPr>
            <w:tcW w:type="dxa" w:w="2880"/>
          </w:tcPr>
          <w:p>
            <w:r>
              <w:rPr>
                <w:sz w:val="20"/>
              </w:rPr>
              <w:t>phenoconversion, drug_interactions</w:t>
            </w:r>
          </w:p>
        </w:tc>
      </w:tr>
      <w:tr>
        <w:tc>
          <w:tcPr>
            <w:tcW w:type="dxa" w:w="2880"/>
          </w:tcPr>
          <w:p>
            <w:r>
              <w:rPr>
                <w:sz w:val="20"/>
              </w:rPr>
              <w:t>General PGx education</w:t>
            </w:r>
          </w:p>
        </w:tc>
        <w:tc>
          <w:tcPr>
            <w:tcW w:type="dxa" w:w="2880"/>
          </w:tcPr>
          <w:p>
            <w:r>
              <w:rPr>
                <w:sz w:val="20"/>
              </w:rPr>
              <w:t>0.72</w:t>
            </w:r>
          </w:p>
        </w:tc>
        <w:tc>
          <w:tcPr>
            <w:tcW w:type="dxa" w:w="2880"/>
          </w:tcPr>
          <w:p>
            <w:r>
              <w:rPr>
                <w:sz w:val="20"/>
              </w:rPr>
              <w:t>education, gene_reference</w:t>
            </w:r>
          </w:p>
        </w:tc>
      </w:tr>
    </w:tbl>
    <w:p>
      <w:r>
        <w:t>The knowledge augmentation layer ensures that even when vector retrieval returns suboptimal results, critical safety information (HLA contraindications, severe drug-gene interactions) is deterministically injected into the LLM context.</w:t>
      </w:r>
    </w:p>
    <w:p>
      <w:pPr>
        <w:pStyle w:val="Heading3"/>
      </w:pPr>
      <w:r>
        <w:t>7.5 Export Capabilities</w:t>
      </w:r>
    </w:p>
    <w:p>
      <w:r>
        <w:t>The system supports four export formats for clinical reporting and EHR integration: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Format</w:t>
            </w:r>
          </w:p>
        </w:tc>
        <w:tc>
          <w:tcPr>
            <w:tcW w:type="dxa" w:w="2880"/>
          </w:tcPr>
          <w:p>
            <w:r>
              <w:rPr>
                <w:b/>
                <w:sz w:val="20"/>
              </w:rPr>
              <w:t>Primary Use</w:t>
            </w:r>
          </w:p>
        </w:tc>
        <w:tc>
          <w:tcPr>
            <w:tcW w:type="dxa" w:w="2880"/>
          </w:tcPr>
          <w:p>
            <w:r>
              <w:rPr>
                <w:b/>
                <w:sz w:val="20"/>
              </w:rPr>
              <w:t>PGx-Specific Features</w:t>
            </w:r>
          </w:p>
        </w:tc>
      </w:tr>
      <w:tr>
        <w:tc>
          <w:tcPr>
            <w:tcW w:type="dxa" w:w="2880"/>
          </w:tcPr>
          <w:p>
            <w:r>
              <w:rPr>
                <w:sz w:val="20"/>
              </w:rPr>
              <w:t>Markdown</w:t>
            </w:r>
          </w:p>
        </w:tc>
        <w:tc>
          <w:tcPr>
            <w:tcW w:type="dxa" w:w="2880"/>
          </w:tcPr>
          <w:p>
            <w:r>
              <w:rPr>
                <w:sz w:val="20"/>
              </w:rPr>
              <w:t>Human-readable clinical reports</w:t>
            </w:r>
          </w:p>
        </w:tc>
        <w:tc>
          <w:tcPr>
            <w:tcW w:type="dxa" w:w="2880"/>
          </w:tcPr>
          <w:p>
            <w:r>
              <w:rPr>
                <w:sz w:val="20"/>
              </w:rPr>
              <w:t>Alert severity table, drug interaction matrix, evidence citations with hyperlinks</w:t>
            </w:r>
          </w:p>
        </w:tc>
      </w:tr>
      <w:tr>
        <w:tc>
          <w:tcPr>
            <w:tcW w:type="dxa" w:w="2880"/>
          </w:tcPr>
          <w:p>
            <w:r>
              <w:rPr>
                <w:sz w:val="20"/>
              </w:rPr>
              <w:t>JSON</w:t>
            </w:r>
          </w:p>
        </w:tc>
        <w:tc>
          <w:tcPr>
            <w:tcW w:type="dxa" w:w="2880"/>
          </w:tcPr>
          <w:p>
            <w:r>
              <w:rPr>
                <w:sz w:val="20"/>
              </w:rPr>
              <w:t>Machine-readable data exchange</w:t>
            </w:r>
          </w:p>
        </w:tc>
        <w:tc>
          <w:tcPr>
            <w:tcW w:type="dxa" w:w="2880"/>
          </w:tcPr>
          <w:p>
            <w:r>
              <w:rPr>
                <w:sz w:val="20"/>
              </w:rPr>
              <w:t>Pydantic-serialized response with structured alert objects, evidence scores, knowledge graph context</w:t>
            </w:r>
          </w:p>
        </w:tc>
      </w:tr>
      <w:tr>
        <w:tc>
          <w:tcPr>
            <w:tcW w:type="dxa" w:w="2880"/>
          </w:tcPr>
          <w:p>
            <w:r>
              <w:rPr>
                <w:sz w:val="20"/>
              </w:rPr>
              <w:t>PDF</w:t>
            </w:r>
          </w:p>
        </w:tc>
        <w:tc>
          <w:tcPr>
            <w:tcW w:type="dxa" w:w="2880"/>
          </w:tcPr>
          <w:p>
            <w:r>
              <w:rPr>
                <w:sz w:val="20"/>
              </w:rPr>
              <w:t>Printable clinical documentation</w:t>
            </w:r>
          </w:p>
        </w:tc>
        <w:tc>
          <w:tcPr>
            <w:tcW w:type="dxa" w:w="2880"/>
          </w:tcPr>
          <w:p>
            <w:r>
              <w:rPr>
                <w:sz w:val="20"/>
              </w:rPr>
              <w:t>Styled report with PGx Passport format, color-coded alert summary, institutional branding</w:t>
            </w:r>
          </w:p>
        </w:tc>
      </w:tr>
      <w:tr>
        <w:tc>
          <w:tcPr>
            <w:tcW w:type="dxa" w:w="2880"/>
          </w:tcPr>
          <w:p>
            <w:r>
              <w:rPr>
                <w:sz w:val="20"/>
              </w:rPr>
              <w:t>FHIR R4</w:t>
            </w:r>
          </w:p>
        </w:tc>
        <w:tc>
          <w:tcPr>
            <w:tcW w:type="dxa" w:w="2880"/>
          </w:tcPr>
          <w:p>
            <w:r>
              <w:rPr>
                <w:sz w:val="20"/>
              </w:rPr>
              <w:t>EHR integration</w:t>
            </w:r>
          </w:p>
        </w:tc>
        <w:tc>
          <w:tcPr>
            <w:tcW w:type="dxa" w:w="2880"/>
          </w:tcPr>
          <w:p>
            <w:r>
              <w:rPr>
                <w:sz w:val="20"/>
              </w:rPr>
              <w:t>DiagnosticReport Bundle with LOINC 69548-6 PGx Observations, Medication resources, and ServiceRequest references</w:t>
            </w:r>
          </w:p>
        </w:tc>
      </w:tr>
    </w:tbl>
    <w:p>
      <w:r>
        <w:t>The FHIR R4 export is particularly important for institutional adoption, as it enables integration with FHIR-compatible EHR systems (Epic, Cerner, Meditech) via standard APIs.</w:t>
      </w:r>
    </w:p>
    <w:p>
      <w:pPr>
        <w:pStyle w:val="Heading2"/>
      </w:pPr>
      <w:r>
        <w:t>8. Deployment</w:t>
      </w:r>
    </w:p>
    <w:p>
      <w:r>
        <w:t>The system deploys via Docker Compose with 6 services (etcd, MinIO, Milvus, Streamlit UI, FastAPI API, one-shot setup) on an NVIDIA DGX Spark workstation. All services are containerized with health checks and restart policies. The one-shot setup service creates all 15 Milvus collections, seeds 240 records, and exits.</w:t>
      </w:r>
    </w:p>
    <w:p>
      <w:r>
        <w:t>Environment variables with PGX_ prefix configure all settings (Milvus host/port, LLM model, embedding model, search weights, scheduler interval). The only required secret is ANTHROPIC_API_KEY for LLM access.</w:t>
      </w:r>
    </w:p>
    <w:p>
      <w:pPr>
        <w:pStyle w:val="Heading2"/>
      </w:pPr>
      <w:r>
        <w:t>9. Discussion</w:t>
      </w:r>
    </w:p>
    <w:p>
      <w:pPr>
        <w:pStyle w:val="Heading3"/>
      </w:pPr>
      <w:r>
        <w:t>9.1 Comparison with Existing PGx Solutions</w:t>
      </w:r>
    </w:p>
    <w:p>
      <w:r>
        <w:t>The PGx Intelligence Agent occupies a unique position in the pharmacogenomics decision support landscape. Several commercial and academic solutions exist, each with distinct strengths and limitations:</w:t>
      </w:r>
    </w:p>
    <w:p>
      <w:r>
        <w:t>OneOme RightMed. OneOme provides a commercial PGx decision support platform with EHR integration (Epic, Cerner). RightMed tests 27 genes and provides prescribing recommendations through a web portal and EHR-embedded CDS alerts. Strengths include CLIA-certified testing and established payer contracts. Limitations include proprietary algorithms with no transparency, per-patient licensing costs ($300-500 per report), no phenoconversion modeling, and no conversational interface for clinician queries. The PGx Intelligence Agent offers comparable gene coverage (25 pharmacogenes) with open-source algorithms, phenoconversion detection, and a natural-language query interface -- all at zero per-patient cost after initial deployment.</w:t>
      </w:r>
    </w:p>
    <w:p>
      <w:r>
        <w:t>Myriad GeneSight. GeneSight provides PGx-guided medication selection for psychiatric medications, focusing on CYP2D6, CYP2C19, CYP2C9, CYP1A2, CYP3A4, SLC6A4, HTR2A, and MTHFR. The GUIDED trial (Greden et al., J Clin Psychiatry 2019) showed modest improvement in depression outcomes with GeneSight-guided prescribing. Limitations include narrow scope (psychiatry only), no HLA screening, no dosing algorithms, and a categorical "green/yellow/red" system that oversimplifies complex multi-gene interactions. The PGx Intelligence Agent covers all drug classes with quantitative dosing algorithms and nuanced multi-gene interaction analysis.</w:t>
      </w:r>
    </w:p>
    <w:p>
      <w:r>
        <w:t>Genomind Genecept. Genomind offers PGx testing for psychiatry and pain management, testing 24 genes with proprietary algorithms. Similar to GeneSight, it focuses on psychiatric applications and lacks the breadth of a comprehensive PGx platform.</w:t>
      </w:r>
    </w:p>
    <w:p>
      <w:r>
        <w:t>PharmCAT (CPIC Pharmacogenomics Clinical Annotation Tool). PharmCAT is an open-source tool developed by CPIC/PharmGKB that translates VCF genotype calls to CPIC guideline recommendations. PharmCAT excels at automated genotype-to-phenotype translation and CPIC guideline application but does not provide a conversational interface, phenoconversion modeling, HLA screening, dosing algorithms, or evidence retrieval. The PGx Intelligence Agent integrates PharmCAT-equivalent functionality (star allele calling, phenotype translation) with RAG-based evidence retrieval and LLM-powered synthesis.</w:t>
      </w:r>
    </w:p>
    <w:p>
      <w:r>
        <w:t>Comparison Summary:</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Feature</w:t>
            </w:r>
          </w:p>
        </w:tc>
        <w:tc>
          <w:tcPr>
            <w:tcW w:type="dxa" w:w="1728"/>
          </w:tcPr>
          <w:p>
            <w:r>
              <w:rPr>
                <w:b/>
                <w:sz w:val="20"/>
              </w:rPr>
              <w:t>OneOme RightMed</w:t>
            </w:r>
          </w:p>
        </w:tc>
        <w:tc>
          <w:tcPr>
            <w:tcW w:type="dxa" w:w="1728"/>
          </w:tcPr>
          <w:p>
            <w:r>
              <w:rPr>
                <w:b/>
                <w:sz w:val="20"/>
              </w:rPr>
              <w:t>Myriad GeneSight</w:t>
            </w:r>
          </w:p>
        </w:tc>
        <w:tc>
          <w:tcPr>
            <w:tcW w:type="dxa" w:w="1728"/>
          </w:tcPr>
          <w:p>
            <w:r>
              <w:rPr>
                <w:b/>
                <w:sz w:val="20"/>
              </w:rPr>
              <w:t>PharmCAT</w:t>
            </w:r>
          </w:p>
        </w:tc>
        <w:tc>
          <w:tcPr>
            <w:tcW w:type="dxa" w:w="1728"/>
          </w:tcPr>
          <w:p>
            <w:r>
              <w:rPr>
                <w:b/>
                <w:sz w:val="20"/>
              </w:rPr>
              <w:t>PGx Intelligence Agent</w:t>
            </w:r>
          </w:p>
        </w:tc>
      </w:tr>
      <w:tr>
        <w:tc>
          <w:tcPr>
            <w:tcW w:type="dxa" w:w="1728"/>
          </w:tcPr>
          <w:p>
            <w:r>
              <w:rPr>
                <w:sz w:val="20"/>
              </w:rPr>
              <w:t>Pharmacogenes</w:t>
            </w:r>
          </w:p>
        </w:tc>
        <w:tc>
          <w:tcPr>
            <w:tcW w:type="dxa" w:w="1728"/>
          </w:tcPr>
          <w:p>
            <w:r>
              <w:rPr>
                <w:sz w:val="20"/>
              </w:rPr>
              <w:t>27</w:t>
            </w:r>
          </w:p>
        </w:tc>
        <w:tc>
          <w:tcPr>
            <w:tcW w:type="dxa" w:w="1728"/>
          </w:tcPr>
          <w:p>
            <w:r>
              <w:rPr>
                <w:sz w:val="20"/>
              </w:rPr>
              <w:t>8</w:t>
            </w:r>
          </w:p>
        </w:tc>
        <w:tc>
          <w:tcPr>
            <w:tcW w:type="dxa" w:w="1728"/>
          </w:tcPr>
          <w:p>
            <w:r>
              <w:rPr>
                <w:sz w:val="20"/>
              </w:rPr>
              <w:t>20+</w:t>
            </w:r>
          </w:p>
        </w:tc>
        <w:tc>
          <w:tcPr>
            <w:tcW w:type="dxa" w:w="1728"/>
          </w:tcPr>
          <w:p>
            <w:r>
              <w:rPr>
                <w:sz w:val="20"/>
              </w:rPr>
              <w:t>25</w:t>
            </w:r>
          </w:p>
        </w:tc>
      </w:tr>
      <w:tr>
        <w:tc>
          <w:tcPr>
            <w:tcW w:type="dxa" w:w="1728"/>
          </w:tcPr>
          <w:p>
            <w:r>
              <w:rPr>
                <w:sz w:val="20"/>
              </w:rPr>
              <w:t>Drug scope</w:t>
            </w:r>
          </w:p>
        </w:tc>
        <w:tc>
          <w:tcPr>
            <w:tcW w:type="dxa" w:w="1728"/>
          </w:tcPr>
          <w:p>
            <w:r>
              <w:rPr>
                <w:sz w:val="20"/>
              </w:rPr>
              <w:t>All classes</w:t>
            </w:r>
          </w:p>
        </w:tc>
        <w:tc>
          <w:tcPr>
            <w:tcW w:type="dxa" w:w="1728"/>
          </w:tcPr>
          <w:p>
            <w:r>
              <w:rPr>
                <w:sz w:val="20"/>
              </w:rPr>
              <w:t>Psychiatry only</w:t>
            </w:r>
          </w:p>
        </w:tc>
        <w:tc>
          <w:tcPr>
            <w:tcW w:type="dxa" w:w="1728"/>
          </w:tcPr>
          <w:p>
            <w:r>
              <w:rPr>
                <w:sz w:val="20"/>
              </w:rPr>
              <w:t>All classes</w:t>
            </w:r>
          </w:p>
        </w:tc>
        <w:tc>
          <w:tcPr>
            <w:tcW w:type="dxa" w:w="1728"/>
          </w:tcPr>
          <w:p>
            <w:r>
              <w:rPr>
                <w:sz w:val="20"/>
              </w:rPr>
              <w:t>All classes</w:t>
            </w:r>
          </w:p>
        </w:tc>
      </w:tr>
      <w:tr>
        <w:tc>
          <w:tcPr>
            <w:tcW w:type="dxa" w:w="1728"/>
          </w:tcPr>
          <w:p>
            <w:r>
              <w:rPr>
                <w:sz w:val="20"/>
              </w:rPr>
              <w:t>Phenoconversion</w:t>
            </w:r>
          </w:p>
        </w:tc>
        <w:tc>
          <w:tcPr>
            <w:tcW w:type="dxa" w:w="1728"/>
          </w:tcPr>
          <w:p>
            <w:r>
              <w:rPr>
                <w:sz w:val="20"/>
              </w:rPr>
              <w:t>No</w:t>
            </w:r>
          </w:p>
        </w:tc>
        <w:tc>
          <w:tcPr>
            <w:tcW w:type="dxa" w:w="1728"/>
          </w:tcPr>
          <w:p>
            <w:r>
              <w:rPr>
                <w:sz w:val="20"/>
              </w:rPr>
              <w:t>No</w:t>
            </w:r>
          </w:p>
        </w:tc>
        <w:tc>
          <w:tcPr>
            <w:tcW w:type="dxa" w:w="1728"/>
          </w:tcPr>
          <w:p>
            <w:r>
              <w:rPr>
                <w:sz w:val="20"/>
              </w:rPr>
              <w:t>No</w:t>
            </w:r>
          </w:p>
        </w:tc>
        <w:tc>
          <w:tcPr>
            <w:tcW w:type="dxa" w:w="1728"/>
          </w:tcPr>
          <w:p>
            <w:r>
              <w:rPr>
                <w:sz w:val="20"/>
              </w:rPr>
              <w:t>Yes (30+ inhibitors/inducers)</w:t>
            </w:r>
          </w:p>
        </w:tc>
      </w:tr>
      <w:tr>
        <w:tc>
          <w:tcPr>
            <w:tcW w:type="dxa" w:w="1728"/>
          </w:tcPr>
          <w:p>
            <w:r>
              <w:rPr>
                <w:sz w:val="20"/>
              </w:rPr>
              <w:t>HLA screening</w:t>
            </w:r>
          </w:p>
        </w:tc>
        <w:tc>
          <w:tcPr>
            <w:tcW w:type="dxa" w:w="1728"/>
          </w:tcPr>
          <w:p>
            <w:r>
              <w:rPr>
                <w:sz w:val="20"/>
              </w:rPr>
              <w:t>Limited</w:t>
            </w:r>
          </w:p>
        </w:tc>
        <w:tc>
          <w:tcPr>
            <w:tcW w:type="dxa" w:w="1728"/>
          </w:tcPr>
          <w:p>
            <w:r>
              <w:rPr>
                <w:sz w:val="20"/>
              </w:rPr>
              <w:t>No</w:t>
            </w:r>
          </w:p>
        </w:tc>
        <w:tc>
          <w:tcPr>
            <w:tcW w:type="dxa" w:w="1728"/>
          </w:tcPr>
          <w:p>
            <w:r>
              <w:rPr>
                <w:sz w:val="20"/>
              </w:rPr>
              <w:t>No</w:t>
            </w:r>
          </w:p>
        </w:tc>
        <w:tc>
          <w:tcPr>
            <w:tcW w:type="dxa" w:w="1728"/>
          </w:tcPr>
          <w:p>
            <w:r>
              <w:rPr>
                <w:sz w:val="20"/>
              </w:rPr>
              <w:t>Yes (15 HLA-drug pairs)</w:t>
            </w:r>
          </w:p>
        </w:tc>
      </w:tr>
      <w:tr>
        <w:tc>
          <w:tcPr>
            <w:tcW w:type="dxa" w:w="1728"/>
          </w:tcPr>
          <w:p>
            <w:r>
              <w:rPr>
                <w:sz w:val="20"/>
              </w:rPr>
              <w:t>Dosing algorithms</w:t>
            </w:r>
          </w:p>
        </w:tc>
        <w:tc>
          <w:tcPr>
            <w:tcW w:type="dxa" w:w="1728"/>
          </w:tcPr>
          <w:p>
            <w:r>
              <w:rPr>
                <w:sz w:val="20"/>
              </w:rPr>
              <w:t>Proprietary</w:t>
            </w:r>
          </w:p>
        </w:tc>
        <w:tc>
          <w:tcPr>
            <w:tcW w:type="dxa" w:w="1728"/>
          </w:tcPr>
          <w:p>
            <w:r>
              <w:rPr>
                <w:sz w:val="20"/>
              </w:rPr>
              <w:t>No</w:t>
            </w:r>
          </w:p>
        </w:tc>
        <w:tc>
          <w:tcPr>
            <w:tcW w:type="dxa" w:w="1728"/>
          </w:tcPr>
          <w:p>
            <w:r>
              <w:rPr>
                <w:sz w:val="20"/>
              </w:rPr>
              <w:t>No</w:t>
            </w:r>
          </w:p>
        </w:tc>
        <w:tc>
          <w:tcPr>
            <w:tcW w:type="dxa" w:w="1728"/>
          </w:tcPr>
          <w:p>
            <w:r>
              <w:rPr>
                <w:sz w:val="20"/>
              </w:rPr>
              <w:t>9 genotype-guided (open)</w:t>
            </w:r>
          </w:p>
        </w:tc>
      </w:tr>
      <w:tr>
        <w:tc>
          <w:tcPr>
            <w:tcW w:type="dxa" w:w="1728"/>
          </w:tcPr>
          <w:p>
            <w:r>
              <w:rPr>
                <w:sz w:val="20"/>
              </w:rPr>
              <w:t>Conversational interface</w:t>
            </w:r>
          </w:p>
        </w:tc>
        <w:tc>
          <w:tcPr>
            <w:tcW w:type="dxa" w:w="1728"/>
          </w:tcPr>
          <w:p>
            <w:r>
              <w:rPr>
                <w:sz w:val="20"/>
              </w:rPr>
              <w:t>No</w:t>
            </w:r>
          </w:p>
        </w:tc>
        <w:tc>
          <w:tcPr>
            <w:tcW w:type="dxa" w:w="1728"/>
          </w:tcPr>
          <w:p>
            <w:r>
              <w:rPr>
                <w:sz w:val="20"/>
              </w:rPr>
              <w:t>No</w:t>
            </w:r>
          </w:p>
        </w:tc>
        <w:tc>
          <w:tcPr>
            <w:tcW w:type="dxa" w:w="1728"/>
          </w:tcPr>
          <w:p>
            <w:r>
              <w:rPr>
                <w:sz w:val="20"/>
              </w:rPr>
              <w:t>No</w:t>
            </w:r>
          </w:p>
        </w:tc>
        <w:tc>
          <w:tcPr>
            <w:tcW w:type="dxa" w:w="1728"/>
          </w:tcPr>
          <w:p>
            <w:r>
              <w:rPr>
                <w:sz w:val="20"/>
              </w:rPr>
              <w:t>Yes (RAG + LLM)</w:t>
            </w:r>
          </w:p>
        </w:tc>
      </w:tr>
      <w:tr>
        <w:tc>
          <w:tcPr>
            <w:tcW w:type="dxa" w:w="1728"/>
          </w:tcPr>
          <w:p>
            <w:r>
              <w:rPr>
                <w:sz w:val="20"/>
              </w:rPr>
              <w:t>EHR integration</w:t>
            </w:r>
          </w:p>
        </w:tc>
        <w:tc>
          <w:tcPr>
            <w:tcW w:type="dxa" w:w="1728"/>
          </w:tcPr>
          <w:p>
            <w:r>
              <w:rPr>
                <w:sz w:val="20"/>
              </w:rPr>
              <w:t>Epic, Cerner</w:t>
            </w:r>
          </w:p>
        </w:tc>
        <w:tc>
          <w:tcPr>
            <w:tcW w:type="dxa" w:w="1728"/>
          </w:tcPr>
          <w:p>
            <w:r>
              <w:rPr>
                <w:sz w:val="20"/>
              </w:rPr>
              <w:t>Epic, Cerner</w:t>
            </w:r>
          </w:p>
        </w:tc>
        <w:tc>
          <w:tcPr>
            <w:tcW w:type="dxa" w:w="1728"/>
          </w:tcPr>
          <w:p>
            <w:r>
              <w:rPr>
                <w:sz w:val="20"/>
              </w:rPr>
              <w:t>FHIR R4 output</w:t>
            </w:r>
          </w:p>
        </w:tc>
        <w:tc>
          <w:tcPr>
            <w:tcW w:type="dxa" w:w="1728"/>
          </w:tcPr>
          <w:p>
            <w:r>
              <w:rPr>
                <w:sz w:val="20"/>
              </w:rPr>
              <w:t>FHIR R4 output</w:t>
            </w:r>
          </w:p>
        </w:tc>
      </w:tr>
      <w:tr>
        <w:tc>
          <w:tcPr>
            <w:tcW w:type="dxa" w:w="1728"/>
          </w:tcPr>
          <w:p>
            <w:r>
              <w:rPr>
                <w:sz w:val="20"/>
              </w:rPr>
              <w:t>Open source</w:t>
            </w:r>
          </w:p>
        </w:tc>
        <w:tc>
          <w:tcPr>
            <w:tcW w:type="dxa" w:w="1728"/>
          </w:tcPr>
          <w:p>
            <w:r>
              <w:rPr>
                <w:sz w:val="20"/>
              </w:rPr>
              <w:t>No</w:t>
            </w:r>
          </w:p>
        </w:tc>
        <w:tc>
          <w:tcPr>
            <w:tcW w:type="dxa" w:w="1728"/>
          </w:tcPr>
          <w:p>
            <w:r>
              <w:rPr>
                <w:sz w:val="20"/>
              </w:rPr>
              <w:t>No</w:t>
            </w:r>
          </w:p>
        </w:tc>
        <w:tc>
          <w:tcPr>
            <w:tcW w:type="dxa" w:w="1728"/>
          </w:tcPr>
          <w:p>
            <w:r>
              <w:rPr>
                <w:sz w:val="20"/>
              </w:rPr>
              <w:t>Yes</w:t>
            </w:r>
          </w:p>
        </w:tc>
        <w:tc>
          <w:tcPr>
            <w:tcW w:type="dxa" w:w="1728"/>
          </w:tcPr>
          <w:p>
            <w:r>
              <w:rPr>
                <w:sz w:val="20"/>
              </w:rPr>
              <w:t>Yes</w:t>
            </w:r>
          </w:p>
        </w:tc>
      </w:tr>
      <w:tr>
        <w:tc>
          <w:tcPr>
            <w:tcW w:type="dxa" w:w="1728"/>
          </w:tcPr>
          <w:p>
            <w:r>
              <w:rPr>
                <w:sz w:val="20"/>
              </w:rPr>
              <w:t>Per-patient cost</w:t>
            </w:r>
          </w:p>
        </w:tc>
        <w:tc>
          <w:tcPr>
            <w:tcW w:type="dxa" w:w="1728"/>
          </w:tcPr>
          <w:p>
            <w:r>
              <w:rPr>
                <w:sz w:val="20"/>
              </w:rPr>
              <w:t>$300-500</w:t>
            </w:r>
          </w:p>
        </w:tc>
        <w:tc>
          <w:tcPr>
            <w:tcW w:type="dxa" w:w="1728"/>
          </w:tcPr>
          <w:p>
            <w:r>
              <w:rPr>
                <w:sz w:val="20"/>
              </w:rPr>
              <w:t>$300-400</w:t>
            </w:r>
          </w:p>
        </w:tc>
        <w:tc>
          <w:tcPr>
            <w:tcW w:type="dxa" w:w="1728"/>
          </w:tcPr>
          <w:p>
            <w:r>
              <w:rPr>
                <w:sz w:val="20"/>
              </w:rPr>
              <w:t>Free</w:t>
            </w:r>
          </w:p>
        </w:tc>
        <w:tc>
          <w:tcPr>
            <w:tcW w:type="dxa" w:w="1728"/>
          </w:tcPr>
          <w:p>
            <w:r>
              <w:rPr>
                <w:sz w:val="20"/>
              </w:rPr>
              <w:t>Free</w:t>
            </w:r>
          </w:p>
        </w:tc>
      </w:tr>
      <w:tr>
        <w:tc>
          <w:tcPr>
            <w:tcW w:type="dxa" w:w="1728"/>
          </w:tcPr>
          <w:p>
            <w:r>
              <w:rPr>
                <w:sz w:val="20"/>
              </w:rPr>
              <w:t>Evidence citation</w:t>
            </w:r>
          </w:p>
        </w:tc>
        <w:tc>
          <w:tcPr>
            <w:tcW w:type="dxa" w:w="1728"/>
          </w:tcPr>
          <w:p>
            <w:r>
              <w:rPr>
                <w:sz w:val="20"/>
              </w:rPr>
              <w:t>Limited</w:t>
            </w:r>
          </w:p>
        </w:tc>
        <w:tc>
          <w:tcPr>
            <w:tcW w:type="dxa" w:w="1728"/>
          </w:tcPr>
          <w:p>
            <w:r>
              <w:rPr>
                <w:sz w:val="20"/>
              </w:rPr>
              <w:t>Proprietary</w:t>
            </w:r>
          </w:p>
        </w:tc>
        <w:tc>
          <w:tcPr>
            <w:tcW w:type="dxa" w:w="1728"/>
          </w:tcPr>
          <w:p>
            <w:r>
              <w:rPr>
                <w:sz w:val="20"/>
              </w:rPr>
              <w:t>CPIC only</w:t>
            </w:r>
          </w:p>
        </w:tc>
        <w:tc>
          <w:tcPr>
            <w:tcW w:type="dxa" w:w="1728"/>
          </w:tcPr>
          <w:p>
            <w:r>
              <w:rPr>
                <w:sz w:val="20"/>
              </w:rPr>
              <w:t>CPIC, PharmGKB, FDA, PubMed, clinical trials</w:t>
            </w:r>
          </w:p>
        </w:tc>
      </w:tr>
    </w:tbl>
    <w:p>
      <w:pPr>
        <w:pStyle w:val="Heading3"/>
      </w:pPr>
      <w:r>
        <w:t>9.2 Advantages Over Existing PGx Tools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Feature</w:t>
            </w:r>
          </w:p>
        </w:tc>
        <w:tc>
          <w:tcPr>
            <w:tcW w:type="dxa" w:w="2880"/>
          </w:tcPr>
          <w:p>
            <w:r>
              <w:rPr>
                <w:b/>
                <w:sz w:val="20"/>
              </w:rPr>
              <w:t>Existing Tools</w:t>
            </w:r>
          </w:p>
        </w:tc>
        <w:tc>
          <w:tcPr>
            <w:tcW w:type="dxa" w:w="2880"/>
          </w:tcPr>
          <w:p>
            <w:r>
              <w:rPr>
                <w:b/>
                <w:sz w:val="20"/>
              </w:rPr>
              <w:t>PGx Intelligence Agent</w:t>
            </w:r>
          </w:p>
        </w:tc>
      </w:tr>
      <w:tr>
        <w:tc>
          <w:tcPr>
            <w:tcW w:type="dxa" w:w="2880"/>
          </w:tcPr>
          <w:p>
            <w:r>
              <w:rPr>
                <w:sz w:val="20"/>
              </w:rPr>
              <w:t>Star allele interpretation</w:t>
            </w:r>
          </w:p>
        </w:tc>
        <w:tc>
          <w:tcPr>
            <w:tcW w:type="dxa" w:w="2880"/>
          </w:tcPr>
          <w:p>
            <w:r>
              <w:rPr>
                <w:sz w:val="20"/>
              </w:rPr>
              <w:t>Standalone tools (Stargazer, Cyrius)</w:t>
            </w:r>
          </w:p>
        </w:tc>
        <w:tc>
          <w:tcPr>
            <w:tcW w:type="dxa" w:w="2880"/>
          </w:tcPr>
          <w:p>
            <w:r>
              <w:rPr>
                <w:sz w:val="20"/>
              </w:rPr>
              <w:t>Integrated with prescribing recommendations</w:t>
            </w:r>
          </w:p>
        </w:tc>
      </w:tr>
      <w:tr>
        <w:tc>
          <w:tcPr>
            <w:tcW w:type="dxa" w:w="2880"/>
          </w:tcPr>
          <w:p>
            <w:r>
              <w:rPr>
                <w:sz w:val="20"/>
              </w:rPr>
              <w:t>Guideline lookup</w:t>
            </w:r>
          </w:p>
        </w:tc>
        <w:tc>
          <w:tcPr>
            <w:tcW w:type="dxa" w:w="2880"/>
          </w:tcPr>
          <w:p>
            <w:r>
              <w:rPr>
                <w:sz w:val="20"/>
              </w:rPr>
              <w:t>Manual CPIC PDF review</w:t>
            </w:r>
          </w:p>
        </w:tc>
        <w:tc>
          <w:tcPr>
            <w:tcW w:type="dxa" w:w="2880"/>
          </w:tcPr>
          <w:p>
            <w:r>
              <w:rPr>
                <w:sz w:val="20"/>
              </w:rPr>
              <w:t>Automated RAG retrieval with LLM synthesis</w:t>
            </w:r>
          </w:p>
        </w:tc>
      </w:tr>
      <w:tr>
        <w:tc>
          <w:tcPr>
            <w:tcW w:type="dxa" w:w="2880"/>
          </w:tcPr>
          <w:p>
            <w:r>
              <w:rPr>
                <w:sz w:val="20"/>
              </w:rPr>
              <w:t>Drug interaction check</w:t>
            </w:r>
          </w:p>
        </w:tc>
        <w:tc>
          <w:tcPr>
            <w:tcW w:type="dxa" w:w="2880"/>
          </w:tcPr>
          <w:p>
            <w:r>
              <w:rPr>
                <w:sz w:val="20"/>
              </w:rPr>
              <w:t>Drug-drug only</w:t>
            </w:r>
          </w:p>
        </w:tc>
        <w:tc>
          <w:tcPr>
            <w:tcW w:type="dxa" w:w="2880"/>
          </w:tcPr>
          <w:p>
            <w:r>
              <w:rPr>
                <w:sz w:val="20"/>
              </w:rPr>
              <w:t>Drug-drug-gene (phenoconversion)</w:t>
            </w:r>
          </w:p>
        </w:tc>
      </w:tr>
      <w:tr>
        <w:tc>
          <w:tcPr>
            <w:tcW w:type="dxa" w:w="2880"/>
          </w:tcPr>
          <w:p>
            <w:r>
              <w:rPr>
                <w:sz w:val="20"/>
              </w:rPr>
              <w:t>HLA screening</w:t>
            </w:r>
          </w:p>
        </w:tc>
        <w:tc>
          <w:tcPr>
            <w:tcW w:type="dxa" w:w="2880"/>
          </w:tcPr>
          <w:p>
            <w:r>
              <w:rPr>
                <w:sz w:val="20"/>
              </w:rPr>
              <w:t>Separate HLA databases</w:t>
            </w:r>
          </w:p>
        </w:tc>
        <w:tc>
          <w:tcPr>
            <w:tcW w:type="dxa" w:w="2880"/>
          </w:tcPr>
          <w:p>
            <w:r>
              <w:rPr>
                <w:sz w:val="20"/>
              </w:rPr>
              <w:t>Integrated with PGx workflow</w:t>
            </w:r>
          </w:p>
        </w:tc>
      </w:tr>
      <w:tr>
        <w:tc>
          <w:tcPr>
            <w:tcW w:type="dxa" w:w="2880"/>
          </w:tcPr>
          <w:p>
            <w:r>
              <w:rPr>
                <w:sz w:val="20"/>
              </w:rPr>
              <w:t>Dosing</w:t>
            </w:r>
          </w:p>
        </w:tc>
        <w:tc>
          <w:tcPr>
            <w:tcW w:type="dxa" w:w="2880"/>
          </w:tcPr>
          <w:p>
            <w:r>
              <w:rPr>
                <w:sz w:val="20"/>
              </w:rPr>
              <w:t>Fixed dose tables</w:t>
            </w:r>
          </w:p>
        </w:tc>
        <w:tc>
          <w:tcPr>
            <w:tcW w:type="dxa" w:w="2880"/>
          </w:tcPr>
          <w:p>
            <w:r>
              <w:rPr>
                <w:sz w:val="20"/>
              </w:rPr>
              <w:t>Validated algorithms with patient-specific calculations</w:t>
            </w:r>
          </w:p>
        </w:tc>
      </w:tr>
      <w:tr>
        <w:tc>
          <w:tcPr>
            <w:tcW w:type="dxa" w:w="2880"/>
          </w:tcPr>
          <w:p>
            <w:r>
              <w:rPr>
                <w:sz w:val="20"/>
              </w:rPr>
              <w:t>Population context</w:t>
            </w:r>
          </w:p>
        </w:tc>
        <w:tc>
          <w:tcPr>
            <w:tcW w:type="dxa" w:w="2880"/>
          </w:tcPr>
          <w:p>
            <w:r>
              <w:rPr>
                <w:sz w:val="20"/>
              </w:rPr>
              <w:t>Separate allele frequency databases</w:t>
            </w:r>
          </w:p>
        </w:tc>
        <w:tc>
          <w:tcPr>
            <w:tcW w:type="dxa" w:w="2880"/>
          </w:tcPr>
          <w:p>
            <w:r>
              <w:rPr>
                <w:sz w:val="20"/>
              </w:rPr>
              <w:t>Integrated with clinical interpretation</w:t>
            </w:r>
          </w:p>
        </w:tc>
      </w:tr>
    </w:tbl>
    <w:p>
      <w:pPr>
        <w:pStyle w:val="Heading3"/>
      </w:pPr>
      <w:r>
        <w:t>9.3 Limitations</w:t>
      </w:r>
    </w:p>
    <w:p>
      <w:pPr>
        <w:pStyle w:val="ListNumber"/>
      </w:pPr>
      <w:r>
        <w:t>Star allele calling for CYP2D6 structural variants (deletions, duplications, hybrids) requires upstream whole-gene analysis tools.</w:t>
      </w:r>
    </w:p>
    <w:p>
      <w:pPr>
        <w:pStyle w:val="ListNumber"/>
      </w:pPr>
      <w:r>
        <w:t>Dosing algorithms are validated for adult populations; pediatric dose adjustments require additional modeling.</w:t>
      </w:r>
    </w:p>
    <w:p>
      <w:pPr>
        <w:pStyle w:val="ListNumber"/>
      </w:pPr>
      <w:r>
        <w:t>FHIR R4 export is informational; full EHR integration requires CDS Hooks implementation.</w:t>
      </w:r>
    </w:p>
    <w:p>
      <w:pPr>
        <w:pStyle w:val="ListNumber"/>
      </w:pPr>
      <w:r>
        <w:t>The system is designed for clinical decision support, not autonomous prescribing.</w:t>
      </w:r>
    </w:p>
    <w:p>
      <w:pPr>
        <w:pStyle w:val="ListNumber"/>
      </w:pPr>
      <w:r>
        <w:t>LLM-generated synthesis requires clinician review; the system does not replace clinical judgment.</w:t>
      </w:r>
    </w:p>
    <w:p>
      <w:pPr>
        <w:pStyle w:val="ListNumber"/>
      </w:pPr>
      <w:r>
        <w:t>Seed data (240 records) provides demonstration-quality coverage; production deployment should be augmented with full CPIC, PharmGKB, and PharmVar databases via the automated ingest pipelines.</w:t>
      </w:r>
    </w:p>
    <w:p>
      <w:pPr>
        <w:pStyle w:val="Heading3"/>
      </w:pPr>
      <w:r>
        <w:t>7.4 Ingest Pipeline Capacity</w:t>
      </w:r>
    </w:p>
    <w:p>
      <w:r>
        <w:t>The 8 ingest parsers support both initial seeding and continuous updates: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20"/>
              </w:rPr>
              <w:t>Parser</w:t>
            </w:r>
          </w:p>
        </w:tc>
        <w:tc>
          <w:tcPr>
            <w:tcW w:type="dxa" w:w="1728"/>
          </w:tcPr>
          <w:p>
            <w:r>
              <w:rPr>
                <w:b/>
                <w:sz w:val="20"/>
              </w:rPr>
              <w:t>Source</w:t>
            </w:r>
          </w:p>
        </w:tc>
        <w:tc>
          <w:tcPr>
            <w:tcW w:type="dxa" w:w="1728"/>
          </w:tcPr>
          <w:p>
            <w:r>
              <w:rPr>
                <w:b/>
                <w:sz w:val="20"/>
              </w:rPr>
              <w:t>Records (Seed)</w:t>
            </w:r>
          </w:p>
        </w:tc>
        <w:tc>
          <w:tcPr>
            <w:tcW w:type="dxa" w:w="1728"/>
          </w:tcPr>
          <w:p>
            <w:r>
              <w:rPr>
                <w:b/>
                <w:sz w:val="20"/>
              </w:rPr>
              <w:t>Records (Full Ingest Est.)</w:t>
            </w:r>
          </w:p>
        </w:tc>
        <w:tc>
          <w:tcPr>
            <w:tcW w:type="dxa" w:w="1728"/>
          </w:tcPr>
          <w:p>
            <w:r>
              <w:rPr>
                <w:b/>
                <w:sz w:val="20"/>
              </w:rPr>
              <w:t>Cadence</w:t>
            </w:r>
          </w:p>
        </w:tc>
      </w:tr>
      <w:tr>
        <w:tc>
          <w:tcPr>
            <w:tcW w:type="dxa" w:w="1728"/>
          </w:tcPr>
          <w:p>
            <w:r>
              <w:rPr>
                <w:sz w:val="20"/>
              </w:rPr>
              <w:t>Base Parser</w:t>
            </w:r>
          </w:p>
        </w:tc>
        <w:tc>
          <w:tcPr>
            <w:tcW w:type="dxa" w:w="1728"/>
          </w:tcPr>
          <w:p>
            <w:r>
              <w:rPr>
                <w:sz w:val="20"/>
              </w:rPr>
              <w:t>Local JSON</w:t>
            </w:r>
          </w:p>
        </w:tc>
        <w:tc>
          <w:tcPr>
            <w:tcW w:type="dxa" w:w="1728"/>
          </w:tcPr>
          <w:p>
            <w:r>
              <w:rPr>
                <w:sz w:val="20"/>
              </w:rPr>
              <w:t>240</w:t>
            </w:r>
          </w:p>
        </w:tc>
        <w:tc>
          <w:tcPr>
            <w:tcW w:type="dxa" w:w="1728"/>
          </w:tcPr>
          <w:p>
            <w:r>
              <w:rPr>
                <w:sz w:val="20"/>
              </w:rPr>
              <w:t>240</w:t>
            </w:r>
          </w:p>
        </w:tc>
        <w:tc>
          <w:tcPr>
            <w:tcW w:type="dxa" w:w="1728"/>
          </w:tcPr>
          <w:p>
            <w:r>
              <w:rPr>
                <w:sz w:val="20"/>
              </w:rPr>
              <w:t>One-shot</w:t>
            </w:r>
          </w:p>
        </w:tc>
      </w:tr>
      <w:tr>
        <w:tc>
          <w:tcPr>
            <w:tcW w:type="dxa" w:w="1728"/>
          </w:tcPr>
          <w:p>
            <w:r>
              <w:rPr>
                <w:sz w:val="20"/>
              </w:rPr>
              <w:t>CPIC Parser</w:t>
            </w:r>
          </w:p>
        </w:tc>
        <w:tc>
          <w:tcPr>
            <w:tcW w:type="dxa" w:w="1728"/>
          </w:tcPr>
          <w:p>
            <w:r>
              <w:rPr>
                <w:sz w:val="20"/>
              </w:rPr>
              <w:t>CPIC API</w:t>
            </w:r>
          </w:p>
        </w:tc>
        <w:tc>
          <w:tcPr>
            <w:tcW w:type="dxa" w:w="1728"/>
          </w:tcPr>
          <w:p>
            <w:r>
              <w:rPr>
                <w:sz w:val="20"/>
              </w:rPr>
              <w:t>--</w:t>
            </w:r>
          </w:p>
        </w:tc>
        <w:tc>
          <w:tcPr>
            <w:tcW w:type="dxa" w:w="1728"/>
          </w:tcPr>
          <w:p>
            <w:r>
              <w:rPr>
                <w:sz w:val="20"/>
              </w:rPr>
              <w:t>500-1,000</w:t>
            </w:r>
          </w:p>
        </w:tc>
        <w:tc>
          <w:tcPr>
            <w:tcW w:type="dxa" w:w="1728"/>
          </w:tcPr>
          <w:p>
            <w:r>
              <w:rPr>
                <w:sz w:val="20"/>
              </w:rPr>
              <w:t>Quarterly</w:t>
            </w:r>
          </w:p>
        </w:tc>
      </w:tr>
      <w:tr>
        <w:tc>
          <w:tcPr>
            <w:tcW w:type="dxa" w:w="1728"/>
          </w:tcPr>
          <w:p>
            <w:r>
              <w:rPr>
                <w:sz w:val="20"/>
              </w:rPr>
              <w:t>PharmVar Parser</w:t>
            </w:r>
          </w:p>
        </w:tc>
        <w:tc>
          <w:tcPr>
            <w:tcW w:type="dxa" w:w="1728"/>
          </w:tcPr>
          <w:p>
            <w:r>
              <w:rPr>
                <w:sz w:val="20"/>
              </w:rPr>
              <w:t>PharmVar API</w:t>
            </w:r>
          </w:p>
        </w:tc>
        <w:tc>
          <w:tcPr>
            <w:tcW w:type="dxa" w:w="1728"/>
          </w:tcPr>
          <w:p>
            <w:r>
              <w:rPr>
                <w:sz w:val="20"/>
              </w:rPr>
              <w:t>--</w:t>
            </w:r>
          </w:p>
        </w:tc>
        <w:tc>
          <w:tcPr>
            <w:tcW w:type="dxa" w:w="1728"/>
          </w:tcPr>
          <w:p>
            <w:r>
              <w:rPr>
                <w:sz w:val="20"/>
              </w:rPr>
              <w:t>2,000-5,000</w:t>
            </w:r>
          </w:p>
        </w:tc>
        <w:tc>
          <w:tcPr>
            <w:tcW w:type="dxa" w:w="1728"/>
          </w:tcPr>
          <w:p>
            <w:r>
              <w:rPr>
                <w:sz w:val="20"/>
              </w:rPr>
              <w:t>Monthly</w:t>
            </w:r>
          </w:p>
        </w:tc>
      </w:tr>
      <w:tr>
        <w:tc>
          <w:tcPr>
            <w:tcW w:type="dxa" w:w="1728"/>
          </w:tcPr>
          <w:p>
            <w:r>
              <w:rPr>
                <w:sz w:val="20"/>
              </w:rPr>
              <w:t>PharmGKB Parser</w:t>
            </w:r>
          </w:p>
        </w:tc>
        <w:tc>
          <w:tcPr>
            <w:tcW w:type="dxa" w:w="1728"/>
          </w:tcPr>
          <w:p>
            <w:r>
              <w:rPr>
                <w:sz w:val="20"/>
              </w:rPr>
              <w:t>PharmGKB</w:t>
            </w:r>
          </w:p>
        </w:tc>
        <w:tc>
          <w:tcPr>
            <w:tcW w:type="dxa" w:w="1728"/>
          </w:tcPr>
          <w:p>
            <w:r>
              <w:rPr>
                <w:sz w:val="20"/>
              </w:rPr>
              <w:t>--</w:t>
            </w:r>
          </w:p>
        </w:tc>
        <w:tc>
          <w:tcPr>
            <w:tcW w:type="dxa" w:w="1728"/>
          </w:tcPr>
          <w:p>
            <w:r>
              <w:rPr>
                <w:sz w:val="20"/>
              </w:rPr>
              <w:t>5,000-10,000</w:t>
            </w:r>
          </w:p>
        </w:tc>
        <w:tc>
          <w:tcPr>
            <w:tcW w:type="dxa" w:w="1728"/>
          </w:tcPr>
          <w:p>
            <w:r>
              <w:rPr>
                <w:sz w:val="20"/>
              </w:rPr>
              <w:t>Monthly</w:t>
            </w:r>
          </w:p>
        </w:tc>
      </w:tr>
      <w:tr>
        <w:tc>
          <w:tcPr>
            <w:tcW w:type="dxa" w:w="1728"/>
          </w:tcPr>
          <w:p>
            <w:r>
              <w:rPr>
                <w:sz w:val="20"/>
              </w:rPr>
              <w:t>FDA Label Parser</w:t>
            </w:r>
          </w:p>
        </w:tc>
        <w:tc>
          <w:tcPr>
            <w:tcW w:type="dxa" w:w="1728"/>
          </w:tcPr>
          <w:p>
            <w:r>
              <w:rPr>
                <w:sz w:val="20"/>
              </w:rPr>
              <w:t>FDA DailyMed</w:t>
            </w:r>
          </w:p>
        </w:tc>
        <w:tc>
          <w:tcPr>
            <w:tcW w:type="dxa" w:w="1728"/>
          </w:tcPr>
          <w:p>
            <w:r>
              <w:rPr>
                <w:sz w:val="20"/>
              </w:rPr>
              <w:t>--</w:t>
            </w:r>
          </w:p>
        </w:tc>
        <w:tc>
          <w:tcPr>
            <w:tcW w:type="dxa" w:w="1728"/>
          </w:tcPr>
          <w:p>
            <w:r>
              <w:rPr>
                <w:sz w:val="20"/>
              </w:rPr>
              <w:t>350+</w:t>
            </w:r>
          </w:p>
        </w:tc>
        <w:tc>
          <w:tcPr>
            <w:tcW w:type="dxa" w:w="1728"/>
          </w:tcPr>
          <w:p>
            <w:r>
              <w:rPr>
                <w:sz w:val="20"/>
              </w:rPr>
              <w:t>Quarterly</w:t>
            </w:r>
          </w:p>
        </w:tc>
      </w:tr>
      <w:tr>
        <w:tc>
          <w:tcPr>
            <w:tcW w:type="dxa" w:w="1728"/>
          </w:tcPr>
          <w:p>
            <w:r>
              <w:rPr>
                <w:sz w:val="20"/>
              </w:rPr>
              <w:t>Population Parser</w:t>
            </w:r>
          </w:p>
        </w:tc>
        <w:tc>
          <w:tcPr>
            <w:tcW w:type="dxa" w:w="1728"/>
          </w:tcPr>
          <w:p>
            <w:r>
              <w:rPr>
                <w:sz w:val="20"/>
              </w:rPr>
              <w:t>Population DBs</w:t>
            </w:r>
          </w:p>
        </w:tc>
        <w:tc>
          <w:tcPr>
            <w:tcW w:type="dxa" w:w="1728"/>
          </w:tcPr>
          <w:p>
            <w:r>
              <w:rPr>
                <w:sz w:val="20"/>
              </w:rPr>
              <w:t>--</w:t>
            </w:r>
          </w:p>
        </w:tc>
        <w:tc>
          <w:tcPr>
            <w:tcW w:type="dxa" w:w="1728"/>
          </w:tcPr>
          <w:p>
            <w:r>
              <w:rPr>
                <w:sz w:val="20"/>
              </w:rPr>
              <w:t>1,000-3,000</w:t>
            </w:r>
          </w:p>
        </w:tc>
        <w:tc>
          <w:tcPr>
            <w:tcW w:type="dxa" w:w="1728"/>
          </w:tcPr>
          <w:p>
            <w:r>
              <w:rPr>
                <w:sz w:val="20"/>
              </w:rPr>
              <w:t>Semi-annually</w:t>
            </w:r>
          </w:p>
        </w:tc>
      </w:tr>
      <w:tr>
        <w:tc>
          <w:tcPr>
            <w:tcW w:type="dxa" w:w="1728"/>
          </w:tcPr>
          <w:p>
            <w:r>
              <w:rPr>
                <w:sz w:val="20"/>
              </w:rPr>
              <w:t>PubMed Parser</w:t>
            </w:r>
          </w:p>
        </w:tc>
        <w:tc>
          <w:tcPr>
            <w:tcW w:type="dxa" w:w="1728"/>
          </w:tcPr>
          <w:p>
            <w:r>
              <w:rPr>
                <w:sz w:val="20"/>
              </w:rPr>
              <w:t>NCBI PubMed</w:t>
            </w:r>
          </w:p>
        </w:tc>
        <w:tc>
          <w:tcPr>
            <w:tcW w:type="dxa" w:w="1728"/>
          </w:tcPr>
          <w:p>
            <w:r>
              <w:rPr>
                <w:sz w:val="20"/>
              </w:rPr>
              <w:t>--</w:t>
            </w:r>
          </w:p>
        </w:tc>
        <w:tc>
          <w:tcPr>
            <w:tcW w:type="dxa" w:w="1728"/>
          </w:tcPr>
          <w:p>
            <w:r>
              <w:rPr>
                <w:sz w:val="20"/>
              </w:rPr>
              <w:t>500-2,000/week</w:t>
            </w:r>
          </w:p>
        </w:tc>
        <w:tc>
          <w:tcPr>
            <w:tcW w:type="dxa" w:w="1728"/>
          </w:tcPr>
          <w:p>
            <w:r>
              <w:rPr>
                <w:sz w:val="20"/>
              </w:rPr>
              <w:t>Weekly (automated)</w:t>
            </w:r>
          </w:p>
        </w:tc>
      </w:tr>
      <w:tr>
        <w:tc>
          <w:tcPr>
            <w:tcW w:type="dxa" w:w="1728"/>
          </w:tcPr>
          <w:p>
            <w:r>
              <w:rPr>
                <w:sz w:val="20"/>
              </w:rPr>
              <w:t>ClinicalTrials Parser</w:t>
            </w:r>
          </w:p>
        </w:tc>
        <w:tc>
          <w:tcPr>
            <w:tcW w:type="dxa" w:w="1728"/>
          </w:tcPr>
          <w:p>
            <w:r>
              <w:rPr>
                <w:sz w:val="20"/>
              </w:rPr>
              <w:t>ClinicalTrials.gov</w:t>
            </w:r>
          </w:p>
        </w:tc>
        <w:tc>
          <w:tcPr>
            <w:tcW w:type="dxa" w:w="1728"/>
          </w:tcPr>
          <w:p>
            <w:r>
              <w:rPr>
                <w:sz w:val="20"/>
              </w:rPr>
              <w:t>--</w:t>
            </w:r>
          </w:p>
        </w:tc>
        <w:tc>
          <w:tcPr>
            <w:tcW w:type="dxa" w:w="1728"/>
          </w:tcPr>
          <w:p>
            <w:r>
              <w:rPr>
                <w:sz w:val="20"/>
              </w:rPr>
              <w:t>200-500/week</w:t>
            </w:r>
          </w:p>
        </w:tc>
        <w:tc>
          <w:tcPr>
            <w:tcW w:type="dxa" w:w="1728"/>
          </w:tcPr>
          <w:p>
            <w:r>
              <w:rPr>
                <w:sz w:val="20"/>
              </w:rPr>
              <w:t>Weekly (automated)</w:t>
            </w:r>
          </w:p>
        </w:tc>
      </w:tr>
    </w:tbl>
    <w:p>
      <w:pPr>
        <w:pStyle w:val="Heading2"/>
      </w:pPr>
      <w:r>
        <w:t>8. Technical Differentiation</w:t>
      </w:r>
    </w:p>
    <w:p>
      <w:pPr>
        <w:pStyle w:val="Heading3"/>
      </w:pPr>
      <w:r>
        <w:t>8.1 Architectural Innovations</w:t>
      </w:r>
    </w:p>
    <w:p>
      <w:r>
        <w:t>Multi-collection weighted RAG. Unlike standard RAG systems that use a single vector collection, the PGx Intelligence Agent maintains 15 purpose-built collections with domain-specific schemas and configurable search weights. This design enables structured filtering (e.g., "all CPIC Level A guidelines for CYP2D6") alongside semantic search, and ensures that clinical content (drug guidelines, weight 0.14) always outranks educational content (weight 0.02) in relevance scoring.</w:t>
      </w:r>
    </w:p>
    <w:p>
      <w:r>
        <w:t>Deterministic safety layer. The knowledge graph augmentation provides a deterministic safety net that operates independently of vector retrieval. HLA contraindications, critical drug-gene interactions, and phenoconversion alerts are injected into the LLM context through structured dictionary lookups, not probabilistic similarity search. This guarantees that safety-critical information is never missed due to embedding quality or threshold settings.</w:t>
      </w:r>
    </w:p>
    <w:p>
      <w:r>
        <w:t>Clinical pipeline integration. Star allele calling, phenotype translation, phenoconversion detection, HLA screening, and dosing algorithms are implemented as first-class Python components with dedicated test coverage (1,001 tests). These pipelines run independently of the LLM, ensuring that clinical logic is deterministic and reproducible.</w:t>
      </w:r>
    </w:p>
    <w:p>
      <w:pPr>
        <w:pStyle w:val="Heading3"/>
      </w:pPr>
      <w:r>
        <w:t>8.2 Edge Deployment Advantage</w:t>
      </w:r>
    </w:p>
    <w:p>
      <w:r>
        <w:t>The system is designed to run on a single NVIDIA DGX Spark workstation (128GB unified memory, GB10 GPU). This edge deployment model offers several advantages over cloud-based PGx solutions:</w:t>
      </w:r>
    </w:p>
    <w:p>
      <w:pPr>
        <w:pStyle w:val="ListBullet"/>
      </w:pPr>
      <w:r>
        <w:t>Data sovereignty: Patient genetic data never leaves the institution's premises</w:t>
      </w:r>
    </w:p>
    <w:p>
      <w:pPr>
        <w:pStyle w:val="ListBullet"/>
      </w:pPr>
      <w:r>
        <w:t>Latency: Sub-5-second query response without network round-trips to cloud services</w:t>
      </w:r>
    </w:p>
    <w:p>
      <w:pPr>
        <w:pStyle w:val="ListBullet"/>
      </w:pPr>
      <w:r>
        <w:t>Cost: No per-patient or per-query licensing fees after initial deployment</w:t>
      </w:r>
    </w:p>
    <w:p>
      <w:pPr>
        <w:pStyle w:val="ListBullet"/>
      </w:pPr>
      <w:r>
        <w:t>Availability: Operates independently of internet connectivity (except for LLM API calls)</w:t>
      </w:r>
    </w:p>
    <w:p>
      <w:pPr>
        <w:pStyle w:val="ListBullet"/>
      </w:pPr>
      <w:r>
        <w:t>Compliance: Simplified HIPAA/GDPR compliance through local data processing</w:t>
      </w:r>
    </w:p>
    <w:p>
      <w:r>
        <w:t>For scenarios where the Anthropic API is unavailable (network outage, air-gapped deployment), the clinical pipelines (star allele calling, phenotype translation, HLA screening, dosing algorithms) continue to function without the LLM, providing deterministic clinical decision support.</w:t>
      </w:r>
    </w:p>
    <w:p>
      <w:pPr>
        <w:pStyle w:val="Heading3"/>
      </w:pPr>
      <w:r>
        <w:t>8.3 Observability and Monitoring</w:t>
      </w:r>
    </w:p>
    <w:p>
      <w:r>
        <w:t>The system exposes 22 Prometheus metrics with the pgx_ prefix, enabling real-time operational monitoring:</w:t>
      </w:r>
    </w:p>
    <w:p>
      <w:pPr>
        <w:pStyle w:val="ListBullet"/>
      </w:pPr>
      <w:r>
        <w:t>10 histograms: Query latency, evidence count, LLM API latency, embedding latency, pipeline stage latency, dosing calculation time, HLA screening time, phenoconversion check time, cross-collection query time, cross-collection result count</w:t>
      </w:r>
    </w:p>
    <w:p>
      <w:pPr>
        <w:pStyle w:val="ListBullet"/>
      </w:pPr>
      <w:r>
        <w:t>8 counters: Total queries, errors, clinical alerts (by severity), drug checks, HLA screens (by result), dosing calculations (by algorithm), phenoconversion detections, export operations (by format)</w:t>
      </w:r>
    </w:p>
    <w:p>
      <w:pPr>
        <w:pStyle w:val="ListBullet"/>
      </w:pPr>
      <w:r>
        <w:t>4 gauges: Connected collections, total vectors, last ingest timestamp, active sessions</w:t>
      </w:r>
    </w:p>
    <w:p>
      <w:r>
        <w:t>These metrics integrate with Prometheus and Grafana for dashboard visualization and alerting. Critical alerts include collection disconnection (&lt; 15 collections), high error rate, and contraindicated drug-gene interactions detected.</w:t>
      </w:r>
    </w:p>
    <w:p>
      <w:pPr>
        <w:pStyle w:val="Heading2"/>
      </w:pPr>
      <w:r>
        <w:t>9. Regulatory and Compliance Considerations</w:t>
      </w:r>
    </w:p>
    <w:p>
      <w:pPr>
        <w:pStyle w:val="Heading3"/>
      </w:pPr>
      <w:r>
        <w:t>9.1 Clinical Decision Support Classification</w:t>
      </w:r>
    </w:p>
    <w:p>
      <w:r>
        <w:t>The Pharmacogenomics Intelligence Agent is designed as a clinical decision support (CDS) tool, not an autonomous prescribing system. Under the 21st Century Cures Act (Section 3060), CDS software that meets four criteria is excluded from FDA device regulation:</w:t>
      </w:r>
    </w:p>
    <w:p>
      <w:pPr>
        <w:pStyle w:val="ListNumber"/>
      </w:pPr>
      <w:r>
        <w:t>Not intended to acquire, process, or analyze a medical image, signal, or pattern</w:t>
      </w:r>
    </w:p>
    <w:p>
      <w:pPr>
        <w:pStyle w:val="ListNumber"/>
      </w:pPr>
      <w:r>
        <w:t>Intended for the purpose of displaying, analyzing, or printing medical information</w:t>
      </w:r>
    </w:p>
    <w:p>
      <w:pPr>
        <w:pStyle w:val="ListNumber"/>
      </w:pPr>
      <w:r>
        <w:t>Intended for the purpose of supporting or providing recommendations to healthcare professionals</w:t>
      </w:r>
    </w:p>
    <w:p>
      <w:pPr>
        <w:pStyle w:val="ListNumber"/>
      </w:pPr>
      <w:r>
        <w:t>Intended for the purpose of enabling healthcare professionals to independently review the basis for recommendations</w:t>
      </w:r>
    </w:p>
    <w:p>
      <w:r>
        <w:t>The PGx Intelligence Agent is designed to meet all four criteria. Every recommendation includes cited evidence sources (CPIC guidelines, FDA labels, PubMed references), enabling the clinician to independently review the basis for the recommendation.</w:t>
      </w:r>
    </w:p>
    <w:p>
      <w:pPr>
        <w:pStyle w:val="Heading3"/>
      </w:pPr>
      <w:r>
        <w:t>9.2 Evidence Traceability</w:t>
      </w:r>
    </w:p>
    <w:p>
      <w:r>
        <w:t>All system outputs trace to specific evidence sources with unique identifiers: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Source Type</w:t>
            </w:r>
          </w:p>
        </w:tc>
        <w:tc>
          <w:tcPr>
            <w:tcW w:type="dxa" w:w="2880"/>
          </w:tcPr>
          <w:p>
            <w:r>
              <w:rPr>
                <w:b/>
                <w:sz w:val="20"/>
              </w:rPr>
              <w:t>Identifier</w:t>
            </w:r>
          </w:p>
        </w:tc>
        <w:tc>
          <w:tcPr>
            <w:tcW w:type="dxa" w:w="2880"/>
          </w:tcPr>
          <w:p>
            <w:r>
              <w:rPr>
                <w:b/>
                <w:sz w:val="20"/>
              </w:rPr>
              <w:t>URL Pattern</w:t>
            </w:r>
          </w:p>
        </w:tc>
      </w:tr>
      <w:tr>
        <w:tc>
          <w:tcPr>
            <w:tcW w:type="dxa" w:w="2880"/>
          </w:tcPr>
          <w:p>
            <w:r>
              <w:rPr>
                <w:sz w:val="20"/>
              </w:rPr>
              <w:t>CPIC Guidelines</w:t>
            </w:r>
          </w:p>
        </w:tc>
        <w:tc>
          <w:tcPr>
            <w:tcW w:type="dxa" w:w="2880"/>
          </w:tcPr>
          <w:p>
            <w:r>
              <w:rPr>
                <w:sz w:val="20"/>
              </w:rPr>
              <w:t>Guideline title + gene-drug pair</w:t>
            </w:r>
          </w:p>
        </w:tc>
        <w:tc>
          <w:tcPr>
            <w:tcW w:type="dxa" w:w="2880"/>
          </w:tcPr>
          <w:p>
            <w:r>
              <w:rPr>
                <w:sz w:val="20"/>
              </w:rPr>
              <w:t>cpicpgx.org</w:t>
            </w:r>
          </w:p>
        </w:tc>
      </w:tr>
      <w:tr>
        <w:tc>
          <w:tcPr>
            <w:tcW w:type="dxa" w:w="2880"/>
          </w:tcPr>
          <w:p>
            <w:r>
              <w:rPr>
                <w:sz w:val="20"/>
              </w:rPr>
              <w:t>PharmGKB Annotations</w:t>
            </w:r>
          </w:p>
        </w:tc>
        <w:tc>
          <w:tcPr>
            <w:tcW w:type="dxa" w:w="2880"/>
          </w:tcPr>
          <w:p>
            <w:r>
              <w:rPr>
                <w:sz w:val="20"/>
              </w:rPr>
              <w:t>PA number</w:t>
            </w:r>
          </w:p>
        </w:tc>
        <w:tc>
          <w:tcPr>
            <w:tcW w:type="dxa" w:w="2880"/>
          </w:tcPr>
          <w:p>
            <w:r>
              <w:rPr>
                <w:sz w:val="20"/>
              </w:rPr>
              <w:t>pharmgkb.org/clinicalAnnotation/{PA}</w:t>
            </w:r>
          </w:p>
        </w:tc>
      </w:tr>
      <w:tr>
        <w:tc>
          <w:tcPr>
            <w:tcW w:type="dxa" w:w="2880"/>
          </w:tcPr>
          <w:p>
            <w:r>
              <w:rPr>
                <w:sz w:val="20"/>
              </w:rPr>
              <w:t>FDA Drug Labels</w:t>
            </w:r>
          </w:p>
        </w:tc>
        <w:tc>
          <w:tcPr>
            <w:tcW w:type="dxa" w:w="2880"/>
          </w:tcPr>
          <w:p>
            <w:r>
              <w:rPr>
                <w:sz w:val="20"/>
              </w:rPr>
              <w:t>Application number</w:t>
            </w:r>
          </w:p>
        </w:tc>
        <w:tc>
          <w:tcPr>
            <w:tcW w:type="dxa" w:w="2880"/>
          </w:tcPr>
          <w:p>
            <w:r>
              <w:rPr>
                <w:sz w:val="20"/>
              </w:rPr>
              <w:t>dailymed.nlm.nih.gov</w:t>
            </w:r>
          </w:p>
        </w:tc>
      </w:tr>
      <w:tr>
        <w:tc>
          <w:tcPr>
            <w:tcW w:type="dxa" w:w="2880"/>
          </w:tcPr>
          <w:p>
            <w:r>
              <w:rPr>
                <w:sz w:val="20"/>
              </w:rPr>
              <w:t>PubMed Literature</w:t>
            </w:r>
          </w:p>
        </w:tc>
        <w:tc>
          <w:tcPr>
            <w:tcW w:type="dxa" w:w="2880"/>
          </w:tcPr>
          <w:p>
            <w:r>
              <w:rPr>
                <w:sz w:val="20"/>
              </w:rPr>
              <w:t>PMID</w:t>
            </w:r>
          </w:p>
        </w:tc>
        <w:tc>
          <w:tcPr>
            <w:tcW w:type="dxa" w:w="2880"/>
          </w:tcPr>
          <w:p>
            <w:r>
              <w:rPr>
                <w:sz w:val="20"/>
              </w:rPr>
              <w:t>pubmed.ncbi.nlm.nih.gov/{PMID}</w:t>
            </w:r>
          </w:p>
        </w:tc>
      </w:tr>
      <w:tr>
        <w:tc>
          <w:tcPr>
            <w:tcW w:type="dxa" w:w="2880"/>
          </w:tcPr>
          <w:p>
            <w:r>
              <w:rPr>
                <w:sz w:val="20"/>
              </w:rPr>
              <w:t>Clinical Trials</w:t>
            </w:r>
          </w:p>
        </w:tc>
        <w:tc>
          <w:tcPr>
            <w:tcW w:type="dxa" w:w="2880"/>
          </w:tcPr>
          <w:p>
            <w:r>
              <w:rPr>
                <w:sz w:val="20"/>
              </w:rPr>
              <w:t>NCT ID</w:t>
            </w:r>
          </w:p>
        </w:tc>
        <w:tc>
          <w:tcPr>
            <w:tcW w:type="dxa" w:w="2880"/>
          </w:tcPr>
          <w:p>
            <w:r>
              <w:rPr>
                <w:sz w:val="20"/>
              </w:rPr>
              <w:t>clinicaltrials.gov/ct2/show/{NCT_ID}</w:t>
            </w:r>
          </w:p>
        </w:tc>
      </w:tr>
      <w:tr>
        <w:tc>
          <w:tcPr>
            <w:tcW w:type="dxa" w:w="2880"/>
          </w:tcPr>
          <w:p>
            <w:r>
              <w:rPr>
                <w:sz w:val="20"/>
              </w:rPr>
              <w:t>PharmVar Alleles</w:t>
            </w:r>
          </w:p>
        </w:tc>
        <w:tc>
          <w:tcPr>
            <w:tcW w:type="dxa" w:w="2880"/>
          </w:tcPr>
          <w:p>
            <w:r>
              <w:rPr>
                <w:sz w:val="20"/>
              </w:rPr>
              <w:t>Star allele ID</w:t>
            </w:r>
          </w:p>
        </w:tc>
        <w:tc>
          <w:tcPr>
            <w:tcW w:type="dxa" w:w="2880"/>
          </w:tcPr>
          <w:p>
            <w:r>
              <w:rPr>
                <w:sz w:val="20"/>
              </w:rPr>
              <w:t>pharmvar.org/gene/{gene}</w:t>
            </w:r>
          </w:p>
        </w:tc>
      </w:tr>
    </w:tbl>
    <w:p>
      <w:pPr>
        <w:pStyle w:val="Heading2"/>
      </w:pPr>
      <w:r>
        <w:t>10. Future Directions</w:t>
      </w:r>
    </w:p>
    <w:p>
      <w:pPr>
        <w:pStyle w:val="Heading3"/>
      </w:pPr>
      <w:r>
        <w:t>10.1 Near-Term Roadmap</w:t>
      </w:r>
    </w:p>
    <w:p>
      <w:pPr>
        <w:pStyle w:val="ListNumber"/>
      </w:pPr>
      <w:r>
        <w:t>CYP2D6 structural variant calling -- Integration with Stargazer/Cyrius for copy number and hybrid allele detection from whole-genome sequencing data.</w:t>
      </w:r>
    </w:p>
    <w:p>
      <w:pPr>
        <w:pStyle w:val="ListNumber"/>
      </w:pPr>
      <w:r>
        <w:t>EHR integration via CDS Hooks -- HL7 FHIR CDS Hooks implementation for real-time clinical decision support within Epic and Cerner EHR workflows.</w:t>
      </w:r>
    </w:p>
    <w:p>
      <w:pPr>
        <w:pStyle w:val="ListNumber"/>
      </w:pPr>
      <w:r>
        <w:t>Expanded dosing algorithms -- CYP2C19-guided voriconazole dosing and UGT1A1-guided irinotecan dosing.</w:t>
      </w:r>
    </w:p>
    <w:p>
      <w:pPr>
        <w:pStyle w:val="ListNumber"/>
      </w:pPr>
      <w:r>
        <w:t>Pre-emptive panel workflows -- End-to-end integration with the HCLS AI Factory genomics pipeline, enabling direct VCF-to-PGx-report processing.</w:t>
      </w:r>
    </w:p>
    <w:p>
      <w:pPr>
        <w:pStyle w:val="Heading3"/>
      </w:pPr>
      <w:r>
        <w:t>10.2 Long-Term Vision</w:t>
      </w:r>
    </w:p>
    <w:p>
      <w:pPr>
        <w:pStyle w:val="ListNumber"/>
      </w:pPr>
      <w:r>
        <w:t>Federated learning -- Privacy-preserving model updates across institutional PGx databases, enabling algorithm refinement without sharing patient-level data. Institutions would contribute aggregate outcome statistics (e.g., ADR rates by genotype-phenotype combination) without transmitting individual patient records, enabling multi-site model improvement while maintaining HIPAA compliance.</w:t>
      </w:r>
    </w:p>
    <w:p>
      <w:pPr>
        <w:pStyle w:val="ListNumber"/>
      </w:pPr>
      <w:r>
        <w:t>Pharmacovigilance integration -- FDA FAERS (FDA Adverse Event Reporting System) signal detection, enabling the system to identify emerging drug-gene safety signals. The agent would periodically ingest FAERS quarterly data extracts, identify disproportionality signals (PRR, ROR) for gene-drug pairs, and surface new safety signals to clinicians through the Evidence Explorer tab.</w:t>
      </w:r>
    </w:p>
    <w:p>
      <w:pPr>
        <w:pStyle w:val="ListNumber"/>
      </w:pPr>
      <w:r>
        <w:t>Multi-language support -- Spanish, Mandarin, and Arabic patient-facing PGx reports for health equity in diverse populations. The multi-language module would leverage Claude's multilingual capabilities to translate clinical recommendations while preserving medical terminology accuracy, with pharmacist review workflows for translated content.</w:t>
      </w:r>
    </w:p>
    <w:p>
      <w:pPr>
        <w:pStyle w:val="ListNumber"/>
      </w:pPr>
      <w:r>
        <w:t>Polygenic risk score integration -- Combining PGx data with disease-specific polygenic risk scores for comprehensive precision medicine decision support. For example, a patient with a high polygenic risk score for coronary artery disease AND CYP2C19 poor metabolizer status would receive prioritized alternative antiplatelet recommendations.</w:t>
      </w:r>
    </w:p>
    <w:p>
      <w:pPr>
        <w:pStyle w:val="ListNumber"/>
      </w:pPr>
      <w:r>
        <w:t>Pediatric PGx modules -- Age-adjusted dosing algorithms accounting for developmental pharmacogenomics (ontogeny of CYP enzymes, age-dependent allele expression). Age-stratified dosing tables would incorporate CYP enzyme maturation data (e.g., CYP2D6 reaches adult levels by age 5, CYP1A2 by age 3-4) alongside genotype-based adjustments.</w:t>
      </w:r>
    </w:p>
    <w:p>
      <w:pPr>
        <w:pStyle w:val="ListNumber"/>
      </w:pPr>
      <w:r>
        <w:t>Machine learning dosing optimization -- Continuous learning from clinical outcomes to refine dosing algorithms beyond published regression models, with prospective validation. Initial implementation would focus on warfarin dosing, where the IWPC algorithm explains only ~50% of dose variance, leaving substantial room for ML-based improvement using institutional outcome data.</w:t>
      </w:r>
    </w:p>
    <w:p>
      <w:pPr>
        <w:pStyle w:val="Heading3"/>
      </w:pPr>
      <w:r>
        <w:t>10.3 Implementation Considerations for Health Systems</w:t>
      </w:r>
    </w:p>
    <w:p>
      <w:r>
        <w:t>Health systems considering PGx decision support adoption should evaluate readiness across five dimensions: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20"/>
              </w:rPr>
              <w:t>Dimension</w:t>
            </w:r>
          </w:p>
        </w:tc>
        <w:tc>
          <w:tcPr>
            <w:tcW w:type="dxa" w:w="2880"/>
          </w:tcPr>
          <w:p>
            <w:r>
              <w:rPr>
                <w:b/>
                <w:sz w:val="20"/>
              </w:rPr>
              <w:t>Readiness Indicator</w:t>
            </w:r>
          </w:p>
        </w:tc>
        <w:tc>
          <w:tcPr>
            <w:tcW w:type="dxa" w:w="2880"/>
          </w:tcPr>
          <w:p>
            <w:r>
              <w:rPr>
                <w:b/>
                <w:sz w:val="20"/>
              </w:rPr>
              <w:t>PGx Agent Support</w:t>
            </w:r>
          </w:p>
        </w:tc>
      </w:tr>
      <w:tr>
        <w:tc>
          <w:tcPr>
            <w:tcW w:type="dxa" w:w="2880"/>
          </w:tcPr>
          <w:p>
            <w:r>
              <w:rPr>
                <w:sz w:val="20"/>
              </w:rPr>
              <w:t>Clinical leadership</w:t>
            </w:r>
          </w:p>
        </w:tc>
        <w:tc>
          <w:tcPr>
            <w:tcW w:type="dxa" w:w="2880"/>
          </w:tcPr>
          <w:p>
            <w:r>
              <w:rPr>
                <w:sz w:val="20"/>
              </w:rPr>
              <w:t>PGx champion (pharmacist or physician) identified</w:t>
            </w:r>
          </w:p>
        </w:tc>
        <w:tc>
          <w:tcPr>
            <w:tcW w:type="dxa" w:w="2880"/>
          </w:tcPr>
          <w:p>
            <w:r>
              <w:rPr>
                <w:sz w:val="20"/>
              </w:rPr>
              <w:t>Pre-built demo scenarios for stakeholder education</w:t>
            </w:r>
          </w:p>
        </w:tc>
      </w:tr>
      <w:tr>
        <w:tc>
          <w:tcPr>
            <w:tcW w:type="dxa" w:w="2880"/>
          </w:tcPr>
          <w:p>
            <w:r>
              <w:rPr>
                <w:sz w:val="20"/>
              </w:rPr>
              <w:t>Laboratory capability</w:t>
            </w:r>
          </w:p>
        </w:tc>
        <w:tc>
          <w:tcPr>
            <w:tcW w:type="dxa" w:w="2880"/>
          </w:tcPr>
          <w:p>
            <w:r>
              <w:rPr>
                <w:sz w:val="20"/>
              </w:rPr>
              <w:t>CLIA-certified PGx testing available (in-house or send-out)</w:t>
            </w:r>
          </w:p>
        </w:tc>
        <w:tc>
          <w:tcPr>
            <w:tcW w:type="dxa" w:w="2880"/>
          </w:tcPr>
          <w:p>
            <w:r>
              <w:rPr>
                <w:sz w:val="20"/>
              </w:rPr>
              <w:t>Accepts standard VCF and star allele input formats</w:t>
            </w:r>
          </w:p>
        </w:tc>
      </w:tr>
      <w:tr>
        <w:tc>
          <w:tcPr>
            <w:tcW w:type="dxa" w:w="2880"/>
          </w:tcPr>
          <w:p>
            <w:r>
              <w:rPr>
                <w:sz w:val="20"/>
              </w:rPr>
              <w:t>EHR integration</w:t>
            </w:r>
          </w:p>
        </w:tc>
        <w:tc>
          <w:tcPr>
            <w:tcW w:type="dxa" w:w="2880"/>
          </w:tcPr>
          <w:p>
            <w:r>
              <w:rPr>
                <w:sz w:val="20"/>
              </w:rPr>
              <w:t>CDS alert infrastructure in place</w:t>
            </w:r>
          </w:p>
        </w:tc>
        <w:tc>
          <w:tcPr>
            <w:tcW w:type="dxa" w:w="2880"/>
          </w:tcPr>
          <w:p>
            <w:r>
              <w:rPr>
                <w:sz w:val="20"/>
              </w:rPr>
              <w:t>FHIR R4 export for downstream EHR integration</w:t>
            </w:r>
          </w:p>
        </w:tc>
      </w:tr>
      <w:tr>
        <w:tc>
          <w:tcPr>
            <w:tcW w:type="dxa" w:w="2880"/>
          </w:tcPr>
          <w:p>
            <w:r>
              <w:rPr>
                <w:sz w:val="20"/>
              </w:rPr>
              <w:t>Pharmacy workflow</w:t>
            </w:r>
          </w:p>
        </w:tc>
        <w:tc>
          <w:tcPr>
            <w:tcW w:type="dxa" w:w="2880"/>
          </w:tcPr>
          <w:p>
            <w:r>
              <w:rPr>
                <w:sz w:val="20"/>
              </w:rPr>
              <w:t>Pharmacist review process for PGx alerts</w:t>
            </w:r>
          </w:p>
        </w:tc>
        <w:tc>
          <w:tcPr>
            <w:tcW w:type="dxa" w:w="2880"/>
          </w:tcPr>
          <w:p>
            <w:r>
              <w:rPr>
                <w:sz w:val="20"/>
              </w:rPr>
              <w:t>Severity-classified alerts with evidence links</w:t>
            </w:r>
          </w:p>
        </w:tc>
      </w:tr>
      <w:tr>
        <w:tc>
          <w:tcPr>
            <w:tcW w:type="dxa" w:w="2880"/>
          </w:tcPr>
          <w:p>
            <w:r>
              <w:rPr>
                <w:sz w:val="20"/>
              </w:rPr>
              <w:t>Financial model</w:t>
            </w:r>
          </w:p>
        </w:tc>
        <w:tc>
          <w:tcPr>
            <w:tcW w:type="dxa" w:w="2880"/>
          </w:tcPr>
          <w:p>
            <w:r>
              <w:rPr>
                <w:sz w:val="20"/>
              </w:rPr>
              <w:t>Payer coverage for pre-emptive PGx panels</w:t>
            </w:r>
          </w:p>
        </w:tc>
        <w:tc>
          <w:tcPr>
            <w:tcW w:type="dxa" w:w="2880"/>
          </w:tcPr>
          <w:p>
            <w:r>
              <w:rPr>
                <w:sz w:val="20"/>
              </w:rPr>
              <w:t>ROI calculator using institutional ADR rate data</w:t>
            </w:r>
          </w:p>
        </w:tc>
      </w:tr>
    </w:tbl>
    <w:p>
      <w:r>
        <w:t>The PGx Intelligence Agent is designed to accelerate the transition from reactive to pre-emptive PGx testing by providing immediate clinical utility even before full EHR integration. Institutions can deploy the agent as a standalone consultation tool while building toward integrated CDS Hooks workflows.</w:t>
      </w:r>
    </w:p>
    <w:p>
      <w:pPr>
        <w:pStyle w:val="Heading3"/>
      </w:pPr>
      <w:r>
        <w:t>10.4 Adoption Pathway</w:t>
      </w:r>
    </w:p>
    <w:p>
      <w:r>
        <w:t>A phased adoption approach is recommended for health systems implementing PGx decision support:</w:t>
      </w:r>
    </w:p>
    <w:p>
      <w:r>
        <w:t>Phase 1 -- Pilot (Months 1-3): Deploy the PGx Intelligence Agent in a single clinical department (typically psychiatry or cardiology, where PGx impact is highest). Train 3-5 pharmacists and 5-10 prescribers. Process 50-100 patient consultations to establish baseline workflows and identify institutional-specific integration requirements.</w:t>
      </w:r>
    </w:p>
    <w:p>
      <w:r>
        <w:t>Phase 2 -- Expansion (Months 4-9): Extend to 3-5 departments. Implement FHIR R4 export integration with the institutional EHR. Begin collecting outcome data (ADR rates, time-to-therapeutic-response, medication changes) for PGx-guided vs standard-of-care patients. Establish pharmacist-led PGx consult service.</w:t>
      </w:r>
    </w:p>
    <w:p>
      <w:r>
        <w:t>Phase 3 -- Enterprise (Months 10-18): Roll out pre-emptive PGx panel ordering for high-risk populations (polypharmacy, narrow therapeutic index drugs, psychiatry new starts). Implement CDS Hooks for real-time prescribing alerts. Publish institutional outcome data to contribute to the PGx evidence base. Evaluate ROI against pre-implementation ADR rates and medication trial-and-error costs.</w:t>
      </w:r>
    </w:p>
    <w:p>
      <w:pPr>
        <w:pStyle w:val="Heading2"/>
      </w:pPr>
      <w:r>
        <w:t>11. Conclusion</w:t>
      </w:r>
    </w:p>
    <w:p>
      <w:r>
        <w:t>The Pharmacogenomics Intelligence Agent demonstrates that clinical-grade pharmacogenomic decision support can be delivered through a multi-collection RAG architecture running on accessible hardware. By integrating star allele interpretation, phenoconversion modeling, HLA screening, and validated dosing algorithms into a single conversational interface backed by 15 specialized vector collections and a 25-pharmacogene knowledge graph, the system addresses the knowledge fragmentation that currently prevents widespread adoption of pharmacogenomics-guided prescribing.</w:t>
      </w:r>
    </w:p>
    <w:p>
      <w:r>
        <w:t>The alignment of the agent's clinical logic with prospective validation studies (PREDICT, PREPARE, INFORM PGx, RIGHT) provides confidence that the implemented decision support pathways reflect current best practices. The open-source nature of the system, combined with its ability to run on a single NVIDIA DGX Spark workstation, removes two major barriers to PGx adoption: cost and infrastructure complexity.</w:t>
      </w:r>
    </w:p>
    <w:p>
      <w:r>
        <w:t>As pharmacogenomics moves from academic research to routine clinical practice, systems like the PGx Intelligence Agent will serve as the translational layer between genomic data and clinical action -- ensuring that the right drug, at the right dose, reaches the right patient.</w:t>
      </w:r>
    </w:p>
    <w:p>
      <w:pPr>
        <w:pStyle w:val="Heading2"/>
      </w:pPr>
      <w:r>
        <w:t>References</w:t>
      </w:r>
    </w:p>
    <w:p>
      <w:pPr>
        <w:pStyle w:val="ListNumber"/>
      </w:pPr>
      <w:r>
        <w:t>Klein TE, et al. Estimation of the warfarin dose with clinical and pharmacogenomic data. N Engl J Med. 2009;360:753-764.</w:t>
      </w:r>
    </w:p>
    <w:p>
      <w:pPr>
        <w:pStyle w:val="ListNumber"/>
      </w:pPr>
      <w:r>
        <w:t>Relling MV, Klein TE. CPIC: Clinical Pharmacogenetics Implementation Consortium of the Pharmacogenomics Research Network. Clin Pharmacol Ther. 2011;89(3):464-467.</w:t>
      </w:r>
    </w:p>
    <w:p>
      <w:pPr>
        <w:pStyle w:val="ListNumber"/>
      </w:pPr>
      <w:r>
        <w:t>Caudle KE, et al. Standardizing CYP2D6 genotype to phenotype translation. J Clin Pharmacol. 2020;60(Suppl 2):S82-S96.</w:t>
      </w:r>
    </w:p>
    <w:p>
      <w:pPr>
        <w:pStyle w:val="ListNumber"/>
      </w:pPr>
      <w:r>
        <w:t>Amstutz U, et al. Clinical Pharmacogenetics Implementation Consortium (CPIC) guideline for dihydropyrimidine dehydrogenase genotype and fluoropyrimidine dosing. Clin Pharmacol Ther. 2018;103(2):210-216.</w:t>
      </w:r>
    </w:p>
    <w:p>
      <w:pPr>
        <w:pStyle w:val="ListNumber"/>
      </w:pPr>
      <w:r>
        <w:t>Birdwell KA, et al. Clinical Pharmacogenetics Implementation Consortium (CPIC) guidelines for CYP3A5 genotype and tacrolimus dosing. Clin Pharmacol Ther. 2015;98(1):19-24.</w:t>
      </w:r>
    </w:p>
    <w:p>
      <w:pPr>
        <w:pStyle w:val="ListNumber"/>
      </w:pPr>
      <w:r>
        <w:t>Relling MV, et al. Clinical Pharmacogenetics Implementation Consortium guideline for thiopurine dosing based on TPMT and NUDT15 genotypes. Clin Pharmacol Ther. 2019;105(5):1095-1105.</w:t>
      </w:r>
    </w:p>
    <w:p>
      <w:pPr>
        <w:pStyle w:val="ListNumber"/>
      </w:pPr>
      <w:r>
        <w:t>Johnson JA, et al. Clinical Pharmacogenetics Implementation Consortium (CPIC) guideline for pharmacogenetics-guided warfarin dosing. Clin Pharmacol Ther. 2017;102(3):397-404.</w:t>
      </w:r>
    </w:p>
    <w:p>
      <w:pPr>
        <w:pStyle w:val="ListNumber"/>
      </w:pPr>
      <w:r>
        <w:t>Shah RR, Smith RL. Addressing phenoconversion: the Achilles' heel of personalized medicine. Br J Clin Pharmacol. 2015;79(2):222-240.</w:t>
      </w:r>
    </w:p>
    <w:p>
      <w:pPr>
        <w:pStyle w:val="ListNumber"/>
      </w:pPr>
      <w:r>
        <w:t>Swen JJ, et al. A 12-gene pharmacogenetic panel to prevent adverse drug reactions: an open-label, multicentre, controlled, cluster-randomised crossover implementation study. Lancet. 2023;401(10374):347-356.</w:t>
      </w:r>
    </w:p>
    <w:p>
      <w:pPr>
        <w:pStyle w:val="ListNumber"/>
      </w:pPr>
      <w:r>
        <w:t>Lazarou J, Pomeranz BH, Corey PN. Incidence of adverse drug reactions in hospitalized patients: a meta-analysis of prospective studies. JAMA. 1998;279(15):1200-1205.</w:t>
      </w:r>
    </w:p>
    <w:p>
      <w:pPr>
        <w:pStyle w:val="ListNumber"/>
      </w:pPr>
      <w:r>
        <w:t>Pirmohamed M, et al. A randomized trial of genotype-guided dosing of warfarin. N Engl J Med. 2013;369(24):2294-2303.</w:t>
      </w:r>
    </w:p>
    <w:p>
      <w:pPr>
        <w:pStyle w:val="ListNumber"/>
      </w:pPr>
      <w:r>
        <w:t>Kimmel SE, et al. A pharmacogenetic versus a clinical algorithm for warfarin dosing. N Engl J Med. 2013;369(24):2283-2293.</w:t>
      </w:r>
    </w:p>
    <w:p>
      <w:pPr>
        <w:pStyle w:val="ListNumber"/>
      </w:pPr>
      <w:r>
        <w:t>Greden JF, et al. Impact of pharmacogenomics on clinical outcomes in major depressive disorder in the GUIDED trial. J Clin Psychiatry. 2019;80(2):19m12723.</w:t>
      </w:r>
    </w:p>
    <w:p>
      <w:pPr>
        <w:pStyle w:val="ListNumber"/>
      </w:pPr>
      <w:r>
        <w:t>Henricks LM, et al. DPYD genotype-guided dose individualisation of fluoropyrimidine therapy in patients with cancer: a prospective safety analysis. Lancet Oncol. 2018;19(11):1459-1467.</w:t>
      </w:r>
    </w:p>
    <w:p>
      <w:pPr>
        <w:pStyle w:val="ListNumber"/>
      </w:pPr>
      <w:r>
        <w:t>Thervet E, et al. Optimization of initial tacrolimus dose using pharmacogenetics. Clin Pharmacol Ther. 2010;87(6):721-726.</w:t>
      </w:r>
    </w:p>
    <w:p>
      <w:pPr>
        <w:pStyle w:val="ListNumber"/>
      </w:pPr>
      <w:r>
        <w:t>Shehab N, et al. US emergency department visits for outpatient adverse drug events, 2013-2014. JAMA. 2016;316(20):2115-2125.</w:t>
      </w:r>
    </w:p>
    <w:p>
      <w:pPr>
        <w:pStyle w:val="ListNumber"/>
      </w:pPr>
      <w:r>
        <w:t>Rush AJ, et al. Acute and longer-term outcomes in depressed outpatients requiring one or several treatment steps: a STAR*D report. Am J Psychiatry. 2006;163(11):1905-1917.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