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76B900"/>
          </w:tcPr>
          <w:p>
            <w:pPr>
              <w:spacing w:before="0" w:after="0"/>
            </w:pPr>
            <w:r>
              <w:rPr>
                <w:rFonts w:ascii="Calibri" w:hAnsi="Calibri"/>
                <w:color w:val="76B900"/>
                <w:sz w:val="12"/>
              </w:rPr>
              <w:t xml:space="preserve"> 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  <w:color w:val="1AAFCC"/>
          <w:sz w:val="26"/>
        </w:rPr>
        <w:t>Demo Guide</w:t>
      </w:r>
    </w:p>
    <w:p>
      <w:pPr>
        <w:spacing w:before="0" w:after="40"/>
      </w:pPr>
      <w:r>
        <w:rPr>
          <w:rFonts w:ascii="Calibri" w:hAnsi="Calibri"/>
          <w:b/>
          <w:color w:val="1B2333"/>
          <w:sz w:val="64"/>
        </w:rPr>
        <w:t>HCLS AI Factory</w:t>
      </w:r>
    </w:p>
    <w:p>
      <w:pPr>
        <w:spacing w:before="0" w:after="120"/>
      </w:pPr>
      <w:r>
        <w:rPr>
          <w:rFonts w:ascii="Calibri" w:hAnsi="Calibri"/>
          <w:b/>
          <w:color w:val="1B2333"/>
          <w:sz w:val="48"/>
        </w:rPr>
        <w:t>VCP/FTD Demo Walkthrough</w:t>
      </w:r>
    </w:p>
    <w:p>
      <w:pPr>
        <w:spacing w:before="0" w:after="120"/>
      </w:pPr>
      <w:r>
        <w:rPr>
          <w:rFonts w:ascii="Calibri" w:hAnsi="Calibri"/>
          <w:color w:val="1B2333"/>
          <w:sz w:val="24"/>
        </w:rPr>
        <w:t>Step-by-step guide for demonstrating the complete pipeline: from patient DNA to 100 ranked novel drug candidates.</w:t>
      </w:r>
    </w:p>
    <w:p>
      <w:pPr>
        <w:spacing w:before="0" w:after="240"/>
      </w:pPr>
      <w:r>
        <w:rPr>
          <w:rFonts w:ascii="Calibri" w:hAnsi="Calibri"/>
          <w:i/>
          <w:color w:val="666666"/>
          <w:sz w:val="22"/>
        </w:rPr>
        <w:t>NVIDIA DGX Spark  |  Parabricks  |  BioNeMo  |  Milvus  |  Claude</w:t>
      </w:r>
    </w:p>
    <w:p>
      <w:pPr>
        <w:spacing w:before="0" w:after="120"/>
      </w:pPr>
    </w:p>
    <w:p>
      <w:pPr>
        <w:spacing w:before="0" w:after="40"/>
      </w:pPr>
      <w:r>
        <w:rPr>
          <w:rFonts w:ascii="Calibri" w:hAnsi="Calibri"/>
          <w:color w:val="666666"/>
          <w:sz w:val="18"/>
        </w:rPr>
        <w:t>02/2026  |  Version 1.0  |  Apache 2.0 License</w:t>
      </w:r>
    </w:p>
    <w:p>
      <w:pPr>
        <w:spacing w:before="0" w:after="40"/>
      </w:pPr>
      <w:r>
        <w:rPr>
          <w:rFonts w:ascii="Calibri" w:hAnsi="Calibri"/>
          <w:color w:val="666666"/>
          <w:sz w:val="18"/>
        </w:rPr>
        <w:t>Author: Adam Jones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Demo Overview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Demo Duration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15-20 minutes (live walkthrough)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Pipeline Mode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demo (pre-configured VCP/FTD)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Hardware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NVIDIA DGX Spark (GB10, 128 GB unified)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Target Gene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VCP — Frontotemporal Dementia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End Result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100 ranked novel drug candidates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What the Audience Will See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1.</w:t>
      </w:r>
      <w:r>
        <w:rPr>
          <w:rFonts w:ascii="Calibri" w:hAnsi="Calibri"/>
          <w:color w:val="333333"/>
          <w:sz w:val="21"/>
        </w:rPr>
        <w:t xml:space="preserve">  Raw DNA data (FASTQ) entering the platform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2.</w:t>
      </w:r>
      <w:r>
        <w:rPr>
          <w:rFonts w:ascii="Calibri" w:hAnsi="Calibri"/>
          <w:color w:val="333333"/>
          <w:sz w:val="21"/>
        </w:rPr>
        <w:t xml:space="preserve">  GPU-accelerated variant calling (Parabricks) completing in minutes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3.</w:t>
      </w:r>
      <w:r>
        <w:rPr>
          <w:rFonts w:ascii="Calibri" w:hAnsi="Calibri"/>
          <w:color w:val="333333"/>
          <w:sz w:val="21"/>
        </w:rPr>
        <w:t xml:space="preserve">  11.7 million variants annotated and indexed in a vector database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4.</w:t>
      </w:r>
      <w:r>
        <w:rPr>
          <w:rFonts w:ascii="Calibri" w:hAnsi="Calibri"/>
          <w:color w:val="333333"/>
          <w:sz w:val="21"/>
        </w:rPr>
        <w:t xml:space="preserve">  Interactive Claude RAG chat identifying VCP as a drug target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5.</w:t>
      </w:r>
      <w:r>
        <w:rPr>
          <w:rFonts w:ascii="Calibri" w:hAnsi="Calibri"/>
          <w:color w:val="333333"/>
          <w:sz w:val="21"/>
        </w:rPr>
        <w:t xml:space="preserve">  BioNeMo generating 100 novel VCP inhibitors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6.</w:t>
      </w:r>
      <w:r>
        <w:rPr>
          <w:rFonts w:ascii="Calibri" w:hAnsi="Calibri"/>
          <w:color w:val="333333"/>
          <w:sz w:val="21"/>
        </w:rPr>
        <w:t xml:space="preserve">  Ranked candidates with docking scores and drug-likeness profiles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7.</w:t>
      </w:r>
      <w:r>
        <w:rPr>
          <w:rFonts w:ascii="Calibri" w:hAnsi="Calibri"/>
          <w:color w:val="333333"/>
          <w:sz w:val="21"/>
        </w:rPr>
        <w:t xml:space="preserve">  PDF report generated automatically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Pre-Demo Setup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Step 1: Verify Hardware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nvidia-smi              # Verify GB10 GPU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uname -m                # Expected: aarch64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Step 2: Set Environment Variables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cp .env.example .env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# Edit .env: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# ANTHROPIC_API_KEY=sk-ant-...   (for Claude RAG)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# NGC_API_KEY=nvapi-...          (for BioNeMo NIMs)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Step 3: Start All Services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./start-services.sh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Services start in dependency order: infrastructure → Stage 1 → Stage 2 → Stage 3 → landing page.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Step 4: Verify All Services Healthy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Open http://localhost:8080 — all 10 services should show green status.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Parabricks Portal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5000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Vector DB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19530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RAG API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5001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Streamlit Chat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8501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MolMIM NIM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8001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DiffDock NIM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8002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Discovery UI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8505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Grafana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3000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Prometheus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9099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DCGM Exporter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9400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GREEN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Demo Script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Opening (1 minute)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Show: Landing page at http://localhost:8080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"This is the HCLS AI Factory — patient DNA to drug candidates in &lt; 5 hours."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"Everything runs on this single DGX Spark — a $3,999 desktop workstation."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"Three stages: genomics, target identification, and drug discovery."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Stage 1: Genomics (3-4 minutes)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Launch: python run_pipeline.py --mode demo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Show: Genomics portal at http://localhost:5000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Talking Points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~200 GB FASTQ input from Illumina sequencer (30× WGS)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Parabricks BWA-MEM2: 20-45 min on GPU (vs. 12-24 hours on CPU)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DeepVariant: 10-35 min, &gt;99% accuracy (CNN-based)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Output: VCF with ~11.7 million variants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Show GPU utilization spiking on Grafana (http://localhost:3000)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Stage 2: RAG/Chat (5-6 minutes)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Annotation Pipeline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ClinVar: 4.1M clinical variants → 35,616 patient matches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AlphaMissense: 71M AI predictions → 6,831 scored variants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VEP: functional consequences (HIGH/MODERATE/LOW/MODIFIER)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Vector Database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Show: Attu UI at http://localhost:8000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3.5M variant embeddings (BGE-small-en-v1.5, 384-dim)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IVF_FLAT index, COSINE metric, 17 fields per record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"This enables natural language queries over genomic data."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Interactive Chat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Show: Streamlit chat at http://localhost:8501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Type: "What are the most promising drug targets for neurodegenerative disease?"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Claude identifies VCP with full evidence chain: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rs188935092 — ClinVar Pathogenic, AlphaMissense 0.87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HIGH impact missense variant in D2 ATPase domain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Known target — CB-5083 (Phase I), druggability 0.92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201 genes, 13 therapeutic areas, 171 druggable (85%)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Stage 3: Drug Discovery (4-5 minutes)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Structure Retrieval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VCP → UniProt P55072 → RCSB PDB query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4 structures: 8OOI, 9DIL, 7K56, 5FTK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5FTK selected — 2.3 Å X-ray with CB-5083 inhibitor bound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Molecule Generation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Show: Discovery UI at http://localhost:8505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MolMIM generates 100 novel analogs from CB-5083 seed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98 pass RDKit chemical validity checks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Docking &amp; Ranking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DiffDock docks each candidate against VCP D2 domain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34 candidates score below -8.0 kcal/mol (excellent)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Composite: 30% generation + 40% docking + 30% QED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Key Demo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CB-5083 (Seed)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Top Candidate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Improvement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Dock Score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-8.1 kcal/mol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-11.4 kcal/mol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+41% binding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QED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0.62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0.81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+31% drug-likeness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MW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487.2 Da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423.5 Da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-13% (better)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Composite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0.64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0.89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+39% overall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PDF report generated automatically via ReportLab with full provenance.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Closing (2 minutes)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"&lt; 5 hours, $3,999 desktop → raw DNA to 100 ranked drug candidates"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"Collapses weeks/months to a single session"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"Same Nextflow pipelines scale to DGX SuperPOD"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•</w:t>
      </w:r>
      <w:r>
        <w:rPr>
          <w:rFonts w:ascii="Calibri" w:hAnsi="Calibri"/>
          <w:color w:val="333333"/>
          <w:sz w:val="21"/>
        </w:rPr>
        <w:t xml:space="preserve">  "Open-source — Apache 2.0"</w:t>
      </w:r>
    </w:p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Phase 1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DGX Spark ($3,999)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Proof build — what you just saw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Phase 2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DGX B200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Department — multiple concurrent patients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Phase 3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DGX SuperPOD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Enterprise — thousands, federated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Troubleshooting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Service Not Starting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docker compose ps                    # Check status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docker compose logs &lt;service-name&gt;   # Check logs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docker compose restart &lt;service&gt;     # Restart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BioNeMo NIM Not Ready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NIMs require NGC API key and may take 2-5 minutes to initialize.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curl http://localhost:8001/v1/health/ready   # MolMIM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curl http://localhost:8002/v1/health/ready   # DiffDock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GPU Out of Memory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DeepVariant peaks at ~60 GB. Monitor with: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watch -n 1 nvidia-smi</w:t>
      </w:r>
    </w:p>
    <w:p>
      <w:pPr>
        <w:spacing w:before="0" w:after="120"/>
      </w:pP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Quick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Command / URL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Start services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./start-services.sh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Launch demo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python run_pipeline.py --mode demo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Landing page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http://localhost:8080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Genomics portal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http://localhost:5000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Chat interface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http://localhost:8501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UI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http://localhost:8000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Discovery UI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http://localhost:8505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Grafana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http://localhost:3000</w:t>
            </w:r>
          </w:p>
        </w:tc>
      </w:tr>
    </w:tbl>
    <w:p>
      <w:pPr>
        <w:spacing w:before="0" w:after="240"/>
      </w:pPr>
    </w:p>
    <w:p>
      <w:pPr>
        <w:spacing w:before="0" w:after="120"/>
        <w:jc w:val="center"/>
      </w:pPr>
      <w:r>
        <w:rPr>
          <w:rFonts w:ascii="Calibri" w:hAnsi="Calibri"/>
          <w:i/>
          <w:color w:val="666666"/>
          <w:sz w:val="20"/>
        </w:rPr>
        <w:t>HCLS AI Factory — Apache 2.0  |  Author: Adam Jones  |  February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