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76B900"/>
          </w:tcPr>
          <w:p>
            <w:pPr>
              <w:spacing w:before="0" w:after="0"/>
            </w:pPr>
            <w:r>
              <w:rPr>
                <w:rFonts w:ascii="Calibri" w:hAnsi="Calibri"/>
                <w:color w:val="76B900"/>
                <w:sz w:val="8"/>
              </w:rPr>
              <w:t xml:space="preserve"> </w:t>
            </w:r>
          </w:p>
        </w:tc>
      </w:tr>
    </w:tbl>
    <w:p>
      <w:pPr>
        <w:spacing w:before="0" w:after="40"/>
      </w:pPr>
    </w:p>
    <w:p>
      <w:pPr>
        <w:spacing w:before="0" w:after="40"/>
      </w:pPr>
      <w:r>
        <w:rPr>
          <w:rFonts w:ascii="Calibri" w:hAnsi="Calibri"/>
          <w:b/>
          <w:color w:val="1AAFCC"/>
          <w:sz w:val="22"/>
        </w:rPr>
        <w:t>Executive Bullets</w:t>
      </w:r>
    </w:p>
    <w:p>
      <w:pPr>
        <w:spacing w:before="0" w:after="40"/>
      </w:pPr>
      <w:r>
        <w:rPr>
          <w:rFonts w:ascii="Calibri" w:hAnsi="Calibri"/>
          <w:b/>
          <w:color w:val="1B2333"/>
          <w:sz w:val="48"/>
        </w:rPr>
        <w:t>HCLS AI Factory</w:t>
      </w:r>
    </w:p>
    <w:p>
      <w:pPr>
        <w:spacing w:before="0" w:after="80"/>
      </w:pPr>
      <w:r>
        <w:rPr>
          <w:rFonts w:ascii="Calibri" w:hAnsi="Calibri"/>
          <w:b/>
          <w:color w:val="1B2333"/>
          <w:sz w:val="28"/>
        </w:rPr>
        <w:t>From Patient DNA to Novel Drug Candidates in &lt; 5 Hours</w:t>
      </w:r>
    </w:p>
    <w:p>
      <w:pPr>
        <w:spacing w:before="0" w:after="40"/>
      </w:pPr>
      <w:r>
        <w:rPr>
          <w:rFonts w:ascii="Calibri" w:hAnsi="Calibri"/>
          <w:i/>
          <w:color w:val="666666"/>
          <w:sz w:val="18"/>
        </w:rPr>
        <w:t>NVIDIA DGX Spark  |  Parabricks  |  BioNeMo  |  Milvus  |  Claude</w:t>
      </w:r>
    </w:p>
    <w:p>
      <w:pPr>
        <w:spacing w:before="0" w:after="120"/>
      </w:pPr>
      <w:r>
        <w:rPr>
          <w:rFonts w:ascii="Calibri" w:hAnsi="Calibri"/>
          <w:color w:val="666666"/>
          <w:sz w:val="16"/>
        </w:rPr>
        <w:t>02/2026  |  Version 1.0  |  Apache 2.0 License  |  Author: Adam Jones</w:t>
      </w:r>
    </w:p>
    <w:p>
      <w:pPr>
        <w:spacing w:before="240" w:after="80"/>
      </w:pPr>
      <w:r>
        <w:rPr>
          <w:rFonts w:ascii="Calibri" w:hAnsi="Calibri"/>
          <w:b/>
          <w:color w:val="1B2333"/>
          <w:sz w:val="32"/>
        </w:rPr>
        <w:t>What It Is</w:t>
      </w:r>
    </w:p>
    <w:p>
      <w:pPr>
        <w:spacing w:before="0" w:after="60"/>
      </w:pPr>
      <w:r>
        <w:rPr>
          <w:rFonts w:ascii="Calibri" w:hAnsi="Calibri"/>
          <w:color w:val="333333"/>
          <w:sz w:val="20"/>
        </w:rPr>
        <w:t>The HCLS AI Factory transforms patient DNA into ranked novel drug candidates in under 5 hours on a single NVIDIA DGX Spark ($3,999). Three GPU-accelerated stages run end-to-end with no manual intervention.</w:t>
      </w:r>
    </w:p>
    <w:p>
      <w:pPr>
        <w:spacing w:before="240" w:after="80"/>
      </w:pPr>
      <w:r>
        <w:rPr>
          <w:rFonts w:ascii="Calibri" w:hAnsi="Calibri"/>
          <w:b/>
          <w:color w:val="1B2333"/>
          <w:sz w:val="32"/>
        </w:rPr>
        <w:t>The Problem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CPU-based genomics: 12-36 hours for a single 30× WGS sample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Variant annotation fragmented across disconnected databases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Variant-to-drug-lead gap: months of manual work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No integrated platform connects genomics → reasoning → drug discovery</w:t>
      </w:r>
    </w:p>
    <w:p>
      <w:pPr>
        <w:spacing w:before="240" w:after="80"/>
      </w:pPr>
      <w:r>
        <w:rPr>
          <w:rFonts w:ascii="Calibri" w:hAnsi="Calibri"/>
          <w:b/>
          <w:color w:val="1B2333"/>
          <w:sz w:val="32"/>
        </w:rPr>
        <w:t>The Solution — Three Stages</w:t>
      </w:r>
    </w:p>
    <w:p>
      <w:pPr>
        <w:spacing w:before="160" w:after="60"/>
      </w:pPr>
      <w:r>
        <w:rPr>
          <w:rFonts w:ascii="Calibri" w:hAnsi="Calibri"/>
          <w:b/>
          <w:color w:val="1AAFCC"/>
          <w:sz w:val="24"/>
        </w:rPr>
        <w:t>Stage 1: GPU-Accelerated Genomics (120-240 min)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NVIDIA Parabricks 4.6 — 10-20× faster than CPU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BWA-MEM2 alignment: 20-45 min | DeepVariant: 10-35 min, &gt;99% accuracy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Input: ~200 GB FASTQ | Output: VCF (~11.7M variants)</w:t>
      </w:r>
    </w:p>
    <w:p>
      <w:pPr>
        <w:spacing w:before="160" w:after="60"/>
      </w:pPr>
      <w:r>
        <w:rPr>
          <w:rFonts w:ascii="Calibri" w:hAnsi="Calibri"/>
          <w:b/>
          <w:color w:val="1AAFCC"/>
          <w:sz w:val="24"/>
        </w:rPr>
        <w:t>Stage 2: RAG-Grounded Target Identification (Interactive)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ClinVar (4.1M) + AlphaMissense (71M) + VEP annotation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3.5M variant embeddings in Milvus | BGE-small-en-v1.5 (384-dim)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Claude RAG reasoning | 201 genes, 13 therapeutic areas, 171 druggable (85%)</w:t>
      </w:r>
    </w:p>
    <w:p>
      <w:pPr>
        <w:spacing w:before="160" w:after="60"/>
      </w:pPr>
      <w:r>
        <w:rPr>
          <w:rFonts w:ascii="Calibri" w:hAnsi="Calibri"/>
          <w:b/>
          <w:color w:val="1AAFCC"/>
          <w:sz w:val="24"/>
        </w:rPr>
        <w:t>Stage 3: AI-Driven Drug Discovery (8-16 min)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BioNeMo MolMIM (generation) + DiffDock (docking) + RDKit (scoring)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Composite: 30% generation + 40% docking + 30% QED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Output: 100 ranked novel drug candidates + PDF report</w:t>
      </w: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B2333"/>
          <w:sz w:val="32"/>
        </w:rPr>
        <w:t>Key Numbers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986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Total Pipeline Time</w:t>
            </w:r>
          </w:p>
        </w:tc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&lt; 5 hours</w:t>
            </w:r>
          </w:p>
        </w:tc>
      </w:tr>
      <w:tr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Input Data</w:t>
            </w:r>
          </w:p>
        </w:tc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~200 GB FASTQ (30× WGS)</w:t>
            </w:r>
          </w:p>
        </w:tc>
      </w:tr>
      <w:tr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Variants Called</w:t>
            </w:r>
          </w:p>
        </w:tc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~11.7 million</w:t>
            </w:r>
          </w:p>
        </w:tc>
      </w:tr>
      <w:tr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High-Quality Variants</w:t>
            </w:r>
          </w:p>
        </w:tc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~3.5 million (QUAL&gt;30)</w:t>
            </w:r>
          </w:p>
        </w:tc>
      </w:tr>
      <w:tr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Knowledge Base</w:t>
            </w:r>
          </w:p>
        </w:tc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201 genes, 13 therapeutic areas</w:t>
            </w:r>
          </w:p>
        </w:tc>
      </w:tr>
      <w:tr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Druggable Targets</w:t>
            </w:r>
          </w:p>
        </w:tc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171 (85%)</w:t>
            </w:r>
          </w:p>
        </w:tc>
      </w:tr>
      <w:tr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Drug Candidates</w:t>
            </w:r>
          </w:p>
        </w:tc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100 (ranked by composite score)</w:t>
            </w:r>
          </w:p>
        </w:tc>
      </w:tr>
      <w:tr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Hardware Cost</w:t>
            </w:r>
          </w:p>
        </w:tc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$3,999 (DGX Spark)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rFonts w:ascii="Calibri" w:hAnsi="Calibri"/>
          <w:b/>
          <w:color w:val="1B2333"/>
          <w:sz w:val="32"/>
        </w:rPr>
        <w:t>VCP/FTD Demo Highlights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Target: VCP gene — FTD, ALS, IBMPFD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Variant: rs188935092 — ClinVar Pathogenic, AlphaMissense 0.87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Seed: CB-5083 (Phase I VCP inhibitor)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Top candidate: +39% composite improvement over seed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Docking: -11.4 kcal/mol (vs. -8.1) | QED: 0.81 (vs. 0.62)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All top 10 pass Lipinski's Rule of Five</w:t>
      </w:r>
    </w:p>
    <w:p>
      <w:pPr>
        <w:spacing w:before="240" w:after="80"/>
      </w:pPr>
      <w:r>
        <w:rPr>
          <w:rFonts w:ascii="Calibri" w:hAnsi="Calibri"/>
          <w:b/>
          <w:color w:val="1B2333"/>
          <w:sz w:val="32"/>
        </w:rPr>
        <w:t>Technology Stack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986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Technology</w:t>
            </w:r>
          </w:p>
        </w:tc>
      </w:tr>
      <w:tr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Hardware</w:t>
            </w:r>
          </w:p>
        </w:tc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NVIDIA DGX Spark (GB10, 128 GB unified, $3,999)</w:t>
            </w:r>
          </w:p>
        </w:tc>
      </w:tr>
      <w:tr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Genomics</w:t>
            </w:r>
          </w:p>
        </w:tc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Parabricks 4.6, DeepVariant (&gt;99% accuracy)</w:t>
            </w:r>
          </w:p>
        </w:tc>
      </w:tr>
      <w:tr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Annotation</w:t>
            </w:r>
          </w:p>
        </w:tc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ClinVar, AlphaMissense, Ensembl VEP</w:t>
            </w:r>
          </w:p>
        </w:tc>
      </w:tr>
      <w:tr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Vector DB</w:t>
            </w:r>
          </w:p>
        </w:tc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Milvus 2.4, BGE-small-en-v1.5, IVF_FLAT</w:t>
            </w:r>
          </w:p>
        </w:tc>
      </w:tr>
      <w:tr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LLM</w:t>
            </w:r>
          </w:p>
        </w:tc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Anthropic Claude (RAG-grounded reasoning)</w:t>
            </w:r>
          </w:p>
        </w:tc>
      </w:tr>
      <w:tr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Drug Discovery</w:t>
            </w:r>
          </w:p>
        </w:tc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BioNeMo MolMIM, DiffDock, RDKit</w:t>
            </w:r>
          </w:p>
        </w:tc>
      </w:tr>
      <w:tr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Orchestration</w:t>
            </w:r>
          </w:p>
        </w:tc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Nextflow DSL2 (5 modes)</w:t>
            </w:r>
          </w:p>
        </w:tc>
      </w:tr>
      <w:tr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Monitoring</w:t>
            </w:r>
          </w:p>
        </w:tc>
        <w:tc>
          <w:tcPr>
            <w:tcW w:type="dxa" w:w="4986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Grafana, Prometheus, DCGM Exporter</w:t>
            </w:r>
          </w:p>
        </w:tc>
      </w:tr>
      <w:tr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License</w:t>
            </w:r>
          </w:p>
        </w:tc>
        <w:tc>
          <w:tcPr>
            <w:tcW w:type="dxa" w:w="4986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Apache 2.0 (fully open)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rFonts w:ascii="Calibri" w:hAnsi="Calibri"/>
          <w:b/>
          <w:color w:val="1B2333"/>
          <w:sz w:val="32"/>
        </w:rPr>
        <w:t>Deployment Roadmap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49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Hardware</w:t>
            </w:r>
          </w:p>
        </w:tc>
        <w:tc>
          <w:tcPr>
            <w:tcW w:type="dxa" w:w="249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Scale</w:t>
            </w:r>
          </w:p>
        </w:tc>
        <w:tc>
          <w:tcPr>
            <w:tcW w:type="dxa" w:w="2493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Cost</w:t>
            </w:r>
          </w:p>
        </w:tc>
      </w:tr>
      <w:tr>
        <w:tc>
          <w:tcPr>
            <w:tcW w:type="dxa" w:w="249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1 — Proof Build</w:t>
            </w:r>
          </w:p>
        </w:tc>
        <w:tc>
          <w:tcPr>
            <w:tcW w:type="dxa" w:w="249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DGX Spark</w:t>
            </w:r>
          </w:p>
        </w:tc>
        <w:tc>
          <w:tcPr>
            <w:tcW w:type="dxa" w:w="249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1 patient, Docker Compose</w:t>
            </w:r>
          </w:p>
        </w:tc>
        <w:tc>
          <w:tcPr>
            <w:tcW w:type="dxa" w:w="249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$3,999</w:t>
            </w:r>
          </w:p>
        </w:tc>
      </w:tr>
      <w:tr>
        <w:tc>
          <w:tcPr>
            <w:tcW w:type="dxa" w:w="249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2 — Departmental</w:t>
            </w:r>
          </w:p>
        </w:tc>
        <w:tc>
          <w:tcPr>
            <w:tcW w:type="dxa" w:w="249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DGX B200</w:t>
            </w:r>
          </w:p>
        </w:tc>
        <w:tc>
          <w:tcPr>
            <w:tcW w:type="dxa" w:w="249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Multiple concurrent, K8s</w:t>
            </w:r>
          </w:p>
        </w:tc>
        <w:tc>
          <w:tcPr>
            <w:tcW w:type="dxa" w:w="2493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$500K-$1M</w:t>
            </w:r>
          </w:p>
        </w:tc>
      </w:tr>
      <w:tr>
        <w:tc>
          <w:tcPr>
            <w:tcW w:type="dxa" w:w="249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AFCC"/>
                <w:sz w:val="17"/>
              </w:rPr>
              <w:t>3 — Enterprise</w:t>
            </w:r>
          </w:p>
        </w:tc>
        <w:tc>
          <w:tcPr>
            <w:tcW w:type="dxa" w:w="249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DGX SuperPOD</w:t>
            </w:r>
          </w:p>
        </w:tc>
        <w:tc>
          <w:tcPr>
            <w:tcW w:type="dxa" w:w="249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Thousands, FLARE federated</w:t>
            </w:r>
          </w:p>
        </w:tc>
        <w:tc>
          <w:tcPr>
            <w:tcW w:type="dxa" w:w="2493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333333"/>
                <w:sz w:val="17"/>
              </w:rPr>
              <w:t>$7M-$60M+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rFonts w:ascii="Calibri" w:hAnsi="Calibri"/>
          <w:b/>
          <w:color w:val="1B2333"/>
          <w:sz w:val="32"/>
        </w:rPr>
        <w:t>Cross-Modal Integration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Imaging → Genomics: Lung-RADS 4B+ triggers tumor profiling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Genomics → Drug Discovery: Pathogenic variants trigger molecule generation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NVIDIA FLARE: Federated learning (data stays local)</w:t>
      </w:r>
    </w:p>
    <w:p>
      <w:pPr>
        <w:spacing w:before="240" w:after="80"/>
      </w:pPr>
      <w:r>
        <w:rPr>
          <w:rFonts w:ascii="Calibri" w:hAnsi="Calibri"/>
          <w:b/>
          <w:color w:val="1B2333"/>
          <w:sz w:val="32"/>
        </w:rPr>
        <w:t>Competitive Differentiation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Only platform: genomics-to-drug-candidates on a single desktop GPU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End-to-end: No manual handoffs between stages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&lt; 5 hours total (vs. weeks/months traditional)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$3,999 proof build (vs. $100K+ CPU infrastructure)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Open-source: Apache 2.0, reproducible, auditable</w:t>
      </w:r>
    </w:p>
    <w:p>
      <w:pPr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>•</w:t>
      </w:r>
      <w:r>
        <w:rPr>
          <w:rFonts w:ascii="Calibri" w:hAnsi="Calibri"/>
          <w:color w:val="333333"/>
          <w:sz w:val="20"/>
        </w:rPr>
        <w:t xml:space="preserve"> Scalable: Same pipelines from DGX Spark to SuperPOD</w:t>
      </w:r>
    </w:p>
    <w:p>
      <w:pPr>
        <w:spacing w:before="0" w:after="160"/>
      </w:pP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18"/>
        </w:rPr>
        <w:t>HCLS AI Factory — Apache 2.0  |  Author: Adam Jones  |  February 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