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76B900"/>
          </w:tcPr>
          <w:p>
            <w:pPr>
              <w:spacing w:before="0" w:after="0"/>
            </w:pPr>
            <w:r>
              <w:rPr>
                <w:rFonts w:ascii="Calibri" w:hAnsi="Calibri"/>
                <w:color w:val="76B900"/>
                <w:sz w:val="12"/>
              </w:rPr>
              <w:t xml:space="preserve"> </w:t>
            </w:r>
          </w:p>
        </w:tc>
      </w:tr>
    </w:tbl>
    <w:p>
      <w:pPr>
        <w:spacing w:before="0" w:after="80"/>
      </w:pPr>
    </w:p>
    <w:p>
      <w:pPr>
        <w:spacing w:before="0" w:after="80"/>
      </w:pPr>
      <w:r>
        <w:rPr>
          <w:rFonts w:ascii="Calibri" w:hAnsi="Calibri"/>
          <w:b/>
          <w:color w:val="1AAFCC"/>
          <w:sz w:val="26"/>
        </w:rPr>
        <w:t>Intelligence Report</w:t>
      </w:r>
    </w:p>
    <w:p>
      <w:pPr>
        <w:spacing w:before="0" w:after="80"/>
      </w:pPr>
      <w:r>
        <w:rPr>
          <w:rFonts w:ascii="Calibri" w:hAnsi="Calibri"/>
          <w:b/>
          <w:color w:val="1B2333"/>
          <w:sz w:val="52"/>
        </w:rPr>
        <w:t>HCLS AI Factory — Genomics to Drug Discovery</w:t>
      </w:r>
    </w:p>
    <w:p>
      <w:pPr>
        <w:spacing w:before="0" w:after="120"/>
      </w:pPr>
      <w:r>
        <w:rPr>
          <w:rFonts w:ascii="Calibri" w:hAnsi="Calibri"/>
          <w:b/>
          <w:color w:val="1B2333"/>
          <w:sz w:val="28"/>
        </w:rPr>
        <w:t>Pipeline Run: HCLS-VCP-2026-0087</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Patient ID</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GEN-2026-0087</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Run ID</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HCLS-VCP-2026-0087</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Pipeline Version</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HLS-Pipeline v1.0.0</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Pipeline Mode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Full (Genomics → RAG/Chat → Drug Discovery)</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Hardware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NVIDIA DGX Spark (GB10 GPU, 128 GB unified)</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Total Duration</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 hours 12 minutes</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Report Date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February 2026</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Status</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COMPLETE — 100 novel drug candidates ranked</w:t>
            </w:r>
          </w:p>
        </w:tc>
      </w:tr>
    </w:tbl>
    <w:p>
      <w:pPr>
        <w:spacing w:before="0" w:after="160"/>
      </w:pPr>
    </w:p>
    <w:p>
      <w:pPr>
        <w:spacing w:before="0" w:after="80"/>
        <w:jc w:val="center"/>
      </w:pPr>
      <w:r>
        <w:rPr>
          <w:rFonts w:ascii="Calibri" w:hAnsi="Calibri"/>
          <w:b/>
          <w:color w:val="059669"/>
          <w:sz w:val="22"/>
        </w:rPr>
        <w:t>PIPELINE COMPLETE</w:t>
      </w:r>
      <w:r>
        <w:rPr>
          <w:rFonts w:ascii="Calibri" w:hAnsi="Calibri"/>
          <w:color w:val="666666"/>
          <w:sz w:val="22"/>
        </w:rPr>
        <w:t xml:space="preserve">  |  </w:t>
      </w:r>
      <w:r>
        <w:rPr>
          <w:rFonts w:ascii="Calibri" w:hAnsi="Calibri"/>
          <w:b/>
          <w:color w:val="DC2626"/>
          <w:sz w:val="22"/>
        </w:rPr>
        <w:t>PRIMARY TARGET: VCP (Pathogenic)</w:t>
      </w:r>
      <w:r>
        <w:rPr>
          <w:rFonts w:ascii="Calibri" w:hAnsi="Calibri"/>
          <w:color w:val="666666"/>
          <w:sz w:val="22"/>
        </w:rPr>
        <w:t xml:space="preserve">  |  </w:t>
      </w:r>
      <w:r>
        <w:rPr>
          <w:rFonts w:ascii="Calibri" w:hAnsi="Calibri"/>
          <w:b/>
          <w:color w:val="1AAFCC"/>
          <w:sz w:val="22"/>
        </w:rPr>
        <w:t>100 CANDIDATES RANKED</w:t>
      </w:r>
    </w:p>
    <w:p>
      <w:r>
        <w:br w:type="page"/>
      </w:r>
    </w:p>
    <w:p>
      <w:pPr>
        <w:pStyle w:val="Heading1"/>
        <w:spacing w:before="400" w:after="120"/>
      </w:pPr>
      <w:r>
        <w:rPr>
          <w:rFonts w:ascii="Calibri" w:hAnsi="Calibri"/>
          <w:b/>
          <w:color w:val="1B2333"/>
          <w:sz w:val="40"/>
        </w:rPr>
        <w:t>1. Genomics Summary (Stage 1)</w:t>
      </w:r>
    </w:p>
    <w:p>
      <w:pPr>
        <w:pStyle w:val="Heading2"/>
        <w:spacing w:before="280" w:after="80"/>
      </w:pPr>
      <w:r>
        <w:rPr>
          <w:rFonts w:ascii="Calibri" w:hAnsi="Calibri"/>
          <w:b/>
          <w:color w:val="1B2333"/>
          <w:sz w:val="28"/>
        </w:rPr>
        <w:t>Input Data</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Sample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HG002 (NA24385, GIAB Ashkenazi male)</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Sequencing</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Illumina, 30× WGS, 2×250 bp paired-end</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FASTQ Size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198.7 GB (R1: 99.4 GB, R2: 99.3 GB)</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Reference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GRCh38 (3.1 GB)</w:t>
            </w:r>
          </w:p>
        </w:tc>
      </w:tr>
    </w:tbl>
    <w:p>
      <w:pPr>
        <w:spacing w:before="0" w:after="80"/>
      </w:pPr>
    </w:p>
    <w:p>
      <w:pPr>
        <w:pStyle w:val="Heading2"/>
        <w:spacing w:before="280" w:after="80"/>
      </w:pPr>
      <w:r>
        <w:rPr>
          <w:rFonts w:ascii="Calibri" w:hAnsi="Calibri"/>
          <w:b/>
          <w:color w:val="1B2333"/>
          <w:sz w:val="28"/>
        </w:rPr>
        <w:t>Parabricks Execution</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Step</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Tool</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Duration</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GPU Util</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Peak Memory</w:t>
            </w:r>
          </w:p>
        </w:tc>
      </w:tr>
      <w:tr>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Alignment</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BWA-MEM2 (fq2bam)</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34 min</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82%</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38 GB</w:t>
            </w:r>
          </w:p>
        </w:tc>
      </w:tr>
      <w:tr>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Variant Calling</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Google DeepVariant</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22 min</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91%</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54 GB</w:t>
            </w:r>
          </w:p>
        </w:tc>
      </w:tr>
      <w:tr>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Total Stage 1</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56 min</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r>
          </w:p>
        </w:tc>
      </w:tr>
    </w:tbl>
    <w:p>
      <w:pPr>
        <w:spacing w:before="0" w:after="80"/>
      </w:pPr>
    </w:p>
    <w:p>
      <w:pPr>
        <w:pStyle w:val="Heading2"/>
        <w:spacing w:before="280" w:after="80"/>
      </w:pPr>
      <w:r>
        <w:rPr>
          <w:rFonts w:ascii="Calibri" w:hAnsi="Calibri"/>
          <w:b/>
          <w:color w:val="1B2333"/>
          <w:sz w:val="28"/>
        </w:rPr>
        <w:t>VCF Output</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Count</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Total Variants Called</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11,724,891</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PASS Quality (QUAL&gt;30)</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3,487,216</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SNPs</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4,198,433</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Indels</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1,012,548</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Multi-allelic Sites</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148,762</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Coding Region Variants</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35,616</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Ts/Tv Ratio</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2.07</w:t>
            </w:r>
          </w:p>
        </w:tc>
      </w:tr>
    </w:tbl>
    <w:p>
      <w:pPr>
        <w:spacing w:before="0" w:after="80"/>
      </w:pPr>
    </w:p>
    <w:p>
      <w:pPr>
        <w:spacing w:before="0" w:after="80"/>
      </w:pPr>
      <w:r>
        <w:rPr>
          <w:rFonts w:ascii="Calibri" w:hAnsi="Calibri"/>
          <w:b/>
          <w:color w:val="333333"/>
          <w:sz w:val="20"/>
        </w:rPr>
        <w:t xml:space="preserve">Quality Assessment: </w:t>
      </w:r>
      <w:r>
        <w:rPr>
          <w:rFonts w:ascii="Calibri" w:hAnsi="Calibri"/>
          <w:b/>
          <w:color w:val="059669"/>
          <w:sz w:val="20"/>
        </w:rPr>
        <w:t>PASS</w:t>
      </w:r>
      <w:r>
        <w:rPr>
          <w:rFonts w:ascii="Calibri" w:hAnsi="Calibri"/>
          <w:color w:val="333333"/>
          <w:sz w:val="20"/>
        </w:rPr>
        <w:t xml:space="preserve"> — Ts/Tv ratio within expected range (2.0-2.1), variant counts consistent with 30× WGS of Ashkenazi ancestry sample.</w:t>
      </w:r>
    </w:p>
    <w:p>
      <w:r>
        <w:br w:type="page"/>
      </w:r>
    </w:p>
    <w:p>
      <w:pPr>
        <w:pStyle w:val="Heading1"/>
        <w:spacing w:before="400" w:after="120"/>
      </w:pPr>
      <w:r>
        <w:rPr>
          <w:rFonts w:ascii="Calibri" w:hAnsi="Calibri"/>
          <w:b/>
          <w:color w:val="1B2333"/>
          <w:sz w:val="40"/>
        </w:rPr>
        <w:t>2. Annotation &amp; Target Identification (Stage 2)</w:t>
      </w:r>
    </w:p>
    <w:p>
      <w:pPr>
        <w:pStyle w:val="Heading2"/>
        <w:spacing w:before="280" w:after="80"/>
      </w:pPr>
      <w:r>
        <w:rPr>
          <w:rFonts w:ascii="Calibri" w:hAnsi="Calibri"/>
          <w:b/>
          <w:color w:val="1B2333"/>
          <w:sz w:val="28"/>
        </w:rPr>
        <w:t>Annotation Funnel</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332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Variants</w:t>
            </w:r>
          </w:p>
        </w:tc>
        <w:tc>
          <w:tcPr>
            <w:tcW w:type="dxa" w:w="332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Filter Applied</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Raw VCF</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11,724,891</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Quality Filter</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3,487,216</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QUAL &gt; 30</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ClinVar Annotated</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35,616</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Clinical significance match</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AlphaMissense Scored</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6,831</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AI pathogenicity prediction</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HIGH Impact + Pathogenic</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2,412</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Actionable subset</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Druggable Gene Targets</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847</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Knowledge base match</w:t>
            </w:r>
          </w:p>
        </w:tc>
      </w:tr>
    </w:tbl>
    <w:p>
      <w:pPr>
        <w:spacing w:before="0" w:after="80"/>
      </w:pPr>
    </w:p>
    <w:p>
      <w:pPr>
        <w:pStyle w:val="Heading2"/>
        <w:spacing w:before="280" w:after="80"/>
      </w:pPr>
      <w:r>
        <w:rPr>
          <w:rFonts w:ascii="Calibri" w:hAnsi="Calibri"/>
          <w:b/>
          <w:color w:val="1B2333"/>
          <w:sz w:val="28"/>
        </w:rPr>
        <w:t>Top 5 Target Hypotheses (Claude RAG Analysis)</w:t>
      </w:r>
    </w:p>
    <w:tbl>
      <w:tblPr>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Rank</w:t>
            </w:r>
          </w:p>
        </w:tc>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Gene</w:t>
            </w:r>
          </w:p>
        </w:tc>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Variant</w:t>
            </w:r>
          </w:p>
        </w:tc>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ClinVar</w:t>
            </w:r>
          </w:p>
        </w:tc>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AM Score</w:t>
            </w:r>
          </w:p>
        </w:tc>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Area</w:t>
            </w:r>
          </w:p>
        </w:tc>
        <w:tc>
          <w:tcPr>
            <w:tcW w:type="dxa" w:w="142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Druggability</w:t>
            </w:r>
          </w:p>
        </w:tc>
      </w:tr>
      <w:tr>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1</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VCP</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rs188935092</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Pathogenic</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0.87</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Neurology</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0.92</w:t>
            </w:r>
          </w:p>
        </w:tc>
      </w:tr>
      <w:tr>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2</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EGFR</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rs121913229</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Pathogenic</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0.79</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Oncology</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0.95</w:t>
            </w:r>
          </w:p>
        </w:tc>
      </w:tr>
      <w:tr>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3</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BRCA1</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rs80357914</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Pathogenic</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0.72</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Oncology</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0.78</w:t>
            </w:r>
          </w:p>
        </w:tc>
      </w:tr>
      <w:tr>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4</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PCSK9</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rs11591147</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Pathogenic</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0.68</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Cardiovascular</w:t>
            </w:r>
          </w:p>
        </w:tc>
        <w:tc>
          <w:tcPr>
            <w:tcW w:type="dxa" w:w="1425"/>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0.88</w:t>
            </w:r>
          </w:p>
        </w:tc>
      </w:tr>
      <w:tr>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5</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CFTR</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rs75527207</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Pathogenic</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0.81</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Respiratory</w:t>
            </w:r>
          </w:p>
        </w:tc>
        <w:tc>
          <w:tcPr>
            <w:tcW w:type="dxa" w:w="1425"/>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0.71</w:t>
            </w:r>
          </w:p>
        </w:tc>
      </w:tr>
    </w:tbl>
    <w:p>
      <w:pPr>
        <w:spacing w:before="0" w:after="80"/>
      </w:pPr>
    </w:p>
    <w:p>
      <w:pPr>
        <w:pStyle w:val="Heading2"/>
        <w:spacing w:before="280" w:after="80"/>
      </w:pPr>
      <w:r>
        <w:rPr>
          <w:rFonts w:ascii="Calibri" w:hAnsi="Calibri"/>
          <w:b/>
          <w:color w:val="1B2333"/>
          <w:sz w:val="28"/>
        </w:rPr>
        <w:t>Primary Target: VCP</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Gene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VCP (Valosin-Containing Protein / p97)</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UniProt</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P55072</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Function</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AAA+ ATPase, ubiquitin-proteasome pathway</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Diseases</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Frontotemporal Dementia (FTD), ALS, IBMPFD</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Variant</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rs188935092 — missense, HIGH impact</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ClinVar</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Pathogenic (reviewed by expert panel)</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AlphaMissense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0.87 (pathogenic, &gt;0.564 threshold)</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Druggability</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0.92 (D2 ATPase domain, ~450 Å³)</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Known Inhibitors</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CB-5083 (Phase I), NMS-873</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Confidence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HIGH — multiple independent evidence sources</w:t>
            </w:r>
          </w:p>
        </w:tc>
      </w:tr>
    </w:tbl>
    <w:p>
      <w:pPr>
        <w:spacing w:before="0" w:after="80"/>
      </w:pPr>
    </w:p>
    <w:p>
      <w:pPr>
        <w:spacing w:before="160" w:after="60"/>
      </w:pPr>
      <w:r>
        <w:rPr>
          <w:rFonts w:ascii="Calibri" w:hAnsi="Calibri"/>
          <w:b/>
          <w:color w:val="1AAFCC"/>
          <w:sz w:val="24"/>
        </w:rPr>
        <w:t>Evidence Chain</w:t>
      </w:r>
    </w:p>
    <w:p>
      <w:pPr>
        <w:spacing w:before="20" w:after="20"/>
        <w:ind w:left="360"/>
      </w:pPr>
      <w:r>
        <w:rPr>
          <w:rFonts w:ascii="Calibri" w:hAnsi="Calibri"/>
          <w:b/>
          <w:color w:val="333333"/>
          <w:sz w:val="20"/>
        </w:rPr>
        <w:t>1.</w:t>
      </w:r>
      <w:r>
        <w:rPr>
          <w:rFonts w:ascii="Calibri" w:hAnsi="Calibri"/>
          <w:color w:val="333333"/>
          <w:sz w:val="20"/>
        </w:rPr>
        <w:t xml:space="preserve">  Genomic: rs188935092 at chr9:35065263 (G&gt;A), heterozygous, QUAL=892</w:t>
      </w:r>
    </w:p>
    <w:p>
      <w:pPr>
        <w:spacing w:before="20" w:after="20"/>
        <w:ind w:left="360"/>
      </w:pPr>
      <w:r>
        <w:rPr>
          <w:rFonts w:ascii="Calibri" w:hAnsi="Calibri"/>
          <w:b/>
          <w:color w:val="333333"/>
          <w:sz w:val="20"/>
        </w:rPr>
        <w:t>2.</w:t>
      </w:r>
      <w:r>
        <w:rPr>
          <w:rFonts w:ascii="Calibri" w:hAnsi="Calibri"/>
          <w:color w:val="333333"/>
          <w:sz w:val="20"/>
        </w:rPr>
        <w:t xml:space="preserve">  Clinical: ClinVar Pathogenic for FTD/ALS/IBMPFD (expert panel)</w:t>
      </w:r>
    </w:p>
    <w:p>
      <w:pPr>
        <w:spacing w:before="20" w:after="20"/>
        <w:ind w:left="360"/>
      </w:pPr>
      <w:r>
        <w:rPr>
          <w:rFonts w:ascii="Calibri" w:hAnsi="Calibri"/>
          <w:b/>
          <w:color w:val="333333"/>
          <w:sz w:val="20"/>
        </w:rPr>
        <w:t>3.</w:t>
      </w:r>
      <w:r>
        <w:rPr>
          <w:rFonts w:ascii="Calibri" w:hAnsi="Calibri"/>
          <w:color w:val="333333"/>
          <w:sz w:val="20"/>
        </w:rPr>
        <w:t xml:space="preserve">  AI Prediction: AlphaMissense 0.87 (&gt;0.564 pathogenic threshold)</w:t>
      </w:r>
    </w:p>
    <w:p>
      <w:pPr>
        <w:spacing w:before="20" w:after="20"/>
        <w:ind w:left="360"/>
      </w:pPr>
      <w:r>
        <w:rPr>
          <w:rFonts w:ascii="Calibri" w:hAnsi="Calibri"/>
          <w:b/>
          <w:color w:val="333333"/>
          <w:sz w:val="20"/>
        </w:rPr>
        <w:t>4.</w:t>
      </w:r>
      <w:r>
        <w:rPr>
          <w:rFonts w:ascii="Calibri" w:hAnsi="Calibri"/>
          <w:color w:val="333333"/>
          <w:sz w:val="20"/>
        </w:rPr>
        <w:t xml:space="preserve">  Functional: VEP missense_variant, HIGH impact, D2 ATPase domain</w:t>
      </w:r>
    </w:p>
    <w:p>
      <w:pPr>
        <w:spacing w:before="20" w:after="20"/>
        <w:ind w:left="360"/>
      </w:pPr>
      <w:r>
        <w:rPr>
          <w:rFonts w:ascii="Calibri" w:hAnsi="Calibri"/>
          <w:b/>
          <w:color w:val="333333"/>
          <w:sz w:val="20"/>
        </w:rPr>
        <w:t>5.</w:t>
      </w:r>
      <w:r>
        <w:rPr>
          <w:rFonts w:ascii="Calibri" w:hAnsi="Calibri"/>
          <w:color w:val="333333"/>
          <w:sz w:val="20"/>
        </w:rPr>
        <w:t xml:space="preserve">  Druggability: Known target — CB-5083 reached Phase I clinical trial</w:t>
      </w:r>
    </w:p>
    <w:p>
      <w:pPr>
        <w:spacing w:before="20" w:after="20"/>
        <w:ind w:left="360"/>
      </w:pPr>
      <w:r>
        <w:rPr>
          <w:rFonts w:ascii="Calibri" w:hAnsi="Calibri"/>
          <w:b/>
          <w:color w:val="333333"/>
          <w:sz w:val="20"/>
        </w:rPr>
        <w:t>6.</w:t>
      </w:r>
      <w:r>
        <w:rPr>
          <w:rFonts w:ascii="Calibri" w:hAnsi="Calibri"/>
          <w:color w:val="333333"/>
          <w:sz w:val="20"/>
        </w:rPr>
        <w:t xml:space="preserve">  Structural: 4 PDB structures including inhibitor-bound 5FTK</w:t>
      </w:r>
    </w:p>
    <w:p>
      <w:r>
        <w:br w:type="page"/>
      </w:r>
    </w:p>
    <w:p>
      <w:pPr>
        <w:pStyle w:val="Heading1"/>
        <w:spacing w:before="400" w:after="120"/>
      </w:pPr>
      <w:r>
        <w:rPr>
          <w:rFonts w:ascii="Calibri" w:hAnsi="Calibri"/>
          <w:b/>
          <w:color w:val="1B2333"/>
          <w:sz w:val="40"/>
        </w:rPr>
        <w:t>3. Drug Discovery Results (Stage 3)</w:t>
      </w:r>
    </w:p>
    <w:p>
      <w:pPr>
        <w:pStyle w:val="Heading2"/>
        <w:spacing w:before="280" w:after="80"/>
      </w:pPr>
      <w:r>
        <w:rPr>
          <w:rFonts w:ascii="Calibri" w:hAnsi="Calibri"/>
          <w:b/>
          <w:color w:val="1B2333"/>
          <w:sz w:val="28"/>
        </w:rPr>
        <w:t>Structure Evidence</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PDB ID</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Resolution</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99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Score</w:t>
            </w:r>
          </w:p>
        </w:tc>
      </w:tr>
      <w:tr>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5FTK</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2.3 Å</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X-ray</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VCP D2 + CB-5083 inhibitor</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13.2 (selected)</w:t>
            </w:r>
          </w:p>
        </w:tc>
      </w:tr>
      <w:tr>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7K56</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2.5 Å</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Cryo-EM</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VCP complex</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10.8</w:t>
            </w:r>
          </w:p>
        </w:tc>
      </w:tr>
      <w:tr>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8OOI</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2.9 Å</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Cryo-EM</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WT VCP hexamer</w:t>
            </w:r>
          </w:p>
        </w:tc>
        <w:tc>
          <w:tcPr>
            <w:tcW w:type="dxa" w:w="199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8.9</w:t>
            </w:r>
          </w:p>
        </w:tc>
      </w:tr>
      <w:tr>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9DIL</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3.2 Å</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Cryo-EM</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Mutant VCP</w:t>
            </w:r>
          </w:p>
        </w:tc>
        <w:tc>
          <w:tcPr>
            <w:tcW w:type="dxa" w:w="199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7.4</w:t>
            </w:r>
          </w:p>
        </w:tc>
      </w:tr>
    </w:tbl>
    <w:p>
      <w:pPr>
        <w:spacing w:before="0" w:after="80"/>
      </w:pPr>
    </w:p>
    <w:p>
      <w:pPr>
        <w:spacing w:before="0" w:after="80"/>
      </w:pPr>
      <w:r>
        <w:rPr>
          <w:rFonts w:ascii="Calibri" w:hAnsi="Calibri"/>
          <w:color w:val="333333"/>
          <w:sz w:val="21"/>
        </w:rPr>
        <w:t>Selected: 5FTK — inhibitor-bound (CB-5083), X-ray at 2.3 Å. Binding site: D2 ATPase domain, key residues ALA464, GLY479, ASP320, GLY215.</w:t>
      </w:r>
    </w:p>
    <w:p>
      <w:pPr>
        <w:pStyle w:val="Heading2"/>
        <w:spacing w:before="280" w:after="80"/>
      </w:pPr>
      <w:r>
        <w:rPr>
          <w:rFonts w:ascii="Calibri" w:hAnsi="Calibri"/>
          <w:b/>
          <w:color w:val="1B2333"/>
          <w:sz w:val="28"/>
        </w:rPr>
        <w:t>Molecule Generation (MolMIM)</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Seed Compound</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CB-5083 (ATP-competitive VCP inhibitor)</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NIM Endpoint</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MolMIM (port 8001)</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Molecules Generated</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100</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Chemically Valid</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98 (2 rejected by RDKit)</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Generation Time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 min 14 sec</w:t>
            </w:r>
          </w:p>
        </w:tc>
      </w:tr>
    </w:tbl>
    <w:p>
      <w:pPr>
        <w:spacing w:before="0" w:after="80"/>
      </w:pPr>
    </w:p>
    <w:p>
      <w:pPr>
        <w:pStyle w:val="Heading2"/>
        <w:spacing w:before="280" w:after="80"/>
      </w:pPr>
      <w:r>
        <w:rPr>
          <w:rFonts w:ascii="Calibri" w:hAnsi="Calibri"/>
          <w:b/>
          <w:color w:val="1B2333"/>
          <w:sz w:val="28"/>
        </w:rPr>
        <w:t>Drug-Likeness Profile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Pass</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Fail</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Pass Rate</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Lipinski Rule of Five</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87</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11</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88.8%</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QED &gt; 0.67 (drug-like)</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72</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26</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73.5%</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QED &gt; 0.49 (moderate+)</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91</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92.9%</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TPSA &lt; 140 Å²</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94</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95.9%</w:t>
            </w:r>
          </w:p>
        </w:tc>
      </w:tr>
    </w:tbl>
    <w:p>
      <w:pPr>
        <w:spacing w:before="0" w:after="80"/>
      </w:pPr>
    </w:p>
    <w:p>
      <w:pPr>
        <w:pStyle w:val="Heading2"/>
        <w:spacing w:before="280" w:after="80"/>
      </w:pPr>
      <w:r>
        <w:rPr>
          <w:rFonts w:ascii="Calibri" w:hAnsi="Calibri"/>
          <w:b/>
          <w:color w:val="1B2333"/>
          <w:sz w:val="28"/>
        </w:rPr>
        <w:t>Molecular Docking (DiffDock)</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NIM Endpoint</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DiffDock (port 8002)</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Protein Target</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5FTK (VCP D2 domain)</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Candidates Docked</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98</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Docking Time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 min 42 sec</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Mean Dock Score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-7.4 kcal/mol</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Best Dock Score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-11.4 kcal/mol</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Excellent (&lt; -8.0)</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34 candidates</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Good+ (&lt; -6.0)</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78 candidates</w:t>
            </w:r>
          </w:p>
        </w:tc>
      </w:tr>
    </w:tbl>
    <w:p>
      <w:pPr>
        <w:spacing w:before="0" w:after="80"/>
      </w:pPr>
    </w:p>
    <w:p>
      <w:pPr>
        <w:pStyle w:val="Heading2"/>
        <w:spacing w:before="280" w:after="80"/>
      </w:pPr>
      <w:r>
        <w:rPr>
          <w:rFonts w:ascii="Calibri" w:hAnsi="Calibri"/>
          <w:b/>
          <w:color w:val="1B2333"/>
          <w:sz w:val="28"/>
        </w:rPr>
        <w:t>Top 10 Ranked Candidates</w:t>
      </w:r>
    </w:p>
    <w:p>
      <w:pPr>
        <w:spacing w:before="0" w:after="80"/>
      </w:pPr>
      <w:r>
        <w:rPr>
          <w:rFonts w:ascii="Calibri" w:hAnsi="Calibri"/>
          <w:color w:val="333333"/>
          <w:sz w:val="21"/>
        </w:rPr>
        <w:t>Composite scoring: 30% Generation + 40% Docking + 30% QED</w:t>
      </w:r>
    </w:p>
    <w:tbl>
      <w:tblPr>
        <w:tblW w:type="auto" w:w="0"/>
        <w:jc w:val="center"/>
        <w:tblLayout w:type="autofit"/>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Rank</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Composite</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Gen</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Dock</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QED</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MW</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LogP</w:t>
            </w:r>
          </w:p>
        </w:tc>
        <w:tc>
          <w:tcPr>
            <w:tcW w:type="dxa" w:w="124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7"/>
              </w:rPr>
              <w:t>Lipinski</w:t>
            </w:r>
          </w:p>
        </w:tc>
      </w:tr>
      <w:tr>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1</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0.89</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0.92</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-11.4</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0.81</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423.5</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3.2</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2</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0.86</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-10.8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0.79</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441.2</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3.7</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3</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0.84</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0.85</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-10.2</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0.82</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398.7</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2.9</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4</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0.82</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0.91</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-9.8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0.74</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467.1</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4.1</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5</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0.81</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0.83</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-9.5</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0.78</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412.3</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3.4</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6</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0.79</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0.87</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-9.1</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0.71</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455.8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7</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0.78</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0.80</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-8.9</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0.76</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389.2</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2.7</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0.76</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0.84</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-8.7</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0.69</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478.4</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4.3</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9</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0.75</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0.79</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-8.5</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0.73</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401.6</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3.1</w:t>
            </w:r>
          </w:p>
        </w:tc>
        <w:tc>
          <w:tcPr>
            <w:tcW w:type="dxa" w:w="124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r>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7"/>
              </w:rPr>
              <w:t>10</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0.74</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0.82</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-8.2</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0.68</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448.9</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3.9</w:t>
            </w:r>
          </w:p>
        </w:tc>
        <w:tc>
          <w:tcPr>
            <w:tcW w:type="dxa" w:w="124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7"/>
              </w:rPr>
              <w:t>PASS</w:t>
            </w:r>
          </w:p>
        </w:tc>
      </w:tr>
    </w:tbl>
    <w:p>
      <w:pPr>
        <w:spacing w:before="0" w:after="80"/>
      </w:pPr>
    </w:p>
    <w:p>
      <w:pPr>
        <w:pStyle w:val="Heading2"/>
        <w:spacing w:before="280" w:after="80"/>
      </w:pPr>
      <w:r>
        <w:rPr>
          <w:rFonts w:ascii="Calibri" w:hAnsi="Calibri"/>
          <w:b/>
          <w:color w:val="1B2333"/>
          <w:sz w:val="28"/>
        </w:rPr>
        <w:t>CB-5083 Seed Comparison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CB-5083 (Seed)</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Top Candidate</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Improvement</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Dock Score</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-8.1 kcal/mol</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-11.4 kcal/mol</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+41% binding</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QED</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0.62</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0.81</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+31% drug-likeness</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MW</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487.2 Da</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423.5 Da</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-13% (better absorption)</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Composite</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0.64</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0.89</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+39% overall</w:t>
            </w:r>
          </w:p>
        </w:tc>
      </w:tr>
    </w:tbl>
    <w:p>
      <w:r>
        <w:br w:type="page"/>
      </w:r>
    </w:p>
    <w:p>
      <w:pPr>
        <w:pStyle w:val="Heading1"/>
        <w:spacing w:before="400" w:after="120"/>
      </w:pPr>
      <w:r>
        <w:rPr>
          <w:rFonts w:ascii="Calibri" w:hAnsi="Calibri"/>
          <w:b/>
          <w:color w:val="1B2333"/>
          <w:sz w:val="40"/>
        </w:rPr>
        <w:t>4. Pipeline Performance</w:t>
      </w:r>
    </w:p>
    <w:p>
      <w:pPr>
        <w:pStyle w:val="Heading2"/>
        <w:spacing w:before="280" w:after="80"/>
      </w:pPr>
      <w:r>
        <w:rPr>
          <w:rFonts w:ascii="Calibri" w:hAnsi="Calibri"/>
          <w:b/>
          <w:color w:val="1B2333"/>
          <w:sz w:val="28"/>
        </w:rPr>
        <w:t>Stage Timing</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Duration</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GPU Util</w:t>
            </w:r>
          </w:p>
        </w:tc>
        <w:tc>
          <w:tcPr>
            <w:tcW w:type="dxa" w:w="249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Peak Memory</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1 — Genomics (fq2bam)</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34 min</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82%</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38 GB</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1 — Genomics (DeepVariant)</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22 min</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91%</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54 GB</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2 — Annotation</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18 min</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15% (CPU)</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12 GB</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2 — Milvus Indexing</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24 min</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35%</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22 GB</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2 — RAG/Chat</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45 min</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 GB</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3 — Structure Retrieval</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 min</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 (I/O)</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 GB</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3 — MolMIM Generation</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 min 14 sec</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78%</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18 GB</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3 — DiffDock Docking</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 min 42 sec</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85%</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24 GB</w:t>
            </w:r>
          </w:p>
        </w:tc>
      </w:tr>
      <w:tr>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3 — Scoring + Reporting</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 min 30 sec</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0% (CPU)</w:t>
            </w:r>
          </w:p>
        </w:tc>
        <w:tc>
          <w:tcPr>
            <w:tcW w:type="dxa" w:w="2493"/>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 GB</w:t>
            </w:r>
          </w:p>
        </w:tc>
      </w:tr>
      <w:tr>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Total</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~4 hr 12 min</w:t>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r>
          </w:p>
        </w:tc>
        <w:tc>
          <w:tcPr>
            <w:tcW w:type="dxa" w:w="2493"/>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r>
          </w:p>
        </w:tc>
      </w:tr>
    </w:tbl>
    <w:p>
      <w:pPr>
        <w:spacing w:before="0" w:after="80"/>
      </w:pPr>
    </w:p>
    <w:p>
      <w:pPr>
        <w:pStyle w:val="Heading2"/>
        <w:spacing w:before="280" w:after="80"/>
      </w:pPr>
      <w:r>
        <w:rPr>
          <w:rFonts w:ascii="Calibri" w:hAnsi="Calibri"/>
          <w:b/>
          <w:color w:val="1B2333"/>
          <w:sz w:val="28"/>
        </w:rPr>
        <w:t>All Services Healthy</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c>
          <w:tcPr>
            <w:tcW w:type="dxa" w:w="332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3324"/>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Landing Page</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8080</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Genomics Portal</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5000</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Milvus</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19530</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RAG API</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5001</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Streamlit Chat</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8501</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MolMIM NIM</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8001</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DiffDock NIM</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8002</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Discovery UI</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8505</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Grafana</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3000</w:t>
            </w:r>
          </w:p>
        </w:tc>
        <w:tc>
          <w:tcPr>
            <w:tcW w:type="dxa" w:w="3324"/>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r>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Prometheus</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9099</w:t>
            </w:r>
          </w:p>
        </w:tc>
        <w:tc>
          <w:tcPr>
            <w:tcW w:type="dxa" w:w="3324"/>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HEALTHY</w:t>
            </w:r>
          </w:p>
        </w:tc>
      </w:tr>
    </w:tbl>
    <w:p>
      <w:r>
        <w:br w:type="page"/>
      </w:r>
    </w:p>
    <w:p>
      <w:pPr>
        <w:pStyle w:val="Heading1"/>
        <w:spacing w:before="400" w:after="120"/>
      </w:pPr>
      <w:r>
        <w:rPr>
          <w:rFonts w:ascii="Calibri" w:hAnsi="Calibri"/>
          <w:b/>
          <w:color w:val="1B2333"/>
          <w:sz w:val="40"/>
        </w:rPr>
        <w:t>5. Clinical Interpretation</w:t>
      </w:r>
    </w:p>
    <w:p>
      <w:pPr>
        <w:pStyle w:val="Heading2"/>
        <w:spacing w:before="280" w:after="80"/>
      </w:pPr>
      <w:r>
        <w:rPr>
          <w:rFonts w:ascii="Calibri" w:hAnsi="Calibri"/>
          <w:b/>
          <w:color w:val="1B2333"/>
          <w:sz w:val="28"/>
        </w:rPr>
        <w:t>Summary</w:t>
      </w:r>
    </w:p>
    <w:p>
      <w:pPr>
        <w:spacing w:before="0" w:after="80"/>
      </w:pPr>
      <w:r>
        <w:rPr>
          <w:rFonts w:ascii="Calibri" w:hAnsi="Calibri"/>
          <w:color w:val="333333"/>
          <w:sz w:val="21"/>
        </w:rPr>
        <w:t>Patient GEN-2026-0087 carries a heterozygous pathogenic missense variant (rs188935092) in the VCP gene. This variant is associated with Frontotemporal Dementia (FTD), ALS, and Inclusion Body Myopathy with Paget Disease and Frontotemporal Dementia (IBMPFD). The variant is classified as Pathogenic by ClinVar expert panel review and scores 0.87 on the AlphaMissense pathogenicity scale.</w:t>
      </w:r>
    </w:p>
    <w:p>
      <w:pPr>
        <w:pStyle w:val="Heading2"/>
        <w:spacing w:before="280" w:after="80"/>
      </w:pPr>
      <w:r>
        <w:rPr>
          <w:rFonts w:ascii="Calibri" w:hAnsi="Calibri"/>
          <w:b/>
          <w:color w:val="1B2333"/>
          <w:sz w:val="28"/>
        </w:rPr>
        <w:t>Drug Discovery Outcome</w:t>
      </w:r>
    </w:p>
    <w:p>
      <w:pPr>
        <w:spacing w:before="0" w:after="80"/>
      </w:pPr>
      <w:r>
        <w:rPr>
          <w:rFonts w:ascii="Calibri" w:hAnsi="Calibri"/>
          <w:color w:val="333333"/>
          <w:sz w:val="21"/>
        </w:rPr>
        <w:t>The AI-driven drug discovery pipeline identified 100 novel VCP inhibitor candidates with the top candidate showing a 39% improvement in composite score over the CB-5083 seed compound. All top 10 candidates pass Lipinski’s Rule of Five and show favorable QED scores (&gt;0.67), suggesting oral drug-likeness.</w:t>
      </w:r>
    </w:p>
    <w:p>
      <w:pPr>
        <w:pStyle w:val="Heading2"/>
        <w:spacing w:before="280" w:after="80"/>
      </w:pPr>
      <w:r>
        <w:rPr>
          <w:rFonts w:ascii="Calibri" w:hAnsi="Calibri"/>
          <w:b/>
          <w:color w:val="1B2333"/>
          <w:sz w:val="28"/>
        </w:rPr>
        <w:t>Recommended Actions</w:t>
      </w:r>
    </w:p>
    <w:p>
      <w:pPr>
        <w:spacing w:before="20" w:after="20"/>
        <w:ind w:left="360"/>
      </w:pPr>
      <w:r>
        <w:rPr>
          <w:rFonts w:ascii="Calibri" w:hAnsi="Calibri"/>
          <w:b/>
          <w:color w:val="333333"/>
          <w:sz w:val="20"/>
        </w:rPr>
        <w:t>1.</w:t>
      </w:r>
      <w:r>
        <w:rPr>
          <w:rFonts w:ascii="Calibri" w:hAnsi="Calibri"/>
          <w:color w:val="333333"/>
          <w:sz w:val="20"/>
        </w:rPr>
        <w:t xml:space="preserve">  Genetic counseling for FTD/ALS risk assessment</w:t>
      </w:r>
    </w:p>
    <w:p>
      <w:pPr>
        <w:spacing w:before="20" w:after="20"/>
        <w:ind w:left="360"/>
      </w:pPr>
      <w:r>
        <w:rPr>
          <w:rFonts w:ascii="Calibri" w:hAnsi="Calibri"/>
          <w:b/>
          <w:color w:val="333333"/>
          <w:sz w:val="20"/>
        </w:rPr>
        <w:t>2.</w:t>
      </w:r>
      <w:r>
        <w:rPr>
          <w:rFonts w:ascii="Calibri" w:hAnsi="Calibri"/>
          <w:color w:val="333333"/>
          <w:sz w:val="20"/>
        </w:rPr>
        <w:t xml:space="preserve">  Experimental validation of top 5 candidates in VCP ATPase assays</w:t>
      </w:r>
    </w:p>
    <w:p>
      <w:pPr>
        <w:spacing w:before="20" w:after="20"/>
        <w:ind w:left="360"/>
      </w:pPr>
      <w:r>
        <w:rPr>
          <w:rFonts w:ascii="Calibri" w:hAnsi="Calibri"/>
          <w:b/>
          <w:color w:val="333333"/>
          <w:sz w:val="20"/>
        </w:rPr>
        <w:t>3.</w:t>
      </w:r>
      <w:r>
        <w:rPr>
          <w:rFonts w:ascii="Calibri" w:hAnsi="Calibri"/>
          <w:color w:val="333333"/>
          <w:sz w:val="20"/>
        </w:rPr>
        <w:t xml:space="preserve">  ADMET profiling for lead optimization</w:t>
      </w:r>
    </w:p>
    <w:p>
      <w:pPr>
        <w:spacing w:before="20" w:after="20"/>
        <w:ind w:left="360"/>
      </w:pPr>
      <w:r>
        <w:rPr>
          <w:rFonts w:ascii="Calibri" w:hAnsi="Calibri"/>
          <w:b/>
          <w:color w:val="333333"/>
          <w:sz w:val="20"/>
        </w:rPr>
        <w:t>4.</w:t>
      </w:r>
      <w:r>
        <w:rPr>
          <w:rFonts w:ascii="Calibri" w:hAnsi="Calibri"/>
          <w:color w:val="333333"/>
          <w:sz w:val="20"/>
        </w:rPr>
        <w:t xml:space="preserve">  Cross-modal follow-up with Imaging Intelligence Agent for neurological assessment</w:t>
      </w:r>
    </w:p>
    <w:p>
      <w:pPr>
        <w:pStyle w:val="Heading1"/>
        <w:spacing w:before="400" w:after="120"/>
      </w:pPr>
      <w:r>
        <w:rPr>
          <w:rFonts w:ascii="Calibri" w:hAnsi="Calibri"/>
          <w:b/>
          <w:color w:val="1B2333"/>
          <w:sz w:val="40"/>
        </w:rPr>
        <w:t>6. Provenance</w:t>
      </w:r>
    </w:p>
    <w:tbl>
      <w:tblPr>
        <w:tblW w:type="auto" w:w="0"/>
        <w:jc w:val="center"/>
        <w:tblLayout w:type="autofit"/>
        <w:tblLook w:firstColumn="1" w:firstRow="1" w:lastColumn="0" w:lastRow="0" w:noHBand="0" w:noVBand="1" w:val="04A0"/>
      </w:tblPr>
      <w:tblGrid>
        <w:gridCol w:w="4986"/>
        <w:gridCol w:w="4986"/>
      </w:tblGrid>
      <w:tr>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Item</w:t>
            </w:r>
          </w:p>
        </w:tc>
        <w:tc>
          <w:tcPr>
            <w:tcW w:type="dxa" w:w="4986"/>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Pipeline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HLS-Pipeline v1.0.0 (Nextflow DSL2)</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Parabricks</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nvcr.io/nvidia/clara/clara-parabricks:4.6.0-1</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DeepVariant</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Google DeepVariant (via Parabricks, &gt;99%)</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Reference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GRCh38 (3.1 GB)</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ClinVar</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February 2026 release (4.1M variants)</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AlphaMissense</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v1.0 (71,697,560 predictions)</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VEP</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Ensembl VEP (GRCh38)</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Milvus</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v2.4 (IVF_FLAT, nlist=1024, COSINE)</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Embedding</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BGE-small-en-v1.5 (384-dim)</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LLM</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claude-sonnet-4-20250514 (temp=0.3)</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MolMIM</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nvcr.io/nvidia/clara/bionemo-molmim:1.0</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DiffDock</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nvcr.io/nvidia/clara/diffdock:1.0</w:t>
            </w:r>
          </w:p>
        </w:tc>
      </w:tr>
      <w:tr>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Hardware</w:t>
            </w:r>
          </w:p>
        </w:tc>
        <w:tc>
          <w:tcPr>
            <w:tcW w:type="dxa" w:w="4986"/>
            <w:shd w:fill="FFFFFF"/>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NVIDIA DGX Spark (GB10, 128 GB)</w:t>
            </w:r>
          </w:p>
        </w:tc>
      </w:tr>
      <w:tr>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b/>
                <w:color w:val="1AAFCC"/>
                <w:sz w:val="18"/>
              </w:rPr>
              <w:t>Scoring</w:t>
            </w:r>
          </w:p>
        </w:tc>
        <w:tc>
          <w:tcPr>
            <w:tcW w:type="dxa" w:w="4986"/>
            <w:shd w:fill="F8FAFB"/>
            <w:tcBorders>
              <w:top w:val="single" w:sz="4" w:color="E0E0E0"/>
              <w:bottom w:val="single" w:sz="4" w:color="E0E0E0"/>
              <w:left w:val="single" w:sz="4" w:color="E0E0E0"/>
              <w:right w:val="single" w:sz="4" w:color="E0E0E0"/>
            </w:tcBorders>
          </w:tcPr>
          <w:p>
            <w:pPr>
              <w:spacing w:before="20" w:after="20"/>
            </w:pPr>
            <w:r>
              <w:rPr>
                <w:rFonts w:ascii="Calibri" w:hAnsi="Calibri"/>
                <w:color w:val="333333"/>
                <w:sz w:val="18"/>
              </w:rPr>
              <w:t>30% gen + 40% dock + 30% QED</w:t>
            </w:r>
          </w:p>
        </w:tc>
      </w:tr>
    </w:tbl>
    <w:p>
      <w:pPr>
        <w:spacing w:before="0" w:after="240"/>
      </w:pPr>
    </w:p>
    <w:p>
      <w:pPr>
        <w:spacing w:before="0" w:after="80"/>
        <w:jc w:val="center"/>
      </w:pPr>
      <w:r>
        <w:rPr>
          <w:rFonts w:ascii="Calibri" w:hAnsi="Calibri"/>
          <w:i/>
          <w:color w:val="666666"/>
          <w:sz w:val="18"/>
        </w:rPr>
        <w:t>This is a demonstration intelligence report. All patient data is synthetic.</w:t>
      </w:r>
    </w:p>
    <w:p>
      <w:pPr>
        <w:spacing w:before="0" w:after="80"/>
      </w:pPr>
    </w:p>
    <w:p>
      <w:pPr>
        <w:spacing w:before="0" w:after="80"/>
        <w:jc w:val="center"/>
      </w:pPr>
      <w:r>
        <w:rPr>
          <w:rFonts w:ascii="Calibri" w:hAnsi="Calibri"/>
          <w:i/>
          <w:color w:val="666666"/>
          <w:sz w:val="18"/>
        </w:rPr>
        <w:t>HCLS AI Factory — Apache 2.0  |  Author: Adam Jones  |  February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