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76B900"/>
          </w:tcPr>
          <w:p>
            <w:pPr>
              <w:spacing w:before="0" w:after="0"/>
            </w:pPr>
            <w:r>
              <w:rPr>
                <w:rFonts w:ascii="Calibri" w:hAnsi="Calibri"/>
                <w:color w:val="76B900"/>
                <w:sz w:val="12"/>
              </w:rPr>
              <w:t xml:space="preserve"> </w:t>
            </w:r>
          </w:p>
        </w:tc>
      </w:tr>
    </w:tbl>
    <w:p>
      <w:pPr>
        <w:spacing w:before="0" w:after="120"/>
      </w:pPr>
    </w:p>
    <w:p>
      <w:pPr>
        <w:spacing w:before="0" w:after="120"/>
      </w:pPr>
    </w:p>
    <w:p>
      <w:pPr>
        <w:spacing w:before="0" w:after="120"/>
      </w:pPr>
    </w:p>
    <w:p>
      <w:pPr>
        <w:spacing w:before="0" w:after="120"/>
      </w:pPr>
    </w:p>
    <w:p>
      <w:pPr>
        <w:spacing w:before="0" w:after="120"/>
      </w:pPr>
      <w:r>
        <w:rPr>
          <w:rFonts w:ascii="Calibri" w:hAnsi="Calibri"/>
          <w:b/>
          <w:color w:val="1AAFCC"/>
          <w:sz w:val="26"/>
        </w:rPr>
        <w:t>Learning Guide: Advanced</w:t>
      </w:r>
    </w:p>
    <w:p>
      <w:pPr>
        <w:spacing w:before="0" w:after="40"/>
      </w:pPr>
      <w:r>
        <w:rPr>
          <w:rFonts w:ascii="Calibri" w:hAnsi="Calibri"/>
          <w:b/>
          <w:color w:val="1B2333"/>
          <w:sz w:val="64"/>
        </w:rPr>
        <w:t>HCLS AI Factory</w:t>
      </w:r>
    </w:p>
    <w:p>
      <w:pPr>
        <w:spacing w:before="0" w:after="120"/>
      </w:pPr>
      <w:r>
        <w:rPr>
          <w:rFonts w:ascii="Calibri" w:hAnsi="Calibri"/>
          <w:b/>
          <w:color w:val="1B2333"/>
          <w:sz w:val="36"/>
        </w:rPr>
        <w:t>Graduate / Professional Level</w:t>
      </w:r>
    </w:p>
    <w:p>
      <w:pPr>
        <w:spacing w:before="0" w:after="120"/>
      </w:pPr>
      <w:r>
        <w:rPr>
          <w:rFonts w:ascii="Calibri" w:hAnsi="Calibri"/>
          <w:color w:val="1B2333"/>
          <w:sz w:val="24"/>
        </w:rPr>
        <w:t>Deep technical analysis of the HCLS AI Factory architecture, from BWA-MEM2 seed-and-extend algorithms through diffusion-based molecular docking, with emphasis on algorithmic design decisions, scaling bottlenecks, and clinical translation barriers.</w:t>
      </w:r>
    </w:p>
    <w:p>
      <w:pPr>
        <w:spacing w:before="0" w:after="240"/>
      </w:pPr>
      <w:r>
        <w:rPr>
          <w:rFonts w:ascii="Calibri" w:hAnsi="Calibri"/>
          <w:i/>
          <w:color w:val="666666"/>
          <w:sz w:val="22"/>
        </w:rPr>
        <w:t>NVIDIA DGX Spark  |  Parabricks  |  BioNeMo  |  Milvus  |  Claude</w:t>
      </w:r>
    </w:p>
    <w:p>
      <w:pPr>
        <w:spacing w:before="0" w:after="120"/>
      </w:pPr>
    </w:p>
    <w:p>
      <w:pPr>
        <w:spacing w:before="0" w:after="40"/>
      </w:pPr>
      <w:r>
        <w:rPr>
          <w:rFonts w:ascii="Calibri" w:hAnsi="Calibri"/>
          <w:color w:val="666666"/>
          <w:sz w:val="18"/>
        </w:rPr>
        <w:t>02/2026  |  Version 1.0  |  Apache 2.0 License</w:t>
      </w:r>
    </w:p>
    <w:p>
      <w:pPr>
        <w:spacing w:before="0" w:after="40"/>
      </w:pPr>
      <w:r>
        <w:rPr>
          <w:rFonts w:ascii="Calibri" w:hAnsi="Calibri"/>
          <w:color w:val="666666"/>
          <w:sz w:val="18"/>
        </w:rPr>
        <w:t>Author: Adam Jones</w:t>
      </w:r>
    </w:p>
    <w:p>
      <w:r>
        <w:br w:type="page"/>
      </w:r>
    </w:p>
    <w:p>
      <w:pPr>
        <w:pStyle w:val="Heading1"/>
        <w:spacing w:before="480" w:after="160"/>
      </w:pPr>
      <w:r>
        <w:rPr>
          <w:rFonts w:ascii="Calibri" w:hAnsi="Calibri"/>
          <w:b/>
          <w:color w:val="1B2333"/>
          <w:sz w:val="44"/>
        </w:rPr>
        <w:t>Table of Contents</w:t>
      </w:r>
    </w:p>
    <w:p>
      <w:pPr>
        <w:spacing w:before="0" w:after="60"/>
      </w:pPr>
      <w:r>
        <w:rPr>
          <w:rFonts w:ascii="Calibri" w:hAnsi="Calibri"/>
          <w:color w:val="1AAFCC"/>
          <w:sz w:val="21"/>
        </w:rPr>
        <w:t>1.  Computational Genomics — From FASTQ to VCF</w:t>
      </w:r>
    </w:p>
    <w:p>
      <w:pPr>
        <w:spacing w:before="0" w:after="60"/>
      </w:pPr>
      <w:r>
        <w:rPr>
          <w:rFonts w:ascii="Calibri" w:hAnsi="Calibri"/>
          <w:color w:val="1AAFCC"/>
          <w:sz w:val="21"/>
        </w:rPr>
        <w:t>2.  Variant Annotation — Multi-Database Integration</w:t>
      </w:r>
    </w:p>
    <w:p>
      <w:pPr>
        <w:spacing w:before="0" w:after="60"/>
      </w:pPr>
      <w:r>
        <w:rPr>
          <w:rFonts w:ascii="Calibri" w:hAnsi="Calibri"/>
          <w:color w:val="1AAFCC"/>
          <w:sz w:val="21"/>
        </w:rPr>
        <w:t>3.  Vector Database Architecture — Milvus and RAG</w:t>
      </w:r>
    </w:p>
    <w:p>
      <w:pPr>
        <w:spacing w:before="0" w:after="60"/>
      </w:pPr>
      <w:r>
        <w:rPr>
          <w:rFonts w:ascii="Calibri" w:hAnsi="Calibri"/>
          <w:color w:val="1AAFCC"/>
          <w:sz w:val="21"/>
        </w:rPr>
        <w:t>4.  Drug Discovery Pipeline — Deep Dive</w:t>
      </w:r>
    </w:p>
    <w:p>
      <w:pPr>
        <w:spacing w:before="0" w:after="60"/>
      </w:pPr>
      <w:r>
        <w:rPr>
          <w:rFonts w:ascii="Calibri" w:hAnsi="Calibri"/>
          <w:color w:val="1AAFCC"/>
          <w:sz w:val="21"/>
        </w:rPr>
        <w:t>5.  Nextflow DSL2 Pipeline Architecture</w:t>
      </w:r>
    </w:p>
    <w:p>
      <w:pPr>
        <w:spacing w:before="0" w:after="60"/>
      </w:pPr>
      <w:r>
        <w:rPr>
          <w:rFonts w:ascii="Calibri" w:hAnsi="Calibri"/>
          <w:color w:val="1AAFCC"/>
          <w:sz w:val="21"/>
        </w:rPr>
        <w:t>6.  Clinical Translation and Limitations</w:t>
      </w:r>
    </w:p>
    <w:p>
      <w:pPr>
        <w:spacing w:before="0" w:after="60"/>
      </w:pPr>
      <w:r>
        <w:rPr>
          <w:rFonts w:ascii="Calibri" w:hAnsi="Calibri"/>
          <w:color w:val="1AAFCC"/>
          <w:sz w:val="21"/>
        </w:rPr>
        <w:t>7.  Scaling Analysis</w:t>
      </w:r>
    </w:p>
    <w:p>
      <w:pPr>
        <w:spacing w:before="0" w:after="60"/>
      </w:pPr>
      <w:r>
        <w:rPr>
          <w:rFonts w:ascii="Calibri" w:hAnsi="Calibri"/>
          <w:color w:val="1AAFCC"/>
          <w:sz w:val="21"/>
        </w:rPr>
        <w:t>8.  Advanced Topics and Extensions</w:t>
      </w:r>
    </w:p>
    <w:p>
      <w:pPr>
        <w:spacing w:before="0" w:after="60"/>
      </w:pPr>
      <w:r>
        <w:rPr>
          <w:rFonts w:ascii="Calibri" w:hAnsi="Calibri"/>
          <w:color w:val="1AAFCC"/>
          <w:sz w:val="21"/>
        </w:rPr>
        <w:t>Review Questions</w:t>
      </w:r>
    </w:p>
    <w:p>
      <w:r>
        <w:br w:type="page"/>
      </w:r>
    </w:p>
    <w:p>
      <w:pPr>
        <w:pStyle w:val="Heading1"/>
        <w:spacing w:before="480" w:after="160"/>
      </w:pPr>
      <w:r>
        <w:rPr>
          <w:rFonts w:ascii="Calibri" w:hAnsi="Calibri"/>
          <w:b/>
          <w:color w:val="1B2333"/>
          <w:sz w:val="44"/>
        </w:rPr>
        <w:t>Chapter 1: Computational Genomics — From FASTQ to VCF</w:t>
      </w:r>
    </w:p>
    <w:p>
      <w:pPr>
        <w:pStyle w:val="Heading2"/>
        <w:spacing w:before="320" w:after="120"/>
      </w:pPr>
      <w:r>
        <w:rPr>
          <w:rFonts w:ascii="Calibri" w:hAnsi="Calibri"/>
          <w:b/>
          <w:color w:val="1B2333"/>
          <w:sz w:val="32"/>
        </w:rPr>
        <w:t>1.1 Sequencing Data Characteristics</w:t>
      </w:r>
    </w:p>
    <w:p>
      <w:pPr>
        <w:spacing w:before="0" w:after="120"/>
      </w:pPr>
      <w:r>
        <w:rPr>
          <w:rFonts w:ascii="Calibri" w:hAnsi="Calibri"/>
          <w:color w:val="333333"/>
          <w:sz w:val="21"/>
        </w:rPr>
        <w:t>The HCLS AI Factory processes Illumina short-read data: 2×250 bp paired-end reads from 30× whole-genome sequencing of HG002 (NA24385), a GIAB Ashkenazi Jewish reference standard. The FASTQ files total approximately 200 GB and contain ~800 million read pairs.</w:t>
      </w:r>
    </w:p>
    <w:p>
      <w:pPr>
        <w:spacing w:before="200" w:after="80"/>
      </w:pPr>
      <w:r>
        <w:rPr>
          <w:rFonts w:ascii="Calibri" w:hAnsi="Calibri"/>
          <w:b/>
          <w:color w:val="1AAFCC"/>
          <w:sz w:val="26"/>
        </w:rPr>
        <w:t>Why HG002?</w:t>
      </w:r>
    </w:p>
    <w:p>
      <w:pPr>
        <w:spacing w:before="0" w:after="120"/>
      </w:pPr>
      <w:r>
        <w:rPr>
          <w:rFonts w:ascii="Calibri" w:hAnsi="Calibri"/>
          <w:color w:val="333333"/>
          <w:sz w:val="21"/>
        </w:rPr>
        <w:t>The Genome in a Bottle (GIAB) Consortium provides extensively validated truth sets for HG002, enabling rigorous benchmarking. The high-confidence regions cover &gt;95% of the GRCh38 reference, with variant calls validated by multiple orthogonal technologies (PacBio HiFi, Oxford Nanopore, Hi-C, optical mapping).</w:t>
      </w:r>
    </w:p>
    <w:p>
      <w:pPr>
        <w:pStyle w:val="Heading2"/>
        <w:spacing w:before="320" w:after="120"/>
      </w:pPr>
      <w:r>
        <w:rPr>
          <w:rFonts w:ascii="Calibri" w:hAnsi="Calibri"/>
          <w:b/>
          <w:color w:val="1B2333"/>
          <w:sz w:val="32"/>
        </w:rPr>
        <w:t>1.2 GPU-Accelerated Alignment: BWA-MEM2 on Parabricks</w:t>
      </w:r>
    </w:p>
    <w:p>
      <w:pPr>
        <w:spacing w:before="0" w:after="120"/>
      </w:pPr>
      <w:r>
        <w:rPr>
          <w:rFonts w:ascii="Calibri" w:hAnsi="Calibri"/>
          <w:color w:val="333333"/>
          <w:sz w:val="21"/>
        </w:rPr>
        <w:t>NVIDIA Parabricks 4.6.0-1 (container: nvcr.io/nvidia/clara/clara-parabricks:4.6.0-1) provides a GPU-accelerated implementation of BWA-MEM2.</w:t>
      </w:r>
    </w:p>
    <w:p>
      <w:pPr>
        <w:spacing w:before="200" w:after="80"/>
      </w:pPr>
      <w:r>
        <w:rPr>
          <w:rFonts w:ascii="Calibri" w:hAnsi="Calibri"/>
          <w:b/>
          <w:color w:val="1AAFCC"/>
          <w:sz w:val="26"/>
        </w:rPr>
        <w:t>Algorithm Overview</w:t>
      </w:r>
    </w:p>
    <w:p>
      <w:pPr>
        <w:spacing w:before="0" w:after="120"/>
      </w:pPr>
      <w:r>
        <w:rPr>
          <w:rFonts w:ascii="Calibri" w:hAnsi="Calibri"/>
          <w:color w:val="333333"/>
          <w:sz w:val="21"/>
        </w:rPr>
        <w:t>BWA-MEM2 uses a seed-and-extend approach: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1. Seeding:</w:t>
      </w:r>
      <w:r>
        <w:rPr>
          <w:rFonts w:ascii="Calibri" w:hAnsi="Calibri"/>
          <w:color w:val="333333"/>
          <w:sz w:val="21"/>
        </w:rPr>
        <w:t xml:space="preserve">  Extract fixed-length k-mers from the query read and look them up in the FM-index of the reference genome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2. Chaining:</w:t>
      </w:r>
      <w:r>
        <w:rPr>
          <w:rFonts w:ascii="Calibri" w:hAnsi="Calibri"/>
          <w:color w:val="333333"/>
          <w:sz w:val="21"/>
        </w:rPr>
        <w:t xml:space="preserve">  Group collinear seeds into chains representing candidate alignment locations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3. Extension:</w:t>
      </w:r>
      <w:r>
        <w:rPr>
          <w:rFonts w:ascii="Calibri" w:hAnsi="Calibri"/>
          <w:color w:val="333333"/>
          <w:sz w:val="21"/>
        </w:rPr>
        <w:t xml:space="preserve">  Perform Smith-Waterman local alignment around each chain to produce the final alignment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4. Scoring:</w:t>
      </w:r>
      <w:r>
        <w:rPr>
          <w:rFonts w:ascii="Calibri" w:hAnsi="Calibri"/>
          <w:color w:val="333333"/>
          <w:sz w:val="21"/>
        </w:rPr>
        <w:t xml:space="preserve">  Select the best alignment and assign a MAPQ (mapping quality) score</w:t>
      </w:r>
    </w:p>
    <w:p>
      <w:pPr>
        <w:spacing w:before="200" w:after="80"/>
      </w:pPr>
      <w:r>
        <w:rPr>
          <w:rFonts w:ascii="Calibri" w:hAnsi="Calibri"/>
          <w:b/>
          <w:color w:val="1AAFCC"/>
          <w:sz w:val="26"/>
        </w:rPr>
        <w:t>GPU Acceleration Strategy</w:t>
      </w:r>
    </w:p>
    <w:p>
      <w:pPr>
        <w:spacing w:before="0" w:after="120"/>
      </w:pPr>
      <w:r>
        <w:rPr>
          <w:rFonts w:ascii="Calibri" w:hAnsi="Calibri"/>
          <w:color w:val="333333"/>
          <w:sz w:val="21"/>
        </w:rPr>
        <w:t>Parabricks parallelizes the computationally intensive Smith-Waterman extension step across GPU cores. The FM-index lookup (seeding) remains CPU-bound but constitutes a small fraction of total compute. The fq2bam command also integrates coordinate sorting and duplicate marking, eliminating separate samtools sort and picard MarkDuplicates steps.</w:t>
      </w:r>
    </w:p>
    <w:p>
      <w:pPr>
        <w:spacing w:before="200" w:after="80"/>
      </w:pPr>
      <w:r>
        <w:rPr>
          <w:rFonts w:ascii="Calibri" w:hAnsi="Calibri"/>
          <w:b/>
          <w:color w:val="1AAFCC"/>
          <w:sz w:val="26"/>
        </w:rPr>
        <w:t>Performance on DGX Spark (GB10)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703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Wall time</w:t>
            </w:r>
          </w:p>
        </w:tc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20-45 minutes</w:t>
            </w:r>
          </w:p>
        </w:tc>
      </w:tr>
      <w:tr>
        <w:tc>
          <w:tcPr>
            <w:tcW w:type="dxa" w:w="4703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GPU utilization</w:t>
            </w:r>
          </w:p>
        </w:tc>
        <w:tc>
          <w:tcPr>
            <w:tcW w:type="dxa" w:w="4703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70-90%</w:t>
            </w:r>
          </w:p>
        </w:tc>
      </w:tr>
      <w:tr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Peak memory</w:t>
            </w:r>
          </w:p>
        </w:tc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~40 GB (of 128 GB unified)</w:t>
            </w:r>
          </w:p>
        </w:tc>
      </w:tr>
      <w:tr>
        <w:tc>
          <w:tcPr>
            <w:tcW w:type="dxa" w:w="4703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Output</w:t>
            </w:r>
          </w:p>
        </w:tc>
        <w:tc>
          <w:tcPr>
            <w:tcW w:type="dxa" w:w="4703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Sorted BAM + BAI index</w:t>
            </w:r>
          </w:p>
        </w:tc>
      </w:tr>
      <w:tr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Mapping rate</w:t>
            </w:r>
          </w:p>
        </w:tc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&gt;99.5%</w:t>
            </w:r>
          </w:p>
        </w:tc>
      </w:tr>
      <w:tr>
        <w:tc>
          <w:tcPr>
            <w:tcW w:type="dxa" w:w="4703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Duplicate rate</w:t>
            </w:r>
          </w:p>
        </w:tc>
        <w:tc>
          <w:tcPr>
            <w:tcW w:type="dxa" w:w="4703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~8-12%</w:t>
            </w:r>
          </w:p>
        </w:tc>
      </w:tr>
    </w:tbl>
    <w:p>
      <w:pPr>
        <w:spacing w:before="0" w:after="120"/>
      </w:pPr>
    </w:p>
    <w:p>
      <w:pPr>
        <w:pStyle w:val="Heading2"/>
        <w:spacing w:before="320" w:after="120"/>
      </w:pPr>
      <w:r>
        <w:rPr>
          <w:rFonts w:ascii="Calibri" w:hAnsi="Calibri"/>
          <w:b/>
          <w:color w:val="1B2333"/>
          <w:sz w:val="32"/>
        </w:rPr>
        <w:t>1.3 Deep Learning Variant Calling: DeepVariant</w:t>
      </w:r>
    </w:p>
    <w:p>
      <w:pPr>
        <w:spacing w:before="0" w:after="120"/>
      </w:pPr>
      <w:r>
        <w:rPr>
          <w:rFonts w:ascii="Calibri" w:hAnsi="Calibri"/>
          <w:color w:val="333333"/>
          <w:sz w:val="21"/>
        </w:rPr>
        <w:t>Google DeepVariant reframes variant calling as an image classification problem. For each candidate variant site, it constructs a pileup image — a visual representation of aligned reads at that position — and classifies it using a convolutional neural network (CNN).</w:t>
      </w:r>
    </w:p>
    <w:p>
      <w:pPr>
        <w:spacing w:before="200" w:after="80"/>
      </w:pPr>
      <w:r>
        <w:rPr>
          <w:rFonts w:ascii="Calibri" w:hAnsi="Calibri"/>
          <w:b/>
          <w:color w:val="1AAFCC"/>
          <w:sz w:val="26"/>
        </w:rPr>
        <w:t>Architecture Details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Input:</w:t>
      </w:r>
      <w:r>
        <w:rPr>
          <w:rFonts w:ascii="Calibri" w:hAnsi="Calibri"/>
          <w:color w:val="333333"/>
          <w:sz w:val="21"/>
        </w:rPr>
        <w:t xml:space="preserve">  Pileup image (channels: read bases, base qualities, mapping qualities, strand, etc.)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Network:</w:t>
      </w:r>
      <w:r>
        <w:rPr>
          <w:rFonts w:ascii="Calibri" w:hAnsi="Calibri"/>
          <w:color w:val="333333"/>
          <w:sz w:val="21"/>
        </w:rPr>
        <w:t xml:space="preserve">  Inception-v3 CNN architecture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Output:</w:t>
      </w:r>
      <w:r>
        <w:rPr>
          <w:rFonts w:ascii="Calibri" w:hAnsi="Calibri"/>
          <w:color w:val="333333"/>
          <w:sz w:val="21"/>
        </w:rPr>
        <w:t xml:space="preserve">  Three-class softmax (homozygous reference, heterozygous variant, homozygous variant)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Training:</w:t>
      </w:r>
      <w:r>
        <w:rPr>
          <w:rFonts w:ascii="Calibri" w:hAnsi="Calibri"/>
          <w:color w:val="333333"/>
          <w:sz w:val="21"/>
        </w:rPr>
        <w:t xml:space="preserve">  Supervised on GIAB truth sets, with data augmentation and hard example mining</w:t>
      </w:r>
    </w:p>
    <w:p>
      <w:pPr>
        <w:spacing w:before="200" w:after="80"/>
      </w:pPr>
      <w:r>
        <w:rPr>
          <w:rFonts w:ascii="Calibri" w:hAnsi="Calibri"/>
          <w:b/>
          <w:color w:val="1AAFCC"/>
          <w:sz w:val="26"/>
        </w:rPr>
        <w:t>Why DeepVariant Outperforms GATK HaplotypeCaller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1.</w:t>
      </w:r>
      <w:r>
        <w:rPr>
          <w:rFonts w:ascii="Calibri" w:hAnsi="Calibri"/>
          <w:color w:val="333333"/>
          <w:sz w:val="21"/>
        </w:rPr>
        <w:t xml:space="preserve">  The CNN learns complex error patterns that statistical models cannot capture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2.</w:t>
      </w:r>
      <w:r>
        <w:rPr>
          <w:rFonts w:ascii="Calibri" w:hAnsi="Calibri"/>
          <w:color w:val="333333"/>
          <w:sz w:val="21"/>
        </w:rPr>
        <w:t xml:space="preserve">  No explicit error model required — the network learns directly from data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3.</w:t>
      </w:r>
      <w:r>
        <w:rPr>
          <w:rFonts w:ascii="Calibri" w:hAnsi="Calibri"/>
          <w:color w:val="333333"/>
          <w:sz w:val="21"/>
        </w:rPr>
        <w:t xml:space="preserve">  Better performance on indels and complex variants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4.</w:t>
      </w:r>
      <w:r>
        <w:rPr>
          <w:rFonts w:ascii="Calibri" w:hAnsi="Calibri"/>
          <w:color w:val="333333"/>
          <w:sz w:val="21"/>
        </w:rPr>
        <w:t xml:space="preserve">  Transferable across sequencing platforms (Illumina, PacBio, ONT)</w:t>
      </w:r>
    </w:p>
    <w:p>
      <w:pPr>
        <w:spacing w:before="200" w:after="80"/>
      </w:pPr>
      <w:r>
        <w:rPr>
          <w:rFonts w:ascii="Calibri" w:hAnsi="Calibri"/>
          <w:b/>
          <w:color w:val="1AAFCC"/>
          <w:sz w:val="26"/>
        </w:rPr>
        <w:t>Performance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703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Wall time</w:t>
            </w:r>
          </w:p>
        </w:tc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10-35 minutes (GPU-accelerated via Parabricks)</w:t>
            </w:r>
          </w:p>
        </w:tc>
      </w:tr>
      <w:tr>
        <w:tc>
          <w:tcPr>
            <w:tcW w:type="dxa" w:w="4703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GPU utilization</w:t>
            </w:r>
          </w:p>
        </w:tc>
        <w:tc>
          <w:tcPr>
            <w:tcW w:type="dxa" w:w="4703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80-95%</w:t>
            </w:r>
          </w:p>
        </w:tc>
      </w:tr>
      <w:tr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Peak memory</w:t>
            </w:r>
          </w:p>
        </w:tc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~60 GB</w:t>
            </w:r>
          </w:p>
        </w:tc>
      </w:tr>
      <w:tr>
        <w:tc>
          <w:tcPr>
            <w:tcW w:type="dxa" w:w="4703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SNP F1</w:t>
            </w:r>
          </w:p>
        </w:tc>
        <w:tc>
          <w:tcPr>
            <w:tcW w:type="dxa" w:w="4703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&gt;99.7% on HG002</w:t>
            </w:r>
          </w:p>
        </w:tc>
      </w:tr>
      <w:tr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Indel F1</w:t>
            </w:r>
          </w:p>
        </w:tc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&gt;99.4% on HG002</w:t>
            </w:r>
          </w:p>
        </w:tc>
      </w:tr>
      <w:tr>
        <w:tc>
          <w:tcPr>
            <w:tcW w:type="dxa" w:w="4703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Total variants</w:t>
            </w:r>
          </w:p>
        </w:tc>
        <w:tc>
          <w:tcPr>
            <w:tcW w:type="dxa" w:w="4703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~11.7M (unfiltered)</w:t>
            </w:r>
          </w:p>
        </w:tc>
      </w:tr>
      <w:tr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QUAL&gt;30 variants</w:t>
            </w:r>
          </w:p>
        </w:tc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~3.5M</w:t>
            </w:r>
          </w:p>
        </w:tc>
      </w:tr>
    </w:tbl>
    <w:p>
      <w:pPr>
        <w:spacing w:before="0" w:after="120"/>
      </w:pPr>
    </w:p>
    <w:p>
      <w:pPr>
        <w:pStyle w:val="Heading2"/>
        <w:spacing w:before="320" w:after="120"/>
      </w:pPr>
      <w:r>
        <w:rPr>
          <w:rFonts w:ascii="Calibri" w:hAnsi="Calibri"/>
          <w:b/>
          <w:color w:val="1B2333"/>
          <w:sz w:val="32"/>
        </w:rPr>
        <w:t>1.4 VCF Quality Metrics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135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Expected Range</w:t>
            </w:r>
          </w:p>
        </w:tc>
        <w:tc>
          <w:tcPr>
            <w:tcW w:type="dxa" w:w="3135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Interpretation</w:t>
            </w:r>
          </w:p>
        </w:tc>
      </w:tr>
      <w:tr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Ti/Tv ratio</w:t>
            </w:r>
          </w:p>
        </w:tc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2.0-2.1</w:t>
            </w:r>
          </w:p>
        </w:tc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Transition/transversion ratio; deviation suggests systematic error</w:t>
            </w:r>
          </w:p>
        </w:tc>
      </w:tr>
      <w:tr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Het/Hom ratio</w:t>
            </w:r>
          </w:p>
        </w:tc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1.5-2.0</w:t>
            </w:r>
          </w:p>
        </w:tc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Heterozygous/homozygous ratio; population-dependent</w:t>
            </w:r>
          </w:p>
        </w:tc>
      </w:tr>
      <w:tr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SNP count</w:t>
            </w:r>
          </w:p>
        </w:tc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~4.2M</w:t>
            </w:r>
          </w:p>
        </w:tc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Consistent with Ashkenazi ancestry</w:t>
            </w:r>
          </w:p>
        </w:tc>
      </w:tr>
      <w:tr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Indel count</w:t>
            </w:r>
          </w:p>
        </w:tc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~1.0M</w:t>
            </w:r>
          </w:p>
        </w:tc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Normal range for WGS</w:t>
            </w:r>
          </w:p>
        </w:tc>
      </w:tr>
      <w:tr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Novel variant rate</w:t>
            </w:r>
          </w:p>
        </w:tc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&lt;5%</w:t>
            </w:r>
          </w:p>
        </w:tc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Variants not in dbSNP; higher rates suggest error</w:t>
            </w:r>
          </w:p>
        </w:tc>
      </w:tr>
    </w:tbl>
    <w:p>
      <w:r>
        <w:br w:type="page"/>
      </w:r>
    </w:p>
    <w:p>
      <w:pPr>
        <w:pStyle w:val="Heading1"/>
        <w:spacing w:before="480" w:after="160"/>
      </w:pPr>
      <w:r>
        <w:rPr>
          <w:rFonts w:ascii="Calibri" w:hAnsi="Calibri"/>
          <w:b/>
          <w:color w:val="1B2333"/>
          <w:sz w:val="44"/>
        </w:rPr>
        <w:t>Chapter 2: Variant Annotation — Multi-Database Integration</w:t>
      </w:r>
    </w:p>
    <w:p>
      <w:pPr>
        <w:pStyle w:val="Heading2"/>
        <w:spacing w:before="320" w:after="120"/>
      </w:pPr>
      <w:r>
        <w:rPr>
          <w:rFonts w:ascii="Calibri" w:hAnsi="Calibri"/>
          <w:b/>
          <w:color w:val="1B2333"/>
          <w:sz w:val="32"/>
        </w:rPr>
        <w:t>2.1 ClinVar: Clinical Variant Classification</w:t>
      </w:r>
    </w:p>
    <w:p>
      <w:pPr>
        <w:spacing w:before="0" w:after="120"/>
      </w:pPr>
      <w:r>
        <w:rPr>
          <w:rFonts w:ascii="Calibri" w:hAnsi="Calibri"/>
          <w:color w:val="333333"/>
          <w:sz w:val="21"/>
        </w:rPr>
        <w:t>ClinVar (NCBI) is a freely accessible archive of relationships between human variants and phenotypes. The HCLS AI Factory integrates the February 2026 release containing 4.1 million variant-condition records.</w:t>
      </w:r>
    </w:p>
    <w:p>
      <w:pPr>
        <w:spacing w:before="200" w:after="80"/>
      </w:pPr>
      <w:r>
        <w:rPr>
          <w:rFonts w:ascii="Calibri" w:hAnsi="Calibri"/>
          <w:b/>
          <w:color w:val="1AAFCC"/>
          <w:sz w:val="26"/>
        </w:rPr>
        <w:t>Classification System (ACMG/AMP)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Pathogenic (P) —</w:t>
      </w:r>
      <w:r>
        <w:rPr>
          <w:rFonts w:ascii="Calibri" w:hAnsi="Calibri"/>
          <w:color w:val="333333"/>
          <w:sz w:val="21"/>
        </w:rPr>
        <w:t xml:space="preserve">  Strong evidence of disease causation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Likely Pathogenic (LP) —</w:t>
      </w:r>
      <w:r>
        <w:rPr>
          <w:rFonts w:ascii="Calibri" w:hAnsi="Calibri"/>
          <w:color w:val="333333"/>
          <w:sz w:val="21"/>
        </w:rPr>
        <w:t xml:space="preserve">  Moderate evidence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Variant of Uncertain Significance (VUS) —</w:t>
      </w:r>
      <w:r>
        <w:rPr>
          <w:rFonts w:ascii="Calibri" w:hAnsi="Calibri"/>
          <w:color w:val="333333"/>
          <w:sz w:val="21"/>
        </w:rPr>
        <w:t xml:space="preserve">  Insufficient evidence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Likely Benign (LB) —</w:t>
      </w:r>
      <w:r>
        <w:rPr>
          <w:rFonts w:ascii="Calibri" w:hAnsi="Calibri"/>
          <w:color w:val="333333"/>
          <w:sz w:val="21"/>
        </w:rPr>
        <w:t xml:space="preserve">  Moderate evidence against pathogenicity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Benign (B) —</w:t>
      </w:r>
      <w:r>
        <w:rPr>
          <w:rFonts w:ascii="Calibri" w:hAnsi="Calibri"/>
          <w:color w:val="333333"/>
          <w:sz w:val="21"/>
        </w:rPr>
        <w:t xml:space="preserve">  Strong evidence against pathogenicity</w:t>
      </w:r>
    </w:p>
    <w:p>
      <w:pPr>
        <w:spacing w:before="200" w:after="80"/>
      </w:pPr>
      <w:r>
        <w:rPr>
          <w:rFonts w:ascii="Calibri" w:hAnsi="Calibri"/>
          <w:b/>
          <w:color w:val="1AAFCC"/>
          <w:sz w:val="26"/>
        </w:rPr>
        <w:t>Review Status Tiers</w:t>
      </w:r>
    </w:p>
    <w:p>
      <w:pPr>
        <w:spacing w:before="0" w:after="120"/>
      </w:pPr>
      <w:r>
        <w:rPr>
          <w:rFonts w:ascii="Calibri" w:hAnsi="Calibri"/>
          <w:color w:val="333333"/>
          <w:sz w:val="21"/>
        </w:rPr>
        <w:t>ClinVar classifies assertion confidence using star ratings (0-4 stars). The pipeline weights variants with ≥2 stars (multiple submitters with concordant interpretations) more heavily.</w:t>
      </w:r>
    </w:p>
    <w:p>
      <w:pPr>
        <w:spacing w:before="200" w:after="80"/>
      </w:pPr>
      <w:r>
        <w:rPr>
          <w:rFonts w:ascii="Calibri" w:hAnsi="Calibri"/>
          <w:b/>
          <w:color w:val="1AAFCC"/>
          <w:sz w:val="26"/>
        </w:rPr>
        <w:t>Annotation Performance</w:t>
      </w:r>
    </w:p>
    <w:p>
      <w:pPr>
        <w:spacing w:before="0" w:after="120"/>
      </w:pPr>
      <w:r>
        <w:rPr>
          <w:rFonts w:ascii="Calibri" w:hAnsi="Calibri"/>
          <w:color w:val="333333"/>
          <w:sz w:val="21"/>
        </w:rPr>
        <w:t>Of ~3.5M QUAL&gt;30 variants, approximately 35,616 (1.0%) match ClinVar entries. The low match rate reflects that most variants in a healthy individual are common polymorphisms not represented in a clinical database focused on rare disease.</w:t>
      </w:r>
    </w:p>
    <w:p>
      <w:pPr>
        <w:pStyle w:val="Heading2"/>
        <w:spacing w:before="320" w:after="120"/>
      </w:pPr>
      <w:r>
        <w:rPr>
          <w:rFonts w:ascii="Calibri" w:hAnsi="Calibri"/>
          <w:b/>
          <w:color w:val="1B2333"/>
          <w:sz w:val="32"/>
        </w:rPr>
        <w:t>2.2 AlphaMissense: AI Pathogenicity Prediction</w:t>
      </w:r>
    </w:p>
    <w:p>
      <w:pPr>
        <w:spacing w:before="0" w:after="120"/>
      </w:pPr>
      <w:r>
        <w:rPr>
          <w:rFonts w:ascii="Calibri" w:hAnsi="Calibri"/>
          <w:color w:val="333333"/>
          <w:sz w:val="21"/>
        </w:rPr>
        <w:t>AlphaMissense (Cheng et al., Science 2023) predicts the pathogenicity of all possible human missense variants using features derived from AlphaFold protein structure predictions and evolutionary conservation.</w:t>
      </w:r>
    </w:p>
    <w:p>
      <w:pPr>
        <w:spacing w:before="200" w:after="80"/>
      </w:pPr>
      <w:r>
        <w:rPr>
          <w:rFonts w:ascii="Calibri" w:hAnsi="Calibri"/>
          <w:b/>
          <w:color w:val="1AAFCC"/>
          <w:sz w:val="26"/>
        </w:rPr>
        <w:t>Model Architecture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Input features:</w:t>
      </w:r>
      <w:r>
        <w:rPr>
          <w:rFonts w:ascii="Calibri" w:hAnsi="Calibri"/>
          <w:color w:val="333333"/>
          <w:sz w:val="21"/>
        </w:rPr>
        <w:t xml:space="preserve">  amino acid sequence context, evolutionary conservation (from MSA), and structural features from AlphaFold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Output:</w:t>
      </w:r>
      <w:r>
        <w:rPr>
          <w:rFonts w:ascii="Calibri" w:hAnsi="Calibri"/>
          <w:color w:val="333333"/>
          <w:sz w:val="21"/>
        </w:rPr>
        <w:t xml:space="preserve">  pathogenicity score (0-1, continuous)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Total predictions:</w:t>
      </w:r>
      <w:r>
        <w:rPr>
          <w:rFonts w:ascii="Calibri" w:hAnsi="Calibri"/>
          <w:color w:val="333333"/>
          <w:sz w:val="21"/>
        </w:rPr>
        <w:t xml:space="preserve">  71,697,560 unique missense variants</w:t>
      </w:r>
    </w:p>
    <w:p>
      <w:pPr>
        <w:spacing w:before="200" w:after="80"/>
      </w:pPr>
      <w:r>
        <w:rPr>
          <w:rFonts w:ascii="Calibri" w:hAnsi="Calibri"/>
          <w:b/>
          <w:color w:val="1AAFCC"/>
          <w:sz w:val="26"/>
        </w:rPr>
        <w:t>Calibrated Thresholds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Pathogenic:</w:t>
      </w:r>
      <w:r>
        <w:rPr>
          <w:rFonts w:ascii="Calibri" w:hAnsi="Calibri"/>
          <w:color w:val="333333"/>
          <w:sz w:val="21"/>
        </w:rPr>
        <w:t xml:space="preserve">  &gt;0.564 (90% precision on ClinVar pathogenic set)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Ambiguous:</w:t>
      </w:r>
      <w:r>
        <w:rPr>
          <w:rFonts w:ascii="Calibri" w:hAnsi="Calibri"/>
          <w:color w:val="333333"/>
          <w:sz w:val="21"/>
        </w:rPr>
        <w:t xml:space="preserve">  0.34-0.564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Benign:</w:t>
      </w:r>
      <w:r>
        <w:rPr>
          <w:rFonts w:ascii="Calibri" w:hAnsi="Calibri"/>
          <w:color w:val="333333"/>
          <w:sz w:val="21"/>
        </w:rPr>
        <w:t xml:space="preserve">  &lt;0.34 (90% precision on ClinVar benign set)</w:t>
      </w:r>
    </w:p>
    <w:p>
      <w:pPr>
        <w:spacing w:before="200" w:after="80"/>
      </w:pPr>
      <w:r>
        <w:rPr>
          <w:rFonts w:ascii="Calibri" w:hAnsi="Calibri"/>
          <w:b/>
          <w:color w:val="1AAFCC"/>
          <w:sz w:val="26"/>
        </w:rPr>
        <w:t>Critical Limitation</w:t>
      </w:r>
    </w:p>
    <w:p>
      <w:pPr>
        <w:spacing w:before="0" w:after="120"/>
      </w:pPr>
      <w:r>
        <w:rPr>
          <w:rFonts w:ascii="Calibri" w:hAnsi="Calibri"/>
          <w:color w:val="333333"/>
          <w:sz w:val="21"/>
        </w:rPr>
        <w:t>AlphaMissense only predicts missense variant effects. Stop-gain, frameshift, splice site, and non-coding variants require other prediction tools. The pipeline uses VEP for functional consequence annotation to complement AlphaMissense.</w:t>
      </w:r>
    </w:p>
    <w:p>
      <w:pPr>
        <w:pStyle w:val="Heading2"/>
        <w:spacing w:before="320" w:after="120"/>
      </w:pPr>
      <w:r>
        <w:rPr>
          <w:rFonts w:ascii="Calibri" w:hAnsi="Calibri"/>
          <w:b/>
          <w:color w:val="1B2333"/>
          <w:sz w:val="32"/>
        </w:rPr>
        <w:t>2.3 Ensembl VEP: Functional Consequence Prediction</w:t>
      </w:r>
    </w:p>
    <w:p>
      <w:pPr>
        <w:spacing w:before="0" w:after="120"/>
      </w:pPr>
      <w:r>
        <w:rPr>
          <w:rFonts w:ascii="Calibri" w:hAnsi="Calibri"/>
          <w:color w:val="333333"/>
          <w:sz w:val="21"/>
        </w:rPr>
        <w:t>The Variant Effect Predictor maps variants to genes, transcripts, and regulatory regions, annotating each with standardized Sequence Ontology (SO) terms.</w:t>
      </w:r>
    </w:p>
    <w:p>
      <w:pPr>
        <w:spacing w:before="200" w:after="80"/>
      </w:pPr>
      <w:r>
        <w:rPr>
          <w:rFonts w:ascii="Calibri" w:hAnsi="Calibri"/>
          <w:b/>
          <w:color w:val="1AAFCC"/>
          <w:sz w:val="26"/>
        </w:rPr>
        <w:t>Impact Classification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Impact Level</w:t>
            </w:r>
          </w:p>
        </w:tc>
        <w:tc>
          <w:tcPr>
            <w:tcW w:type="dxa" w:w="3135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Example Consequences</w:t>
            </w:r>
          </w:p>
        </w:tc>
        <w:tc>
          <w:tcPr>
            <w:tcW w:type="dxa" w:w="3135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Typical Action</w:t>
            </w:r>
          </w:p>
        </w:tc>
      </w:tr>
      <w:tr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HIGH</w:t>
            </w:r>
          </w:p>
        </w:tc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stop_gained, frameshift_variant, splice_donor_variant</w:t>
            </w:r>
          </w:p>
        </w:tc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Likely loss of function</w:t>
            </w:r>
          </w:p>
        </w:tc>
      </w:tr>
      <w:tr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MODERATE</w:t>
            </w:r>
          </w:p>
        </w:tc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missense_variant, inframe_deletion</w:t>
            </w:r>
          </w:p>
        </w:tc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Protein function may change</w:t>
            </w:r>
          </w:p>
        </w:tc>
      </w:tr>
      <w:tr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LOW</w:t>
            </w:r>
          </w:p>
        </w:tc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synonymous_variant, splice_region_variant</w:t>
            </w:r>
          </w:p>
        </w:tc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Unlikely to affect protein</w:t>
            </w:r>
          </w:p>
        </w:tc>
      </w:tr>
      <w:tr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MODIFIER</w:t>
            </w:r>
          </w:p>
        </w:tc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intron_variant, upstream_gene_variant</w:t>
            </w:r>
          </w:p>
        </w:tc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Non-coding effects</w:t>
            </w:r>
          </w:p>
        </w:tc>
      </w:tr>
    </w:tbl>
    <w:p>
      <w:pPr>
        <w:spacing w:before="0" w:after="120"/>
      </w:pPr>
    </w:p>
    <w:p>
      <w:pPr>
        <w:pStyle w:val="Heading2"/>
        <w:spacing w:before="320" w:after="120"/>
      </w:pPr>
      <w:r>
        <w:rPr>
          <w:rFonts w:ascii="Calibri" w:hAnsi="Calibri"/>
          <w:b/>
          <w:color w:val="1B2333"/>
          <w:sz w:val="32"/>
        </w:rPr>
        <w:t>2.4 The Annotation Pipeline Architecture</w:t>
      </w:r>
    </w:p>
    <w:p>
      <w:pPr>
        <w:spacing w:before="0" w:after="120"/>
      </w:pPr>
      <w:r>
        <w:rPr>
          <w:rFonts w:ascii="Calibri" w:hAnsi="Calibri"/>
          <w:color w:val="333333"/>
          <w:sz w:val="21"/>
        </w:rPr>
        <w:t>The three annotation databases are applied sequentially in annotator.py (23 KB):</w:t>
      </w:r>
    </w:p>
    <w:p>
      <w:pPr>
        <w:spacing w:before="120" w:after="0"/>
      </w:pPr>
      <w:r>
        <w:rPr>
          <w:rFonts w:ascii="Calibri" w:hAnsi="Calibri"/>
          <w:b/>
          <w:color w:val="1AAFCC"/>
          <w:sz w:val="16"/>
        </w:rPr>
        <w:t>Annotation Pipeline Flow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>VCF (11.7M variants)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 xml:space="preserve">  → parse_vcf(min_qual=30)     → 3.5M variants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 xml:space="preserve">  → annotate_clinvar()          → Clinical significance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 xml:space="preserve">  → annotate_alphamissense()    → AI pathogenicity scores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 xml:space="preserve">  → annotate_vep()              → Functional consequences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 xml:space="preserve">  → generate_text_summary()     → Natural language descriptions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 xml:space="preserve">  → embed_variants()            → 384-dim BGE embeddings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 xml:space="preserve">  → index_in_milvus()           → Searchable vector database</w:t>
      </w:r>
    </w:p>
    <w:p>
      <w:r>
        <w:br w:type="page"/>
      </w:r>
    </w:p>
    <w:p>
      <w:pPr>
        <w:pStyle w:val="Heading1"/>
        <w:spacing w:before="480" w:after="160"/>
      </w:pPr>
      <w:r>
        <w:rPr>
          <w:rFonts w:ascii="Calibri" w:hAnsi="Calibri"/>
          <w:b/>
          <w:color w:val="1B2333"/>
          <w:sz w:val="44"/>
        </w:rPr>
        <w:t>Chapter 3: Vector Database Architecture — Milvus and RAG</w:t>
      </w:r>
    </w:p>
    <w:p>
      <w:pPr>
        <w:pStyle w:val="Heading2"/>
        <w:spacing w:before="320" w:after="120"/>
      </w:pPr>
      <w:r>
        <w:rPr>
          <w:rFonts w:ascii="Calibri" w:hAnsi="Calibri"/>
          <w:b/>
          <w:color w:val="1B2333"/>
          <w:sz w:val="32"/>
        </w:rPr>
        <w:t>3.1 Milvus Schema Design</w:t>
      </w:r>
    </w:p>
    <w:p>
      <w:pPr>
        <w:spacing w:before="0" w:after="120"/>
      </w:pPr>
      <w:r>
        <w:rPr>
          <w:rFonts w:ascii="Calibri" w:hAnsi="Calibri"/>
          <w:color w:val="333333"/>
          <w:sz w:val="21"/>
        </w:rPr>
        <w:t>The genomic_evidence collection in Milvus 2.4 uses a 17-field schema designed to support both vector similarity search and scalar filtering: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135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3135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id</w:t>
            </w:r>
          </w:p>
        </w:tc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INT64 (PK, auto)</w:t>
            </w:r>
          </w:p>
        </w:tc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Milvus-managed primary key</w:t>
            </w:r>
          </w:p>
        </w:tc>
      </w:tr>
      <w:tr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embedding</w:t>
            </w:r>
          </w:p>
        </w:tc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FLOAT_VECTOR(384)</w:t>
            </w:r>
          </w:p>
        </w:tc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Semantic search vector</w:t>
            </w:r>
          </w:p>
        </w:tc>
      </w:tr>
      <w:tr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chrom</w:t>
            </w:r>
          </w:p>
        </w:tc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VARCHAR(10)</w:t>
            </w:r>
          </w:p>
        </w:tc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Genomic coordinate filtering</w:t>
            </w:r>
          </w:p>
        </w:tc>
      </w:tr>
      <w:tr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pos</w:t>
            </w:r>
          </w:p>
        </w:tc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INT64</w:t>
            </w:r>
          </w:p>
        </w:tc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Positional queries</w:t>
            </w:r>
          </w:p>
        </w:tc>
      </w:tr>
      <w:tr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ref/alt</w:t>
            </w:r>
          </w:p>
        </w:tc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VARCHAR(1000)</w:t>
            </w:r>
          </w:p>
        </w:tc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Allele matching</w:t>
            </w:r>
          </w:p>
        </w:tc>
      </w:tr>
      <w:tr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qual</w:t>
            </w:r>
          </w:p>
        </w:tc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FLOAT</w:t>
            </w:r>
          </w:p>
        </w:tc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Quality score filtering</w:t>
            </w:r>
          </w:p>
        </w:tc>
      </w:tr>
      <w:tr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gene</w:t>
            </w:r>
          </w:p>
        </w:tc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VARCHAR(100)</w:t>
            </w:r>
          </w:p>
        </w:tc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Gene-level queries</w:t>
            </w:r>
          </w:p>
        </w:tc>
      </w:tr>
      <w:tr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consequence</w:t>
            </w:r>
          </w:p>
        </w:tc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VARCHAR(200)</w:t>
            </w:r>
          </w:p>
        </w:tc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Functional filtering (e.g., missense only)</w:t>
            </w:r>
          </w:p>
        </w:tc>
      </w:tr>
      <w:tr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impact</w:t>
            </w:r>
          </w:p>
        </w:tc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VARCHAR(20)</w:t>
            </w:r>
          </w:p>
        </w:tc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Impact level filtering</w:t>
            </w:r>
          </w:p>
        </w:tc>
      </w:tr>
      <w:tr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genotype</w:t>
            </w:r>
          </w:p>
        </w:tc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VARCHAR(10)</w:t>
            </w:r>
          </w:p>
        </w:tc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Zygosity queries</w:t>
            </w:r>
          </w:p>
        </w:tc>
      </w:tr>
      <w:tr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text_summary</w:t>
            </w:r>
          </w:p>
        </w:tc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VARCHAR(2000)</w:t>
            </w:r>
          </w:p>
        </w:tc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Human-readable context for RAG</w:t>
            </w:r>
          </w:p>
        </w:tc>
      </w:tr>
      <w:tr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clinical_significance</w:t>
            </w:r>
          </w:p>
        </w:tc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VARCHAR(200)</w:t>
            </w:r>
          </w:p>
        </w:tc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ClinVar classification</w:t>
            </w:r>
          </w:p>
        </w:tc>
      </w:tr>
      <w:tr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rsid</w:t>
            </w:r>
          </w:p>
        </w:tc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VARCHAR(20)</w:t>
            </w:r>
          </w:p>
        </w:tc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dbSNP lookup</w:t>
            </w:r>
          </w:p>
        </w:tc>
      </w:tr>
      <w:tr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disease_associations</w:t>
            </w:r>
          </w:p>
        </w:tc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VARCHAR(2000)</w:t>
            </w:r>
          </w:p>
        </w:tc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Disease context for RAG</w:t>
            </w:r>
          </w:p>
        </w:tc>
      </w:tr>
      <w:tr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am_pathogenicity</w:t>
            </w:r>
          </w:p>
        </w:tc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FLOAT</w:t>
            </w:r>
          </w:p>
        </w:tc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AlphaMissense score filtering</w:t>
            </w:r>
          </w:p>
        </w:tc>
      </w:tr>
      <w:tr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am_class</w:t>
            </w:r>
          </w:p>
        </w:tc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VARCHAR(20)</w:t>
            </w:r>
          </w:p>
        </w:tc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Pathogenicity class filtering</w:t>
            </w:r>
          </w:p>
        </w:tc>
      </w:tr>
    </w:tbl>
    <w:p>
      <w:pPr>
        <w:spacing w:before="0" w:after="120"/>
      </w:pPr>
    </w:p>
    <w:p>
      <w:pPr>
        <w:pStyle w:val="Heading2"/>
        <w:spacing w:before="320" w:after="120"/>
      </w:pPr>
      <w:r>
        <w:rPr>
          <w:rFonts w:ascii="Calibri" w:hAnsi="Calibri"/>
          <w:b/>
          <w:color w:val="1B2333"/>
          <w:sz w:val="32"/>
        </w:rPr>
        <w:t>3.2 Index Configuration and Performance</w:t>
      </w:r>
    </w:p>
    <w:p>
      <w:pPr>
        <w:spacing w:before="200" w:after="80"/>
      </w:pPr>
      <w:r>
        <w:rPr>
          <w:rFonts w:ascii="Calibri" w:hAnsi="Calibri"/>
          <w:b/>
          <w:color w:val="1AAFCC"/>
          <w:sz w:val="26"/>
        </w:rPr>
        <w:t>Index Type: IVF_FLAT (Inverted File with Flat Vectors)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Why IVF_FLAT?</w:t>
      </w:r>
      <w:r>
        <w:rPr>
          <w:rFonts w:ascii="Calibri" w:hAnsi="Calibri"/>
          <w:color w:val="333333"/>
          <w:sz w:val="21"/>
        </w:rPr>
        <w:t xml:space="preserve">  At 3.5M vectors with 384 dimensions, IVF_FLAT provides the best recall-latency tradeoff. HNSW would use more memory; IVF_PQ would sacrifice recall.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nlist=1024:</w:t>
      </w:r>
      <w:r>
        <w:rPr>
          <w:rFonts w:ascii="Calibri" w:hAnsi="Calibri"/>
          <w:color w:val="333333"/>
          <w:sz w:val="21"/>
        </w:rPr>
        <w:t xml:space="preserve">  Partitions vectors into 1024 clusters. Query searches ~16 clusters (nprobe=16), examining ~55K vectors per query.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Metric:</w:t>
      </w:r>
      <w:r>
        <w:rPr>
          <w:rFonts w:ascii="Calibri" w:hAnsi="Calibri"/>
          <w:color w:val="333333"/>
          <w:sz w:val="21"/>
        </w:rPr>
        <w:t xml:space="preserve">  COSINE similarity (normalized dot product)</w:t>
      </w:r>
    </w:p>
    <w:p>
      <w:pPr>
        <w:spacing w:before="200" w:after="80"/>
      </w:pPr>
      <w:r>
        <w:rPr>
          <w:rFonts w:ascii="Calibri" w:hAnsi="Calibri"/>
          <w:b/>
          <w:color w:val="1AAFCC"/>
          <w:sz w:val="26"/>
        </w:rPr>
        <w:t>Search Performance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703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Index build time</w:t>
            </w:r>
          </w:p>
        </w:tc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~8 minutes (3.5M × 384-dim)</w:t>
            </w:r>
          </w:p>
        </w:tc>
      </w:tr>
      <w:tr>
        <w:tc>
          <w:tcPr>
            <w:tcW w:type="dxa" w:w="4703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Index memory</w:t>
            </w:r>
          </w:p>
        </w:tc>
        <w:tc>
          <w:tcPr>
            <w:tcW w:type="dxa" w:w="4703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~2 GB</w:t>
            </w:r>
          </w:p>
        </w:tc>
      </w:tr>
      <w:tr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Search latency (nprobe=16)</w:t>
            </w:r>
          </w:p>
        </w:tc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8-15 ms</w:t>
            </w:r>
          </w:p>
        </w:tc>
      </w:tr>
      <w:tr>
        <w:tc>
          <w:tcPr>
            <w:tcW w:type="dxa" w:w="4703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Recall@20</w:t>
            </w:r>
          </w:p>
        </w:tc>
        <w:tc>
          <w:tcPr>
            <w:tcW w:type="dxa" w:w="4703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&gt;95%</w:t>
            </w:r>
          </w:p>
        </w:tc>
      </w:tr>
    </w:tbl>
    <w:p>
      <w:pPr>
        <w:spacing w:before="0" w:after="120"/>
      </w:pPr>
    </w:p>
    <w:p>
      <w:pPr>
        <w:pStyle w:val="Heading2"/>
        <w:spacing w:before="320" w:after="120"/>
      </w:pPr>
      <w:r>
        <w:rPr>
          <w:rFonts w:ascii="Calibri" w:hAnsi="Calibri"/>
          <w:b/>
          <w:color w:val="1B2333"/>
          <w:sz w:val="32"/>
        </w:rPr>
        <w:t>3.3 RAG Architecture with Claude</w:t>
      </w:r>
    </w:p>
    <w:p>
      <w:pPr>
        <w:spacing w:before="0" w:after="120"/>
      </w:pPr>
      <w:r>
        <w:rPr>
          <w:rFonts w:ascii="Calibri" w:hAnsi="Calibri"/>
          <w:color w:val="333333"/>
          <w:sz w:val="21"/>
        </w:rPr>
        <w:t>The RAG pipeline in rag_engine.py (23 KB) implements a multi-stage retrieval strategy:</w:t>
      </w:r>
    </w:p>
    <w:p>
      <w:pPr>
        <w:spacing w:before="200" w:after="80"/>
      </w:pPr>
      <w:r>
        <w:rPr>
          <w:rFonts w:ascii="Calibri" w:hAnsi="Calibri"/>
          <w:b/>
          <w:color w:val="1AAFCC"/>
          <w:sz w:val="26"/>
        </w:rPr>
        <w:t>1. Query Expansion</w:t>
      </w:r>
    </w:p>
    <w:p>
      <w:pPr>
        <w:spacing w:before="0" w:after="120"/>
      </w:pPr>
      <w:r>
        <w:rPr>
          <w:rFonts w:ascii="Calibri" w:hAnsi="Calibri"/>
          <w:color w:val="333333"/>
          <w:sz w:val="21"/>
        </w:rPr>
        <w:t>User queries are enriched using 10 therapeutic area keyword maps. For example, a query about "neurodegeneration" is expanded with terms like "frontotemporal dementia," "ALS," "motor neuron," "tau protein."</w:t>
      </w:r>
    </w:p>
    <w:p>
      <w:pPr>
        <w:spacing w:before="200" w:after="80"/>
      </w:pPr>
      <w:r>
        <w:rPr>
          <w:rFonts w:ascii="Calibri" w:hAnsi="Calibri"/>
          <w:b/>
          <w:color w:val="1AAFCC"/>
          <w:sz w:val="26"/>
        </w:rPr>
        <w:t>2. Hybrid Retrieval</w:t>
      </w:r>
    </w:p>
    <w:p>
      <w:pPr>
        <w:spacing w:before="0" w:after="120"/>
      </w:pPr>
      <w:r>
        <w:rPr>
          <w:rFonts w:ascii="Calibri" w:hAnsi="Calibri"/>
          <w:color w:val="333333"/>
          <w:sz w:val="21"/>
        </w:rPr>
        <w:t>The expanded query is embedded and used for vector search (top_k=20). Results are optionally filtered by scalar fields (e.g., impact=HIGH, am_class=pathogenic).</w:t>
      </w:r>
    </w:p>
    <w:p>
      <w:pPr>
        <w:spacing w:before="200" w:after="80"/>
      </w:pPr>
      <w:r>
        <w:rPr>
          <w:rFonts w:ascii="Calibri" w:hAnsi="Calibri"/>
          <w:b/>
          <w:color w:val="1AAFCC"/>
          <w:sz w:val="26"/>
        </w:rPr>
        <w:t>3. Context Assembly</w:t>
      </w:r>
    </w:p>
    <w:p>
      <w:pPr>
        <w:spacing w:before="0" w:after="120"/>
      </w:pPr>
      <w:r>
        <w:rPr>
          <w:rFonts w:ascii="Calibri" w:hAnsi="Calibri"/>
          <w:color w:val="333333"/>
          <w:sz w:val="21"/>
        </w:rPr>
        <w:t>Retrieved variants are formatted into structured context:</w:t>
      </w:r>
    </w:p>
    <w:p>
      <w:pPr>
        <w:spacing w:before="120" w:after="0"/>
      </w:pPr>
      <w:r>
        <w:rPr>
          <w:rFonts w:ascii="Calibri" w:hAnsi="Calibri"/>
          <w:b/>
          <w:color w:val="1AAFCC"/>
          <w:sz w:val="16"/>
        </w:rPr>
        <w:t>Context Template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>## Variant Evidence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>- chr9:35065263 G&gt;A | Gene: VCP | Consequence: missense_variant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 xml:space="preserve">  ClinVar: Pathogenic | AlphaMissense: 0.87 (pathogenic)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 xml:space="preserve">  Disease: Frontotemporal Dementia, ALS, IBMPFD</w:t>
      </w:r>
    </w:p>
    <w:p>
      <w:pPr>
        <w:spacing w:before="200" w:after="80"/>
      </w:pPr>
      <w:r>
        <w:rPr>
          <w:rFonts w:ascii="Calibri" w:hAnsi="Calibri"/>
          <w:b/>
          <w:color w:val="1AAFCC"/>
          <w:sz w:val="26"/>
        </w:rPr>
        <w:t>4. Claude Inference</w:t>
      </w:r>
    </w:p>
    <w:p>
      <w:pPr>
        <w:spacing w:before="0" w:after="120"/>
      </w:pPr>
      <w:r>
        <w:rPr>
          <w:rFonts w:ascii="Calibri" w:hAnsi="Calibri"/>
          <w:color w:val="333333"/>
          <w:sz w:val="21"/>
        </w:rPr>
        <w:t>The assembled context + knowledge base + user query are sent to claude-sonnet-4-20250514 (temperature=0.3, max_tokens=4096).</w:t>
      </w:r>
    </w:p>
    <w:p>
      <w:pPr>
        <w:spacing w:before="200" w:after="80"/>
      </w:pPr>
      <w:r>
        <w:rPr>
          <w:rFonts w:ascii="Calibri" w:hAnsi="Calibri"/>
          <w:b/>
          <w:color w:val="1AAFCC"/>
          <w:sz w:val="26"/>
        </w:rPr>
        <w:t>Why temperature=0.3?</w:t>
      </w:r>
    </w:p>
    <w:p>
      <w:pPr>
        <w:spacing w:before="0" w:after="120"/>
      </w:pPr>
      <w:r>
        <w:rPr>
          <w:rFonts w:ascii="Calibri" w:hAnsi="Calibri"/>
          <w:color w:val="333333"/>
          <w:sz w:val="21"/>
        </w:rPr>
        <w:t>Lower temperature produces more deterministic, factual responses. For clinical genomics, hallucination is dangerous — the model should report only what the evidence supports.</w:t>
      </w:r>
    </w:p>
    <w:p>
      <w:r>
        <w:br w:type="page"/>
      </w:r>
    </w:p>
    <w:p>
      <w:pPr>
        <w:pStyle w:val="Heading1"/>
        <w:spacing w:before="480" w:after="160"/>
      </w:pPr>
      <w:r>
        <w:rPr>
          <w:rFonts w:ascii="Calibri" w:hAnsi="Calibri"/>
          <w:b/>
          <w:color w:val="1B2333"/>
          <w:sz w:val="44"/>
        </w:rPr>
        <w:t>Chapter 4: Drug Discovery Pipeline — Deep Dive</w:t>
      </w:r>
    </w:p>
    <w:p>
      <w:pPr>
        <w:pStyle w:val="Heading2"/>
        <w:spacing w:before="320" w:after="120"/>
      </w:pPr>
      <w:r>
        <w:rPr>
          <w:rFonts w:ascii="Calibri" w:hAnsi="Calibri"/>
          <w:b/>
          <w:color w:val="1B2333"/>
          <w:sz w:val="32"/>
        </w:rPr>
        <w:t>4.1 The 10-Stage Architecture</w:t>
      </w:r>
    </w:p>
    <w:p>
      <w:pPr>
        <w:spacing w:before="0" w:after="120"/>
      </w:pPr>
      <w:r>
        <w:rPr>
          <w:rFonts w:ascii="Calibri" w:hAnsi="Calibri"/>
          <w:color w:val="333333"/>
          <w:sz w:val="21"/>
        </w:rPr>
        <w:t>The drug discovery pipeline in pipeline.py (18 KB) implements a sequential 10-stage workflow: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Stage</w:t>
            </w:r>
          </w:p>
        </w:tc>
        <w:tc>
          <w:tcPr>
            <w:tcW w:type="dxa" w:w="3135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3135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Key Algorithm</w:t>
            </w:r>
          </w:p>
        </w:tc>
      </w:tr>
      <w:tr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1. Initialize</w:t>
            </w:r>
          </w:p>
        </w:tc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pipeline.py</w:t>
            </w:r>
          </w:p>
        </w:tc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Pydantic model validation</w:t>
            </w:r>
          </w:p>
        </w:tc>
      </w:tr>
      <w:tr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2. Normalize Target</w:t>
            </w:r>
          </w:p>
        </w:tc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pipeline.py</w:t>
            </w:r>
          </w:p>
        </w:tc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Gene → UniProt → PDB mapping</w:t>
            </w:r>
          </w:p>
        </w:tc>
      </w:tr>
      <w:tr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3. Structure Discovery</w:t>
            </w:r>
          </w:p>
        </w:tc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cryoem_evidence.py</w:t>
            </w:r>
          </w:p>
        </w:tc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RCSB PDB REST API query</w:t>
            </w:r>
          </w:p>
        </w:tc>
      </w:tr>
      <w:tr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4. Structure Preparation</w:t>
            </w:r>
          </w:p>
        </w:tc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cryoem_evidence.py</w:t>
            </w:r>
          </w:p>
        </w:tc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Multi-factor scoring</w:t>
            </w:r>
          </w:p>
        </w:tc>
      </w:tr>
      <w:tr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5. Molecule Generation</w:t>
            </w:r>
          </w:p>
        </w:tc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nim_clients.py</w:t>
            </w:r>
          </w:p>
        </w:tc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MolMIM masked LM inference</w:t>
            </w:r>
          </w:p>
        </w:tc>
      </w:tr>
      <w:tr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6. Chemistry QC</w:t>
            </w:r>
          </w:p>
        </w:tc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molecule_generator.py</w:t>
            </w:r>
          </w:p>
        </w:tc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RDKit valence/kekulization</w:t>
            </w:r>
          </w:p>
        </w:tc>
      </w:tr>
      <w:tr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7. Conformer Generation</w:t>
            </w:r>
          </w:p>
        </w:tc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molecule_generator.py</w:t>
            </w:r>
          </w:p>
        </w:tc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RDKit ETKDG algorithm</w:t>
            </w:r>
          </w:p>
        </w:tc>
      </w:tr>
      <w:tr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8. Molecular Docking</w:t>
            </w:r>
          </w:p>
        </w:tc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nim_clients.py</w:t>
            </w:r>
          </w:p>
        </w:tc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DiffDock diffusion inference</w:t>
            </w:r>
          </w:p>
        </w:tc>
      </w:tr>
      <w:tr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9. Composite Ranking</w:t>
            </w:r>
          </w:p>
        </w:tc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pipeline.py</w:t>
            </w:r>
          </w:p>
        </w:tc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Weighted multi-objective</w:t>
            </w:r>
          </w:p>
        </w:tc>
      </w:tr>
      <w:tr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10. Reporting</w:t>
            </w:r>
          </w:p>
        </w:tc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pipeline.py</w:t>
            </w:r>
          </w:p>
        </w:tc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ReportLab PDF generation</w:t>
            </w:r>
          </w:p>
        </w:tc>
      </w:tr>
    </w:tbl>
    <w:p>
      <w:pPr>
        <w:spacing w:before="0" w:after="120"/>
      </w:pPr>
    </w:p>
    <w:p>
      <w:pPr>
        <w:pStyle w:val="Heading2"/>
        <w:spacing w:before="320" w:after="120"/>
      </w:pPr>
      <w:r>
        <w:rPr>
          <w:rFonts w:ascii="Calibri" w:hAnsi="Calibri"/>
          <w:b/>
          <w:color w:val="1B2333"/>
          <w:sz w:val="32"/>
        </w:rPr>
        <w:t>4.2 Cryo-EM Structure Scoring</w:t>
      </w:r>
    </w:p>
    <w:p>
      <w:pPr>
        <w:spacing w:before="0" w:after="120"/>
      </w:pPr>
      <w:r>
        <w:rPr>
          <w:rFonts w:ascii="Calibri" w:hAnsi="Calibri"/>
          <w:color w:val="333333"/>
          <w:sz w:val="21"/>
        </w:rPr>
        <w:t>The cryoem_evidence.py (6 KB) module implements a multi-factor structure scoring algorithm:</w:t>
      </w:r>
    </w:p>
    <w:p>
      <w:pPr>
        <w:spacing w:before="120" w:after="0"/>
      </w:pPr>
      <w:r>
        <w:rPr>
          <w:rFonts w:ascii="Calibri" w:hAnsi="Calibri"/>
          <w:b/>
          <w:color w:val="1AAFCC"/>
          <w:sz w:val="16"/>
        </w:rPr>
        <w:t>Python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>score += max(0, 5.0 - resolution)                 # Resolution: 0-5 scale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>if has_inhibitor_bound: score += 3.0                # Binding site defined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>score += num_druggable_pockets * 0.5                # Pocket count bonus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>if 'Cryo-EM' in method: score += 0.5                 # Method bonus</w:t>
      </w:r>
    </w:p>
    <w:p>
      <w:pPr>
        <w:spacing w:before="200" w:after="80"/>
      </w:pPr>
      <w:r>
        <w:rPr>
          <w:rFonts w:ascii="Calibri" w:hAnsi="Calibri"/>
          <w:b/>
          <w:color w:val="1AAFCC"/>
          <w:sz w:val="26"/>
        </w:rPr>
        <w:t>Design Rationale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Resolution:</w:t>
      </w:r>
      <w:r>
        <w:rPr>
          <w:rFonts w:ascii="Calibri" w:hAnsi="Calibri"/>
          <w:color w:val="333333"/>
          <w:sz w:val="21"/>
        </w:rPr>
        <w:t xml:space="preserve">  the primary factor (0-5 scale). The 5 Å cutoff excludes low-resolution structures unsuitable for docking.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Inhibitor bonus (+3):</w:t>
      </w:r>
      <w:r>
        <w:rPr>
          <w:rFonts w:ascii="Calibri" w:hAnsi="Calibri"/>
          <w:color w:val="333333"/>
          <w:sz w:val="21"/>
        </w:rPr>
        <w:t xml:space="preserve">  Inhibitor-bound structures provide a pre-defined binding site and reference ligand geometry.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Pocket count (+0.5 each):</w:t>
      </w:r>
      <w:r>
        <w:rPr>
          <w:rFonts w:ascii="Calibri" w:hAnsi="Calibri"/>
          <w:color w:val="333333"/>
          <w:sz w:val="21"/>
        </w:rPr>
        <w:t xml:space="preserve">  More druggable pockets increase therapeutic options.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Cryo-EM bonus (+0.5):</w:t>
      </w:r>
      <w:r>
        <w:rPr>
          <w:rFonts w:ascii="Calibri" w:hAnsi="Calibri"/>
          <w:color w:val="333333"/>
          <w:sz w:val="21"/>
        </w:rPr>
        <w:t xml:space="preserve">  Reflects the growing prevalence and quality of Cryo-EM structures for drug targets.</w:t>
      </w:r>
    </w:p>
    <w:p>
      <w:pPr>
        <w:pStyle w:val="Heading2"/>
        <w:spacing w:before="320" w:after="120"/>
      </w:pPr>
      <w:r>
        <w:rPr>
          <w:rFonts w:ascii="Calibri" w:hAnsi="Calibri"/>
          <w:b/>
          <w:color w:val="1B2333"/>
          <w:sz w:val="32"/>
        </w:rPr>
        <w:t>4.3 MolMIM: Molecular Masked Inverse Modeling</w:t>
      </w:r>
    </w:p>
    <w:p>
      <w:pPr>
        <w:spacing w:before="0" w:after="120"/>
      </w:pPr>
      <w:r>
        <w:rPr>
          <w:rFonts w:ascii="Calibri" w:hAnsi="Calibri"/>
          <w:color w:val="333333"/>
          <w:sz w:val="21"/>
        </w:rPr>
        <w:t>MolMIM applies masked language modeling (the technique behind BERT in NLP) to molecular SMILES strings. Given a seed molecule, it: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1.</w:t>
      </w:r>
      <w:r>
        <w:rPr>
          <w:rFonts w:ascii="Calibri" w:hAnsi="Calibri"/>
          <w:color w:val="333333"/>
          <w:sz w:val="21"/>
        </w:rPr>
        <w:t xml:space="preserve">  Tokenizes the SMILES into a vocabulary of molecular substructures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2.</w:t>
      </w:r>
      <w:r>
        <w:rPr>
          <w:rFonts w:ascii="Calibri" w:hAnsi="Calibri"/>
          <w:color w:val="333333"/>
          <w:sz w:val="21"/>
        </w:rPr>
        <w:t xml:space="preserve">  Randomly masks 15-30% of tokens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3.</w:t>
      </w:r>
      <w:r>
        <w:rPr>
          <w:rFonts w:ascii="Calibri" w:hAnsi="Calibri"/>
          <w:color w:val="333333"/>
          <w:sz w:val="21"/>
        </w:rPr>
        <w:t xml:space="preserve">  Predicts the masked tokens using a transformer architecture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4.</w:t>
      </w:r>
      <w:r>
        <w:rPr>
          <w:rFonts w:ascii="Calibri" w:hAnsi="Calibri"/>
          <w:color w:val="333333"/>
          <w:sz w:val="21"/>
        </w:rPr>
        <w:t xml:space="preserve">  The predicted tokens create novel molecular structures</w:t>
      </w:r>
    </w:p>
    <w:p>
      <w:pPr>
        <w:spacing w:before="200" w:after="80"/>
      </w:pPr>
      <w:r>
        <w:rPr>
          <w:rFonts w:ascii="Calibri" w:hAnsi="Calibri"/>
          <w:b/>
          <w:color w:val="1AAFCC"/>
          <w:sz w:val="26"/>
        </w:rPr>
        <w:t>Critical Considerations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SMILES output:</w:t>
      </w:r>
      <w:r>
        <w:rPr>
          <w:rFonts w:ascii="Calibri" w:hAnsi="Calibri"/>
          <w:color w:val="333333"/>
          <w:sz w:val="21"/>
        </w:rPr>
        <w:t xml:space="preserve">  MolMIM generates SMILES strings, not 3D structures. Chemical validity must be verified by RDKit.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Stochastic generation:</w:t>
      </w:r>
      <w:r>
        <w:rPr>
          <w:rFonts w:ascii="Calibri" w:hAnsi="Calibri"/>
          <w:color w:val="333333"/>
          <w:sz w:val="21"/>
        </w:rPr>
        <w:t xml:space="preserve">  Different random seeds produce different molecules.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Temperature control:</w:t>
      </w:r>
      <w:r>
        <w:rPr>
          <w:rFonts w:ascii="Calibri" w:hAnsi="Calibri"/>
          <w:color w:val="333333"/>
          <w:sz w:val="21"/>
        </w:rPr>
        <w:t xml:space="preserve">  Higher temperature = more diverse but potentially less valid molecules.</w:t>
      </w:r>
    </w:p>
    <w:p>
      <w:pPr>
        <w:pStyle w:val="Heading2"/>
        <w:spacing w:before="320" w:after="120"/>
      </w:pPr>
      <w:r>
        <w:rPr>
          <w:rFonts w:ascii="Calibri" w:hAnsi="Calibri"/>
          <w:b/>
          <w:color w:val="1B2333"/>
          <w:sz w:val="32"/>
        </w:rPr>
        <w:t>4.4 DiffDock: Diffusion-Based Molecular Docking</w:t>
      </w:r>
    </w:p>
    <w:p>
      <w:pPr>
        <w:spacing w:before="0" w:after="120"/>
      </w:pPr>
      <w:r>
        <w:rPr>
          <w:rFonts w:ascii="Calibri" w:hAnsi="Calibri"/>
          <w:color w:val="333333"/>
          <w:sz w:val="21"/>
        </w:rPr>
        <w:t>DiffDock (Corso et al., ICLR 2023) models molecular docking as a generative diffusion process over the product space of rotations, translations, and torsion angles.</w:t>
      </w:r>
    </w:p>
    <w:p>
      <w:pPr>
        <w:spacing w:before="200" w:after="80"/>
      </w:pPr>
      <w:r>
        <w:rPr>
          <w:rFonts w:ascii="Calibri" w:hAnsi="Calibri"/>
          <w:b/>
          <w:color w:val="1AAFCC"/>
          <w:sz w:val="26"/>
        </w:rPr>
        <w:t>Key Innovation</w:t>
      </w:r>
    </w:p>
    <w:p>
      <w:pPr>
        <w:spacing w:before="0" w:after="120"/>
      </w:pPr>
      <w:r>
        <w:rPr>
          <w:rFonts w:ascii="Calibri" w:hAnsi="Calibri"/>
          <w:color w:val="333333"/>
          <w:sz w:val="21"/>
        </w:rPr>
        <w:t>Unlike grid-based docking methods (AutoDock Vina, Glide), DiffDock does not require a pre-defined search box around a binding site. It learns to predict binding poses directly from protein-ligand pairs, making it suitable for blind docking.</w:t>
      </w:r>
    </w:p>
    <w:p>
      <w:pPr>
        <w:spacing w:before="200" w:after="80"/>
      </w:pPr>
      <w:r>
        <w:rPr>
          <w:rFonts w:ascii="Calibri" w:hAnsi="Calibri"/>
          <w:b/>
          <w:color w:val="1AAFCC"/>
          <w:sz w:val="26"/>
        </w:rPr>
        <w:t>Score Interpretation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Confidence score (0-1):</w:t>
      </w:r>
      <w:r>
        <w:rPr>
          <w:rFonts w:ascii="Calibri" w:hAnsi="Calibri"/>
          <w:color w:val="333333"/>
          <w:sz w:val="21"/>
        </w:rPr>
        <w:t xml:space="preserve">  indicates the model's certainty about the predicted pose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Binding affinity (kcal/mol):</w:t>
      </w:r>
      <w:r>
        <w:rPr>
          <w:rFonts w:ascii="Calibri" w:hAnsi="Calibri"/>
          <w:color w:val="333333"/>
          <w:sz w:val="21"/>
        </w:rPr>
        <w:t xml:space="preserve">  estimates the free energy of binding; more negative = stronger binding</w:t>
      </w:r>
    </w:p>
    <w:p>
      <w:pPr>
        <w:spacing w:before="200" w:after="80"/>
      </w:pPr>
      <w:r>
        <w:rPr>
          <w:rFonts w:ascii="Calibri" w:hAnsi="Calibri"/>
          <w:b/>
          <w:color w:val="1AAFCC"/>
          <w:sz w:val="26"/>
        </w:rPr>
        <w:t>Limitations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Training bias:</w:t>
      </w:r>
      <w:r>
        <w:rPr>
          <w:rFonts w:ascii="Calibri" w:hAnsi="Calibri"/>
          <w:color w:val="333333"/>
          <w:sz w:val="21"/>
        </w:rPr>
        <w:t xml:space="preserve">  DiffDock was trained primarily on crystal structures; performance may degrade on Cryo-EM structures with lower resolution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No kinetics:</w:t>
      </w:r>
      <w:r>
        <w:rPr>
          <w:rFonts w:ascii="Calibri" w:hAnsi="Calibri"/>
          <w:color w:val="333333"/>
          <w:sz w:val="21"/>
        </w:rPr>
        <w:t xml:space="preserve">  The model predicts pose and affinity but not binding kinetics (on/off rates)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Rigid protein:</w:t>
      </w:r>
      <w:r>
        <w:rPr>
          <w:rFonts w:ascii="Calibri" w:hAnsi="Calibri"/>
          <w:color w:val="333333"/>
          <w:sz w:val="21"/>
        </w:rPr>
        <w:t xml:space="preserve">  Protein flexibility is not modeled — the protein is treated as rigid</w:t>
      </w:r>
    </w:p>
    <w:p>
      <w:pPr>
        <w:pStyle w:val="Heading2"/>
        <w:spacing w:before="320" w:after="120"/>
      </w:pPr>
      <w:r>
        <w:rPr>
          <w:rFonts w:ascii="Calibri" w:hAnsi="Calibri"/>
          <w:b/>
          <w:color w:val="1B2333"/>
          <w:sz w:val="32"/>
        </w:rPr>
        <w:t>4.5 Composite Scoring and Normalization</w:t>
      </w:r>
    </w:p>
    <w:p>
      <w:pPr>
        <w:spacing w:before="0" w:after="120"/>
      </w:pPr>
      <w:r>
        <w:rPr>
          <w:rFonts w:ascii="Calibri" w:hAnsi="Calibri"/>
          <w:color w:val="333333"/>
          <w:sz w:val="21"/>
        </w:rPr>
        <w:t>The composite scoring formula balances three objectives:</w:t>
      </w:r>
    </w:p>
    <w:p>
      <w:pPr>
        <w:spacing w:before="120" w:after="0"/>
      </w:pPr>
      <w:r>
        <w:rPr>
          <w:rFonts w:ascii="Calibri" w:hAnsi="Calibri"/>
          <w:b/>
          <w:color w:val="1AAFCC"/>
          <w:sz w:val="16"/>
        </w:rPr>
        <w:t>Python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>dock_normalized = max(0.0, min(1.0, (10.0 + dock_score) / 20.0))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>composite = 0.30 * gen_score + 0.40 * dock_normalized + 0.30 * qed_score</w:t>
      </w:r>
    </w:p>
    <w:p>
      <w:pPr>
        <w:spacing w:before="200" w:after="80"/>
      </w:pPr>
      <w:r>
        <w:rPr>
          <w:rFonts w:ascii="Calibri" w:hAnsi="Calibri"/>
          <w:b/>
          <w:color w:val="1AAFCC"/>
          <w:sz w:val="26"/>
        </w:rPr>
        <w:t>Normalization Rationale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Docking scores:</w:t>
      </w:r>
      <w:r>
        <w:rPr>
          <w:rFonts w:ascii="Calibri" w:hAnsi="Calibri"/>
          <w:color w:val="333333"/>
          <w:sz w:val="21"/>
        </w:rPr>
        <w:t xml:space="preserve">  range from ~-15 to ~0 kcal/mol. The formula (10 + dock) / 20 maps this to approximately 0-1, with -10 kcal/mol mapping to 0.0 and +10 mapping to 1.0.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Generation scores:</w:t>
      </w:r>
      <w:r>
        <w:rPr>
          <w:rFonts w:ascii="Calibri" w:hAnsi="Calibri"/>
          <w:color w:val="333333"/>
          <w:sz w:val="21"/>
        </w:rPr>
        <w:t xml:space="preserve">  already 0-1 (MolMIM confidence).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QED scores:</w:t>
      </w:r>
      <w:r>
        <w:rPr>
          <w:rFonts w:ascii="Calibri" w:hAnsi="Calibri"/>
          <w:color w:val="333333"/>
          <w:sz w:val="21"/>
        </w:rPr>
        <w:t xml:space="preserve">  inherently 0-1.</w:t>
      </w:r>
    </w:p>
    <w:p>
      <w:pPr>
        <w:spacing w:before="200" w:after="80"/>
      </w:pPr>
      <w:r>
        <w:rPr>
          <w:rFonts w:ascii="Calibri" w:hAnsi="Calibri"/>
          <w:b/>
          <w:color w:val="1AAFCC"/>
          <w:sz w:val="26"/>
        </w:rPr>
        <w:t>Weight Rationale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Docking (40%):</w:t>
      </w:r>
      <w:r>
        <w:rPr>
          <w:rFonts w:ascii="Calibri" w:hAnsi="Calibri"/>
          <w:color w:val="333333"/>
          <w:sz w:val="21"/>
        </w:rPr>
        <w:t xml:space="preserve">  receives the highest weight because binding affinity is the most direct predictor of therapeutic activity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Generation (30%):</w:t>
      </w:r>
      <w:r>
        <w:rPr>
          <w:rFonts w:ascii="Calibri" w:hAnsi="Calibri"/>
          <w:color w:val="333333"/>
          <w:sz w:val="21"/>
        </w:rPr>
        <w:t xml:space="preserve">  balances novelty of the molecular design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QED (30%):</w:t>
      </w:r>
      <w:r>
        <w:rPr>
          <w:rFonts w:ascii="Calibri" w:hAnsi="Calibri"/>
          <w:color w:val="333333"/>
          <w:sz w:val="21"/>
        </w:rPr>
        <w:t xml:space="preserve">  balances practical drug-likeness</w:t>
      </w:r>
    </w:p>
    <w:p>
      <w:r>
        <w:br w:type="page"/>
      </w:r>
    </w:p>
    <w:p>
      <w:pPr>
        <w:pStyle w:val="Heading1"/>
        <w:spacing w:before="480" w:after="160"/>
      </w:pPr>
      <w:r>
        <w:rPr>
          <w:rFonts w:ascii="Calibri" w:hAnsi="Calibri"/>
          <w:b/>
          <w:color w:val="1B2333"/>
          <w:sz w:val="44"/>
        </w:rPr>
        <w:t>Chapter 5: Nextflow DSL2 Pipeline Architecture</w:t>
      </w:r>
    </w:p>
    <w:p>
      <w:pPr>
        <w:pStyle w:val="Heading2"/>
        <w:spacing w:before="320" w:after="120"/>
      </w:pPr>
      <w:r>
        <w:rPr>
          <w:rFonts w:ascii="Calibri" w:hAnsi="Calibri"/>
          <w:b/>
          <w:color w:val="1B2333"/>
          <w:sz w:val="32"/>
        </w:rPr>
        <w:t>5.1 Module Design</w:t>
      </w:r>
    </w:p>
    <w:p>
      <w:pPr>
        <w:spacing w:before="0" w:after="120"/>
      </w:pPr>
      <w:r>
        <w:rPr>
          <w:rFonts w:ascii="Calibri" w:hAnsi="Calibri"/>
          <w:color w:val="333333"/>
          <w:sz w:val="21"/>
        </w:rPr>
        <w:t>The pipeline uses Nextflow DSL2's module system for composable workflow design:</w:t>
      </w:r>
    </w:p>
    <w:p>
      <w:pPr>
        <w:spacing w:before="120" w:after="0"/>
      </w:pPr>
      <w:r>
        <w:rPr>
          <w:rFonts w:ascii="Calibri" w:hAnsi="Calibri"/>
          <w:b/>
          <w:color w:val="1AAFCC"/>
          <w:sz w:val="16"/>
        </w:rPr>
        <w:t>Directory Structure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>hls-orchestrator/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>├── main.nf                 # Entry point, mode routing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>├── nextflow.config         # Profiles, parameters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>├── run_pipeline.py         # Python CLI launcher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>└── modules/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 xml:space="preserve">    ├── genomics.nf         # Stage 1 processes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 xml:space="preserve">    ├── rag_chat.nf         # Stage 2 processes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 xml:space="preserve">    ├── drug_discovery.nf   # Stage 3 processes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 xml:space="preserve">    └── reporting.nf        # Report generation</w:t>
      </w:r>
    </w:p>
    <w:p>
      <w:pPr>
        <w:pStyle w:val="Heading2"/>
        <w:spacing w:before="320" w:after="120"/>
      </w:pPr>
      <w:r>
        <w:rPr>
          <w:rFonts w:ascii="Calibri" w:hAnsi="Calibri"/>
          <w:b/>
          <w:color w:val="1B2333"/>
          <w:sz w:val="32"/>
        </w:rPr>
        <w:t>5.2 Execution Modes and Data Flow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Mode</w:t>
            </w:r>
          </w:p>
        </w:tc>
        <w:tc>
          <w:tcPr>
            <w:tcW w:type="dxa" w:w="3135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Data Flow</w:t>
            </w:r>
          </w:p>
        </w:tc>
        <w:tc>
          <w:tcPr>
            <w:tcW w:type="dxa" w:w="3135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Use Case</w:t>
            </w:r>
          </w:p>
        </w:tc>
      </w:tr>
      <w:tr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full</w:t>
            </w:r>
          </w:p>
        </w:tc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FASTQ → VCF → Target → Candidates</w:t>
            </w:r>
          </w:p>
        </w:tc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Complete pipeline</w:t>
            </w:r>
          </w:p>
        </w:tc>
      </w:tr>
      <w:tr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target</w:t>
            </w:r>
          </w:p>
        </w:tc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VCF → Target → Candidates</w:t>
            </w:r>
          </w:p>
        </w:tc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Pre-existing VCF</w:t>
            </w:r>
          </w:p>
        </w:tc>
      </w:tr>
      <w:tr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drug</w:t>
            </w:r>
          </w:p>
        </w:tc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Target → Candidates</w:t>
            </w:r>
          </w:p>
        </w:tc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Known gene target</w:t>
            </w:r>
          </w:p>
        </w:tc>
      </w:tr>
      <w:tr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demo</w:t>
            </w:r>
          </w:p>
        </w:tc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Pre-configured FASTQ → Candidates</w:t>
            </w:r>
          </w:p>
        </w:tc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VCP/FTD demonstration</w:t>
            </w:r>
          </w:p>
        </w:tc>
      </w:tr>
      <w:tr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genomics_only</w:t>
            </w:r>
          </w:p>
        </w:tc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FASTQ → VCF</w:t>
            </w:r>
          </w:p>
        </w:tc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Variant calling only</w:t>
            </w:r>
          </w:p>
        </w:tc>
      </w:tr>
    </w:tbl>
    <w:p>
      <w:pPr>
        <w:spacing w:before="0" w:after="120"/>
      </w:pPr>
    </w:p>
    <w:p>
      <w:pPr>
        <w:pStyle w:val="Heading2"/>
        <w:spacing w:before="320" w:after="120"/>
      </w:pPr>
      <w:r>
        <w:rPr>
          <w:rFonts w:ascii="Calibri" w:hAnsi="Calibri"/>
          <w:b/>
          <w:color w:val="1B2333"/>
          <w:sz w:val="32"/>
        </w:rPr>
        <w:t>5.3 Profile Configuration</w:t>
      </w:r>
    </w:p>
    <w:p>
      <w:pPr>
        <w:spacing w:before="0" w:after="120"/>
      </w:pPr>
      <w:r>
        <w:rPr>
          <w:rFonts w:ascii="Calibri" w:hAnsi="Calibri"/>
          <w:color w:val="333333"/>
          <w:sz w:val="21"/>
        </w:rPr>
        <w:t>The nextflow.config defines six execution profiles optimized for different environments: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dgx_spark:</w:t>
      </w:r>
      <w:r>
        <w:rPr>
          <w:rFonts w:ascii="Calibri" w:hAnsi="Calibri"/>
          <w:color w:val="333333"/>
          <w:sz w:val="21"/>
        </w:rPr>
        <w:t xml:space="preserve">  GPU resource requests, memory limits tuned for 128 GB unified memory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docker:</w:t>
      </w:r>
      <w:r>
        <w:rPr>
          <w:rFonts w:ascii="Calibri" w:hAnsi="Calibri"/>
          <w:color w:val="333333"/>
          <w:sz w:val="21"/>
        </w:rPr>
        <w:t xml:space="preserve">  Docker container execution with GPU passthrough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singularity:</w:t>
      </w:r>
      <w:r>
        <w:rPr>
          <w:rFonts w:ascii="Calibri" w:hAnsi="Calibri"/>
          <w:color w:val="333333"/>
          <w:sz w:val="21"/>
        </w:rPr>
        <w:t xml:space="preserve">  Singularity containers for HPC environments without Docker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slurm:</w:t>
      </w:r>
      <w:r>
        <w:rPr>
          <w:rFonts w:ascii="Calibri" w:hAnsi="Calibri"/>
          <w:color w:val="333333"/>
          <w:sz w:val="21"/>
        </w:rPr>
        <w:t xml:space="preserve">  SLURM scheduler integration for cluster execution</w:t>
      </w:r>
    </w:p>
    <w:p>
      <w:r>
        <w:br w:type="page"/>
      </w:r>
    </w:p>
    <w:p>
      <w:pPr>
        <w:pStyle w:val="Heading1"/>
        <w:spacing w:before="480" w:after="160"/>
      </w:pPr>
      <w:r>
        <w:rPr>
          <w:rFonts w:ascii="Calibri" w:hAnsi="Calibri"/>
          <w:b/>
          <w:color w:val="1B2333"/>
          <w:sz w:val="44"/>
        </w:rPr>
        <w:t>Chapter 6: Clinical Translation and Limitations</w:t>
      </w:r>
    </w:p>
    <w:p>
      <w:pPr>
        <w:pStyle w:val="Heading2"/>
        <w:spacing w:before="320" w:after="120"/>
      </w:pPr>
      <w:r>
        <w:rPr>
          <w:rFonts w:ascii="Calibri" w:hAnsi="Calibri"/>
          <w:b/>
          <w:color w:val="1B2333"/>
          <w:sz w:val="32"/>
        </w:rPr>
        <w:t>6.1 From Computational Hits to Drug Leads</w:t>
      </w:r>
    </w:p>
    <w:p>
      <w:pPr>
        <w:spacing w:before="0" w:after="120"/>
      </w:pPr>
      <w:r>
        <w:rPr>
          <w:rFonts w:ascii="Calibri" w:hAnsi="Calibri"/>
          <w:color w:val="333333"/>
          <w:sz w:val="21"/>
        </w:rPr>
        <w:t>The HCLS AI Factory generates computational drug candidates — not approved medications. The path from computational hit to clinical drug requires: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1. In vitro validation:</w:t>
      </w:r>
      <w:r>
        <w:rPr>
          <w:rFonts w:ascii="Calibri" w:hAnsi="Calibri"/>
          <w:color w:val="333333"/>
          <w:sz w:val="21"/>
        </w:rPr>
        <w:t xml:space="preserve">  Test top candidates in biochemical assays (e.g., VCP ATPase activity inhibition)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2. Cell-based assays:</w:t>
      </w:r>
      <w:r>
        <w:rPr>
          <w:rFonts w:ascii="Calibri" w:hAnsi="Calibri"/>
          <w:color w:val="333333"/>
          <w:sz w:val="21"/>
        </w:rPr>
        <w:t xml:space="preserve">  Confirm activity in relevant cell lines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3. ADMET profiling:</w:t>
      </w:r>
      <w:r>
        <w:rPr>
          <w:rFonts w:ascii="Calibri" w:hAnsi="Calibri"/>
          <w:color w:val="333333"/>
          <w:sz w:val="21"/>
        </w:rPr>
        <w:t xml:space="preserve">  Absorption, Distribution, Metabolism, Excretion, and Toxicity studies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4. Lead optimization:</w:t>
      </w:r>
      <w:r>
        <w:rPr>
          <w:rFonts w:ascii="Calibri" w:hAnsi="Calibri"/>
          <w:color w:val="333333"/>
          <w:sz w:val="21"/>
        </w:rPr>
        <w:t xml:space="preserve">  Iterative cycles of design, synthesis, and testing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5. Preclinical studies:</w:t>
      </w:r>
      <w:r>
        <w:rPr>
          <w:rFonts w:ascii="Calibri" w:hAnsi="Calibri"/>
          <w:color w:val="333333"/>
          <w:sz w:val="21"/>
        </w:rPr>
        <w:t xml:space="preserve">  Animal models for efficacy and safety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6. Clinical trials:</w:t>
      </w:r>
      <w:r>
        <w:rPr>
          <w:rFonts w:ascii="Calibri" w:hAnsi="Calibri"/>
          <w:color w:val="333333"/>
          <w:sz w:val="21"/>
        </w:rPr>
        <w:t xml:space="preserve">  Phase I (safety), Phase II (efficacy), Phase III (large-scale)</w:t>
      </w:r>
    </w:p>
    <w:p>
      <w:pPr>
        <w:spacing w:before="200" w:after="80"/>
      </w:pPr>
      <w:r>
        <w:rPr>
          <w:rFonts w:ascii="Calibri" w:hAnsi="Calibri"/>
          <w:b/>
          <w:color w:val="1AAFCC"/>
          <w:sz w:val="26"/>
        </w:rPr>
        <w:t>Estimated Timeline</w:t>
      </w:r>
    </w:p>
    <w:p>
      <w:pPr>
        <w:spacing w:before="0" w:after="120"/>
      </w:pPr>
      <w:r>
        <w:rPr>
          <w:rFonts w:ascii="Calibri" w:hAnsi="Calibri"/>
          <w:color w:val="333333"/>
          <w:sz w:val="21"/>
        </w:rPr>
        <w:t>10-15 years from computational hit to approved drug. The HCLS AI Factory accelerates the earliest stage — computational lead generation — from months to minutes.</w:t>
      </w:r>
    </w:p>
    <w:p>
      <w:pPr>
        <w:pStyle w:val="Heading2"/>
        <w:spacing w:before="320" w:after="120"/>
      </w:pPr>
      <w:r>
        <w:rPr>
          <w:rFonts w:ascii="Calibri" w:hAnsi="Calibri"/>
          <w:b/>
          <w:color w:val="1B2333"/>
          <w:sz w:val="32"/>
        </w:rPr>
        <w:t>6.2 Limitations and Caveats</w:t>
      </w:r>
    </w:p>
    <w:p>
      <w:pPr>
        <w:spacing w:before="200" w:after="80"/>
      </w:pPr>
      <w:r>
        <w:rPr>
          <w:rFonts w:ascii="Calibri" w:hAnsi="Calibri"/>
          <w:b/>
          <w:color w:val="1AAFCC"/>
          <w:sz w:val="26"/>
        </w:rPr>
        <w:t>Genomics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•</w:t>
      </w:r>
      <w:r>
        <w:rPr>
          <w:rFonts w:ascii="Calibri" w:hAnsi="Calibri"/>
          <w:color w:val="333333"/>
          <w:sz w:val="21"/>
        </w:rPr>
        <w:t xml:space="preserve">  DeepVariant accuracy varies by variant type (SNPs &gt; indels &gt; structural variants)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•</w:t>
      </w:r>
      <w:r>
        <w:rPr>
          <w:rFonts w:ascii="Calibri" w:hAnsi="Calibri"/>
          <w:color w:val="333333"/>
          <w:sz w:val="21"/>
        </w:rPr>
        <w:t xml:space="preserve">  Short-read WGS has limited sensitivity for structural variants and repeat expansions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•</w:t>
      </w:r>
      <w:r>
        <w:rPr>
          <w:rFonts w:ascii="Calibri" w:hAnsi="Calibri"/>
          <w:color w:val="333333"/>
          <w:sz w:val="21"/>
        </w:rPr>
        <w:t xml:space="preserve">  Population-specific biases in GRCh38 may affect variant calling in non-European ancestries</w:t>
      </w:r>
    </w:p>
    <w:p>
      <w:pPr>
        <w:spacing w:before="200" w:after="80"/>
      </w:pPr>
      <w:r>
        <w:rPr>
          <w:rFonts w:ascii="Calibri" w:hAnsi="Calibri"/>
          <w:b/>
          <w:color w:val="1AAFCC"/>
          <w:sz w:val="26"/>
        </w:rPr>
        <w:t>RAG/Annotation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•</w:t>
      </w:r>
      <w:r>
        <w:rPr>
          <w:rFonts w:ascii="Calibri" w:hAnsi="Calibri"/>
          <w:color w:val="333333"/>
          <w:sz w:val="21"/>
        </w:rPr>
        <w:t xml:space="preserve">  ClinVar has known biases toward well-studied genes and European ancestry variants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•</w:t>
      </w:r>
      <w:r>
        <w:rPr>
          <w:rFonts w:ascii="Calibri" w:hAnsi="Calibri"/>
          <w:color w:val="333333"/>
          <w:sz w:val="21"/>
        </w:rPr>
        <w:t xml:space="preserve">  AlphaMissense is limited to missense variants; non-coding variants are not scored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•</w:t>
      </w:r>
      <w:r>
        <w:rPr>
          <w:rFonts w:ascii="Calibri" w:hAnsi="Calibri"/>
          <w:color w:val="333333"/>
          <w:sz w:val="21"/>
        </w:rPr>
        <w:t xml:space="preserve">  The 201-gene knowledge base covers common drug targets but not the full druggable genome</w:t>
      </w:r>
    </w:p>
    <w:p>
      <w:pPr>
        <w:spacing w:before="200" w:after="80"/>
      </w:pPr>
      <w:r>
        <w:rPr>
          <w:rFonts w:ascii="Calibri" w:hAnsi="Calibri"/>
          <w:b/>
          <w:color w:val="1AAFCC"/>
          <w:sz w:val="26"/>
        </w:rPr>
        <w:t>Drug Discovery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•</w:t>
      </w:r>
      <w:r>
        <w:rPr>
          <w:rFonts w:ascii="Calibri" w:hAnsi="Calibri"/>
          <w:color w:val="333333"/>
          <w:sz w:val="21"/>
        </w:rPr>
        <w:t xml:space="preserve">  MolMIM-generated molecules have not been synthesized or tested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•</w:t>
      </w:r>
      <w:r>
        <w:rPr>
          <w:rFonts w:ascii="Calibri" w:hAnsi="Calibri"/>
          <w:color w:val="333333"/>
          <w:sz w:val="21"/>
        </w:rPr>
        <w:t xml:space="preserve">  DiffDock docking scores are predictions, not experimental measurements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•</w:t>
      </w:r>
      <w:r>
        <w:rPr>
          <w:rFonts w:ascii="Calibri" w:hAnsi="Calibri"/>
          <w:color w:val="333333"/>
          <w:sz w:val="21"/>
        </w:rPr>
        <w:t xml:space="preserve">  Protein flexibility is not modeled; induced-fit effects are ignored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•</w:t>
      </w:r>
      <w:r>
        <w:rPr>
          <w:rFonts w:ascii="Calibri" w:hAnsi="Calibri"/>
          <w:color w:val="333333"/>
          <w:sz w:val="21"/>
        </w:rPr>
        <w:t xml:space="preserve">  The composite scoring weights (30/40/30) are heuristic, not optimized on clinical outcomes</w:t>
      </w:r>
    </w:p>
    <w:p>
      <w:pPr>
        <w:pStyle w:val="Heading2"/>
        <w:spacing w:before="320" w:after="120"/>
      </w:pPr>
      <w:r>
        <w:rPr>
          <w:rFonts w:ascii="Calibri" w:hAnsi="Calibri"/>
          <w:b/>
          <w:color w:val="1B2333"/>
          <w:sz w:val="32"/>
        </w:rPr>
        <w:t>6.3 Ethical Considerations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Informed consent:</w:t>
      </w:r>
      <w:r>
        <w:rPr>
          <w:rFonts w:ascii="Calibri" w:hAnsi="Calibri"/>
          <w:color w:val="333333"/>
          <w:sz w:val="21"/>
        </w:rPr>
        <w:t xml:space="preserve">  Patient genomic data requires explicit consent for research use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Data sovereignty:</w:t>
      </w:r>
      <w:r>
        <w:rPr>
          <w:rFonts w:ascii="Calibri" w:hAnsi="Calibri"/>
          <w:color w:val="333333"/>
          <w:sz w:val="21"/>
        </w:rPr>
        <w:t xml:space="preserve">  NVIDIA FLARE federated learning keeps data local; essential for HIPAA/GDPR compliance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Return of results:</w:t>
      </w:r>
      <w:r>
        <w:rPr>
          <w:rFonts w:ascii="Calibri" w:hAnsi="Calibri"/>
          <w:color w:val="333333"/>
          <w:sz w:val="21"/>
        </w:rPr>
        <w:t xml:space="preserve">  Incidental findings (e.g., BRCA1 pathogenic variants) may require clinical reporting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Equity:</w:t>
      </w:r>
      <w:r>
        <w:rPr>
          <w:rFonts w:ascii="Calibri" w:hAnsi="Calibri"/>
          <w:color w:val="333333"/>
          <w:sz w:val="21"/>
        </w:rPr>
        <w:t xml:space="preserve">  Pipeline performance should be validated across diverse ancestries to avoid exacerbating health disparities</w:t>
      </w:r>
    </w:p>
    <w:p>
      <w:r>
        <w:br w:type="page"/>
      </w:r>
    </w:p>
    <w:p>
      <w:pPr>
        <w:pStyle w:val="Heading1"/>
        <w:spacing w:before="480" w:after="160"/>
      </w:pPr>
      <w:r>
        <w:rPr>
          <w:rFonts w:ascii="Calibri" w:hAnsi="Calibri"/>
          <w:b/>
          <w:color w:val="1B2333"/>
          <w:sz w:val="44"/>
        </w:rPr>
        <w:t>Chapter 7: Scaling Analysis</w:t>
      </w:r>
    </w:p>
    <w:p>
      <w:pPr>
        <w:pStyle w:val="Heading2"/>
        <w:spacing w:before="320" w:after="120"/>
      </w:pPr>
      <w:r>
        <w:rPr>
          <w:rFonts w:ascii="Calibri" w:hAnsi="Calibri"/>
          <w:b/>
          <w:color w:val="1B2333"/>
          <w:sz w:val="32"/>
        </w:rPr>
        <w:t>7.1 DGX Spark Bottleneck Analysis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3135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Bottleneck</w:t>
            </w:r>
          </w:p>
        </w:tc>
        <w:tc>
          <w:tcPr>
            <w:tcW w:type="dxa" w:w="3135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Phase 1 Impact</w:t>
            </w:r>
          </w:p>
        </w:tc>
      </w:tr>
      <w:tr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Parabricks (fq2bam)</w:t>
            </w:r>
          </w:p>
        </w:tc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GPU compute</w:t>
            </w:r>
          </w:p>
        </w:tc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20-45 min, acceptable</w:t>
            </w:r>
          </w:p>
        </w:tc>
      </w:tr>
      <w:tr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DeepVariant</w:t>
            </w:r>
          </w:p>
        </w:tc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GPU memory (60 GB peak)</w:t>
            </w:r>
          </w:p>
        </w:tc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Leaves 68 GB for other tasks</w:t>
            </w:r>
          </w:p>
        </w:tc>
      </w:tr>
      <w:tr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Milvus indexing</w:t>
            </w:r>
          </w:p>
        </w:tc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CPU + I/O</w:t>
            </w:r>
          </w:p>
        </w:tc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24 min for 3.5M vectors</w:t>
            </w:r>
          </w:p>
        </w:tc>
      </w:tr>
      <w:tr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MolMIM inference</w:t>
            </w:r>
          </w:p>
        </w:tc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GPU compute</w:t>
            </w:r>
          </w:p>
        </w:tc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2 min for 100 molecules</w:t>
            </w:r>
          </w:p>
        </w:tc>
      </w:tr>
      <w:tr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DiffDock inference</w:t>
            </w:r>
          </w:p>
        </w:tc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GPU compute + memory</w:t>
            </w:r>
          </w:p>
        </w:tc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8 min for 98 candidates</w:t>
            </w:r>
          </w:p>
        </w:tc>
      </w:tr>
      <w:tr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Sequential total</w:t>
            </w:r>
          </w:p>
        </w:tc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GPU time-sharing</w:t>
            </w:r>
          </w:p>
        </w:tc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~4 hours end-to-end</w:t>
            </w:r>
          </w:p>
        </w:tc>
      </w:tr>
    </w:tbl>
    <w:p>
      <w:pPr>
        <w:spacing w:before="0" w:after="120"/>
      </w:pPr>
    </w:p>
    <w:p>
      <w:pPr>
        <w:pStyle w:val="Heading2"/>
        <w:spacing w:before="320" w:after="120"/>
      </w:pPr>
      <w:r>
        <w:rPr>
          <w:rFonts w:ascii="Calibri" w:hAnsi="Calibri"/>
          <w:b/>
          <w:color w:val="1B2333"/>
          <w:sz w:val="32"/>
        </w:rPr>
        <w:t>7.2 Phase 2: DGX B200 Scaling</w:t>
      </w:r>
    </w:p>
    <w:p>
      <w:pPr>
        <w:spacing w:before="0" w:after="120"/>
      </w:pPr>
      <w:r>
        <w:rPr>
          <w:rFonts w:ascii="Calibri" w:hAnsi="Calibri"/>
          <w:color w:val="333333"/>
          <w:sz w:val="21"/>
        </w:rPr>
        <w:t>With 8× B200 GPUs and 1-2 TB HBM3e: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Parallel Parabricks:</w:t>
      </w:r>
      <w:r>
        <w:rPr>
          <w:rFonts w:ascii="Calibri" w:hAnsi="Calibri"/>
          <w:color w:val="333333"/>
          <w:sz w:val="21"/>
        </w:rPr>
        <w:t xml:space="preserve">  4-8 simultaneous samples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Dedicated Milvus GPU:</w:t>
      </w:r>
      <w:r>
        <w:rPr>
          <w:rFonts w:ascii="Calibri" w:hAnsi="Calibri"/>
          <w:color w:val="333333"/>
          <w:sz w:val="21"/>
        </w:rPr>
        <w:t xml:space="preserve">  GPU-accelerated vector search (sub-millisecond)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NIM replicas:</w:t>
      </w:r>
      <w:r>
        <w:rPr>
          <w:rFonts w:ascii="Calibri" w:hAnsi="Calibri"/>
          <w:color w:val="333333"/>
          <w:sz w:val="21"/>
        </w:rPr>
        <w:t xml:space="preserve">  2-4 MolMIM + 2-4 DiffDock instances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Estimated throughput:</w:t>
      </w:r>
      <w:r>
        <w:rPr>
          <w:rFonts w:ascii="Calibri" w:hAnsi="Calibri"/>
          <w:color w:val="333333"/>
          <w:sz w:val="21"/>
        </w:rPr>
        <w:t xml:space="preserve">  10-20 patients per day</w:t>
      </w:r>
    </w:p>
    <w:p>
      <w:pPr>
        <w:pStyle w:val="Heading2"/>
        <w:spacing w:before="320" w:after="120"/>
      </w:pPr>
      <w:r>
        <w:rPr>
          <w:rFonts w:ascii="Calibri" w:hAnsi="Calibri"/>
          <w:b/>
          <w:color w:val="1B2333"/>
          <w:sz w:val="32"/>
        </w:rPr>
        <w:t>7.3 Phase 3: DGX SuperPOD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Hundreds of B200 GPUs</w:t>
      </w:r>
      <w:r>
        <w:rPr>
          <w:rFonts w:ascii="Calibri" w:hAnsi="Calibri"/>
          <w:color w:val="333333"/>
          <w:sz w:val="21"/>
        </w:rPr>
        <w:t xml:space="preserve">  with NVLink and InfiniBand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Distributed Milvus cluster:</w:t>
      </w:r>
      <w:r>
        <w:rPr>
          <w:rFonts w:ascii="Calibri" w:hAnsi="Calibri"/>
          <w:color w:val="333333"/>
          <w:sz w:val="21"/>
        </w:rPr>
        <w:t xml:space="preserve">  Billions of variants across institutions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NVIDIA FLARE:</w:t>
      </w:r>
      <w:r>
        <w:rPr>
          <w:rFonts w:ascii="Calibri" w:hAnsi="Calibri"/>
          <w:color w:val="333333"/>
          <w:sz w:val="21"/>
        </w:rPr>
        <w:t xml:space="preserve">  Federated model training without data sharing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Estimated throughput:</w:t>
      </w:r>
      <w:r>
        <w:rPr>
          <w:rFonts w:ascii="Calibri" w:hAnsi="Calibri"/>
          <w:color w:val="333333"/>
          <w:sz w:val="21"/>
        </w:rPr>
        <w:t xml:space="preserve">  Thousands of patients per day</w:t>
      </w:r>
    </w:p>
    <w:p>
      <w:r>
        <w:br w:type="page"/>
      </w:r>
    </w:p>
    <w:p>
      <w:pPr>
        <w:pStyle w:val="Heading1"/>
        <w:spacing w:before="480" w:after="160"/>
      </w:pPr>
      <w:r>
        <w:rPr>
          <w:rFonts w:ascii="Calibri" w:hAnsi="Calibri"/>
          <w:b/>
          <w:color w:val="1B2333"/>
          <w:sz w:val="44"/>
        </w:rPr>
        <w:t>Chapter 8: Advanced Topics and Extensions</w:t>
      </w:r>
    </w:p>
    <w:p>
      <w:pPr>
        <w:pStyle w:val="Heading2"/>
        <w:spacing w:before="320" w:after="120"/>
      </w:pPr>
      <w:r>
        <w:rPr>
          <w:rFonts w:ascii="Calibri" w:hAnsi="Calibri"/>
          <w:b/>
          <w:color w:val="1B2333"/>
          <w:sz w:val="32"/>
        </w:rPr>
        <w:t>8.1 Alternative Embedding Strategies</w:t>
      </w:r>
    </w:p>
    <w:p>
      <w:pPr>
        <w:spacing w:before="0" w:after="120"/>
      </w:pPr>
      <w:r>
        <w:rPr>
          <w:rFonts w:ascii="Calibri" w:hAnsi="Calibri"/>
          <w:color w:val="333333"/>
          <w:sz w:val="21"/>
        </w:rPr>
        <w:t>BGE-small-en-v1.5 (384-dim) was chosen for its balance of quality and efficiency. Alternatives: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Model</w:t>
            </w:r>
          </w:p>
        </w:tc>
        <w:tc>
          <w:tcPr>
            <w:tcW w:type="dxa" w:w="2351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Dimensions</w:t>
            </w:r>
          </w:p>
        </w:tc>
        <w:tc>
          <w:tcPr>
            <w:tcW w:type="dxa" w:w="2351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Size</w:t>
            </w:r>
          </w:p>
        </w:tc>
        <w:tc>
          <w:tcPr>
            <w:tcW w:type="dxa" w:w="2351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Trade-off</w:t>
            </w:r>
          </w:p>
        </w:tc>
      </w:tr>
      <w:tr>
        <w:tc>
          <w:tcPr>
            <w:tcW w:type="dxa" w:w="2351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BGE-small-en-v1.5</w:t>
            </w:r>
          </w:p>
        </w:tc>
        <w:tc>
          <w:tcPr>
            <w:tcW w:type="dxa" w:w="2351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384</w:t>
            </w:r>
          </w:p>
        </w:tc>
        <w:tc>
          <w:tcPr>
            <w:tcW w:type="dxa" w:w="2351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33M params</w:t>
            </w:r>
          </w:p>
        </w:tc>
        <w:tc>
          <w:tcPr>
            <w:tcW w:type="dxa" w:w="2351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Current choice: fast, efficient</w:t>
            </w:r>
          </w:p>
        </w:tc>
      </w:tr>
      <w:tr>
        <w:tc>
          <w:tcPr>
            <w:tcW w:type="dxa" w:w="2351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BGE-base-en-v1.5</w:t>
            </w:r>
          </w:p>
        </w:tc>
        <w:tc>
          <w:tcPr>
            <w:tcW w:type="dxa" w:w="2351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768</w:t>
            </w:r>
          </w:p>
        </w:tc>
        <w:tc>
          <w:tcPr>
            <w:tcW w:type="dxa" w:w="2351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109M params</w:t>
            </w:r>
          </w:p>
        </w:tc>
        <w:tc>
          <w:tcPr>
            <w:tcW w:type="dxa" w:w="2351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Better recall, 2× memory</w:t>
            </w:r>
          </w:p>
        </w:tc>
      </w:tr>
      <w:tr>
        <w:tc>
          <w:tcPr>
            <w:tcW w:type="dxa" w:w="2351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BGE-large-en-v1.5</w:t>
            </w:r>
          </w:p>
        </w:tc>
        <w:tc>
          <w:tcPr>
            <w:tcW w:type="dxa" w:w="2351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1024</w:t>
            </w:r>
          </w:p>
        </w:tc>
        <w:tc>
          <w:tcPr>
            <w:tcW w:type="dxa" w:w="2351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335M params</w:t>
            </w:r>
          </w:p>
        </w:tc>
        <w:tc>
          <w:tcPr>
            <w:tcW w:type="dxa" w:w="2351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Best recall, 3× memory</w:t>
            </w:r>
          </w:p>
        </w:tc>
      </w:tr>
      <w:tr>
        <w:tc>
          <w:tcPr>
            <w:tcW w:type="dxa" w:w="2351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BiomedBERT</w:t>
            </w:r>
          </w:p>
        </w:tc>
        <w:tc>
          <w:tcPr>
            <w:tcW w:type="dxa" w:w="2351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768</w:t>
            </w:r>
          </w:p>
        </w:tc>
        <w:tc>
          <w:tcPr>
            <w:tcW w:type="dxa" w:w="2351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109M params</w:t>
            </w:r>
          </w:p>
        </w:tc>
        <w:tc>
          <w:tcPr>
            <w:tcW w:type="dxa" w:w="2351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Domain-specific, biomedical text</w:t>
            </w:r>
          </w:p>
        </w:tc>
      </w:tr>
      <w:tr>
        <w:tc>
          <w:tcPr>
            <w:tcW w:type="dxa" w:w="2351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PubMedBERT</w:t>
            </w:r>
          </w:p>
        </w:tc>
        <w:tc>
          <w:tcPr>
            <w:tcW w:type="dxa" w:w="2351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768</w:t>
            </w:r>
          </w:p>
        </w:tc>
        <w:tc>
          <w:tcPr>
            <w:tcW w:type="dxa" w:w="2351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109M params</w:t>
            </w:r>
          </w:p>
        </w:tc>
        <w:tc>
          <w:tcPr>
            <w:tcW w:type="dxa" w:w="2351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PubMed-trained, clinical text</w:t>
            </w:r>
          </w:p>
        </w:tc>
      </w:tr>
    </w:tbl>
    <w:p>
      <w:pPr>
        <w:spacing w:before="0" w:after="120"/>
      </w:pPr>
    </w:p>
    <w:p>
      <w:pPr>
        <w:pStyle w:val="Heading2"/>
        <w:spacing w:before="320" w:after="120"/>
      </w:pPr>
      <w:r>
        <w:rPr>
          <w:rFonts w:ascii="Calibri" w:hAnsi="Calibri"/>
          <w:b/>
          <w:color w:val="1B2333"/>
          <w:sz w:val="32"/>
        </w:rPr>
        <w:t>8.2 Multi-Objective Optimization</w:t>
      </w:r>
    </w:p>
    <w:p>
      <w:pPr>
        <w:spacing w:before="0" w:after="120"/>
      </w:pPr>
      <w:r>
        <w:rPr>
          <w:rFonts w:ascii="Calibri" w:hAnsi="Calibri"/>
          <w:color w:val="333333"/>
          <w:sz w:val="21"/>
        </w:rPr>
        <w:t>The current composite scoring uses fixed weights (30/40/30). Advanced approaches: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Pareto optimization:</w:t>
      </w:r>
      <w:r>
        <w:rPr>
          <w:rFonts w:ascii="Calibri" w:hAnsi="Calibri"/>
          <w:color w:val="333333"/>
          <w:sz w:val="21"/>
        </w:rPr>
        <w:t xml:space="preserve">  Identify the Pareto frontier of generation, docking, and QED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Bayesian optimization:</w:t>
      </w:r>
      <w:r>
        <w:rPr>
          <w:rFonts w:ascii="Calibri" w:hAnsi="Calibri"/>
          <w:color w:val="333333"/>
          <w:sz w:val="21"/>
        </w:rPr>
        <w:t xml:space="preserve">  Learn optimal weights from experimental feedback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Active learning:</w:t>
      </w:r>
      <w:r>
        <w:rPr>
          <w:rFonts w:ascii="Calibri" w:hAnsi="Calibri"/>
          <w:color w:val="333333"/>
          <w:sz w:val="21"/>
        </w:rPr>
        <w:t xml:space="preserve">  Prioritize candidates that reduce uncertainty in the scoring model</w:t>
      </w:r>
    </w:p>
    <w:p>
      <w:pPr>
        <w:pStyle w:val="Heading2"/>
        <w:spacing w:before="320" w:after="120"/>
      </w:pPr>
      <w:r>
        <w:rPr>
          <w:rFonts w:ascii="Calibri" w:hAnsi="Calibri"/>
          <w:b/>
          <w:color w:val="1B2333"/>
          <w:sz w:val="32"/>
        </w:rPr>
        <w:t>8.3 Long-Read Sequencing Integration</w:t>
      </w:r>
    </w:p>
    <w:p>
      <w:pPr>
        <w:spacing w:before="0" w:after="120"/>
      </w:pPr>
      <w:r>
        <w:rPr>
          <w:rFonts w:ascii="Calibri" w:hAnsi="Calibri"/>
          <w:color w:val="333333"/>
          <w:sz w:val="21"/>
        </w:rPr>
        <w:t>Oxford Nanopore and PacBio long-read technologies can detect structural variants (SVs) and repeat expansions that short-read WGS misses. Future extensions could: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•</w:t>
      </w:r>
      <w:r>
        <w:rPr>
          <w:rFonts w:ascii="Calibri" w:hAnsi="Calibri"/>
          <w:color w:val="333333"/>
          <w:sz w:val="21"/>
        </w:rPr>
        <w:t xml:space="preserve">  Add ONT/PacBio alignment with minimap2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•</w:t>
      </w:r>
      <w:r>
        <w:rPr>
          <w:rFonts w:ascii="Calibri" w:hAnsi="Calibri"/>
          <w:color w:val="333333"/>
          <w:sz w:val="21"/>
        </w:rPr>
        <w:t xml:space="preserve">  Detect SVs with Sniffles2 or PEPPER-Margin-DeepVariant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•</w:t>
      </w:r>
      <w:r>
        <w:rPr>
          <w:rFonts w:ascii="Calibri" w:hAnsi="Calibri"/>
          <w:color w:val="333333"/>
          <w:sz w:val="21"/>
        </w:rPr>
        <w:t xml:space="preserve">  Phase haplotypes for compound heterozygosity detection</w:t>
      </w:r>
    </w:p>
    <w:p>
      <w:pPr>
        <w:pStyle w:val="Heading2"/>
        <w:spacing w:before="320" w:after="120"/>
      </w:pPr>
      <w:r>
        <w:rPr>
          <w:rFonts w:ascii="Calibri" w:hAnsi="Calibri"/>
          <w:b/>
          <w:color w:val="1B2333"/>
          <w:sz w:val="32"/>
        </w:rPr>
        <w:t>8.4 Pharmacogenomics Integration</w:t>
      </w:r>
    </w:p>
    <w:p>
      <w:pPr>
        <w:spacing w:before="0" w:after="120"/>
      </w:pPr>
      <w:r>
        <w:rPr>
          <w:rFonts w:ascii="Calibri" w:hAnsi="Calibri"/>
          <w:color w:val="333333"/>
          <w:sz w:val="21"/>
        </w:rPr>
        <w:t>The knowledge base includes 11 pharmacogenomics genes (CYP2D6, CYP2C19, CYP3A4, DPYD, TPMT, etc.). Future extensions could: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•</w:t>
      </w:r>
      <w:r>
        <w:rPr>
          <w:rFonts w:ascii="Calibri" w:hAnsi="Calibri"/>
          <w:color w:val="333333"/>
          <w:sz w:val="21"/>
        </w:rPr>
        <w:t xml:space="preserve">  Star allele calling with PharmCAT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•</w:t>
      </w:r>
      <w:r>
        <w:rPr>
          <w:rFonts w:ascii="Calibri" w:hAnsi="Calibri"/>
          <w:color w:val="333333"/>
          <w:sz w:val="21"/>
        </w:rPr>
        <w:t xml:space="preserve">  Drug-drug interaction prediction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•</w:t>
      </w:r>
      <w:r>
        <w:rPr>
          <w:rFonts w:ascii="Calibri" w:hAnsi="Calibri"/>
          <w:color w:val="333333"/>
          <w:sz w:val="21"/>
        </w:rPr>
        <w:t xml:space="preserve">  Dosing recommendations based on metabolizer status</w:t>
      </w:r>
    </w:p>
    <w:p>
      <w:r>
        <w:br w:type="page"/>
      </w:r>
    </w:p>
    <w:p>
      <w:pPr>
        <w:pStyle w:val="Heading1"/>
        <w:spacing w:before="480" w:after="160"/>
      </w:pPr>
      <w:r>
        <w:rPr>
          <w:rFonts w:ascii="Calibri" w:hAnsi="Calibri"/>
          <w:b/>
          <w:color w:val="1B2333"/>
          <w:sz w:val="44"/>
        </w:rPr>
        <w:t>Review Questions</w:t>
      </w:r>
    </w:p>
    <w:p>
      <w:pPr>
        <w:spacing w:before="0" w:after="120"/>
      </w:pPr>
      <w:r>
        <w:rPr>
          <w:rFonts w:ascii="Calibri" w:hAnsi="Calibri"/>
          <w:color w:val="333333"/>
          <w:sz w:val="21"/>
        </w:rPr>
        <w:t>Graduate-level questions for self-assessment and discussion. These require synthesis across multiple chapters.</w:t>
      </w:r>
    </w:p>
    <w:p>
      <w:pPr>
        <w:spacing w:before="0" w:after="120"/>
      </w:pP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1.</w:t>
      </w:r>
      <w:r>
        <w:rPr>
          <w:rFonts w:ascii="Calibri" w:hAnsi="Calibri"/>
          <w:color w:val="333333"/>
          <w:sz w:val="21"/>
        </w:rPr>
        <w:t xml:space="preserve">  Explain why DeepVariant reframes variant calling as an image classification problem. What advantages does this provide over statistical models like GATK HaplotypeCaller?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2.</w:t>
      </w:r>
      <w:r>
        <w:rPr>
          <w:rFonts w:ascii="Calibri" w:hAnsi="Calibri"/>
          <w:color w:val="333333"/>
          <w:sz w:val="21"/>
        </w:rPr>
        <w:t xml:space="preserve">  Describe the IVF_FLAT index configuration (nlist=1024, nprobe=16) and calculate the approximate number of vectors examined per query from a collection of 3.5M vectors.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3.</w:t>
      </w:r>
      <w:r>
        <w:rPr>
          <w:rFonts w:ascii="Calibri" w:hAnsi="Calibri"/>
          <w:color w:val="333333"/>
          <w:sz w:val="21"/>
        </w:rPr>
        <w:t xml:space="preserve">  Why does the RAG pipeline use temperature=0.3 for Claude? What are the trade-offs of lower vs. higher temperature in clinical genomics applications?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4.</w:t>
      </w:r>
      <w:r>
        <w:rPr>
          <w:rFonts w:ascii="Calibri" w:hAnsi="Calibri"/>
          <w:color w:val="333333"/>
          <w:sz w:val="21"/>
        </w:rPr>
        <w:t xml:space="preserve">  Explain the docking score normalization formula max(0, min(1, (10 + dock_score) / 20)). What docking score maps to 0.5? Why is this mapping appropriate?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5.</w:t>
      </w:r>
      <w:r>
        <w:rPr>
          <w:rFonts w:ascii="Calibri" w:hAnsi="Calibri"/>
          <w:color w:val="333333"/>
          <w:sz w:val="21"/>
        </w:rPr>
        <w:t xml:space="preserve">  Compare the AlphaMissense thresholds (pathogenic &gt;0.564, benign &lt;0.34) with ClinVar classifications. What does the "ambiguous" zone represent, and why is it clinically significant?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6.</w:t>
      </w:r>
      <w:r>
        <w:rPr>
          <w:rFonts w:ascii="Calibri" w:hAnsi="Calibri"/>
          <w:color w:val="333333"/>
          <w:sz w:val="21"/>
        </w:rPr>
        <w:t xml:space="preserve">  Describe three limitations of DiffDock that could affect the reliability of the drug candidate rankings.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7.</w:t>
      </w:r>
      <w:r>
        <w:rPr>
          <w:rFonts w:ascii="Calibri" w:hAnsi="Calibri"/>
          <w:color w:val="333333"/>
          <w:sz w:val="21"/>
        </w:rPr>
        <w:t xml:space="preserve">  Explain why inhibitor-bound PDB structures (like 5FTK) receive a +3 bonus in the structure scoring algorithm. What information does an inhibitor-bound structure provide that an apo structure does not?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8.</w:t>
      </w:r>
      <w:r>
        <w:rPr>
          <w:rFonts w:ascii="Calibri" w:hAnsi="Calibri"/>
          <w:color w:val="333333"/>
          <w:sz w:val="21"/>
        </w:rPr>
        <w:t xml:space="preserve">  Design a validation experiment to test the top 5 drug candidates from the VCP/FTD demo pipeline. What assays would you use, and what would constitute a positive result?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9.</w:t>
      </w:r>
      <w:r>
        <w:rPr>
          <w:rFonts w:ascii="Calibri" w:hAnsi="Calibri"/>
          <w:color w:val="333333"/>
          <w:sz w:val="21"/>
        </w:rPr>
        <w:t xml:space="preserve">  Calculate the approximate memory budget for the Milvus vector index: 3.5M vectors × 384 dimensions × 4 bytes per float. How does this compare to the available memory on DGX Spark?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10.</w:t>
      </w:r>
      <w:r>
        <w:rPr>
          <w:rFonts w:ascii="Calibri" w:hAnsi="Calibri"/>
          <w:color w:val="333333"/>
          <w:sz w:val="21"/>
        </w:rPr>
        <w:t xml:space="preserve">  The composite scoring weights (30% generation, 40% docking, 30% QED) are heuristic. Propose an approach to optimize these weights using experimental feedback from in vitro screening.</w:t>
      </w:r>
    </w:p>
    <w:p>
      <w:pPr>
        <w:spacing w:before="0" w:after="240"/>
      </w:pPr>
    </w:p>
    <w:p>
      <w:pPr>
        <w:spacing w:before="0" w:after="120"/>
        <w:jc w:val="center"/>
      </w:pPr>
      <w:r>
        <w:rPr>
          <w:rFonts w:ascii="Calibri" w:hAnsi="Calibri"/>
          <w:i/>
          <w:color w:val="666666"/>
          <w:sz w:val="20"/>
        </w:rPr>
        <w:t>HCLS AI Factory Learning Guide: Advanced — Apache 2.0 | Author: Adam Jones | February 2026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76" w:lineRule="auto"/>
    </w:pPr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