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76B900"/>
          </w:tcPr>
          <w:p>
            <w:pPr>
              <w:spacing w:before="0" w:after="0"/>
            </w:pPr>
            <w:r>
              <w:rPr>
                <w:rFonts w:ascii="Calibri" w:hAnsi="Calibri"/>
                <w:color w:val="76B900"/>
                <w:sz w:val="12"/>
              </w:rPr>
              <w:t xml:space="preserve"> </w:t>
            </w:r>
          </w:p>
        </w:tc>
      </w:tr>
    </w:tbl>
    <w:p>
      <w:pPr>
        <w:spacing w:before="0" w:after="120"/>
      </w:pPr>
    </w:p>
    <w:p>
      <w:pPr>
        <w:spacing w:before="0" w:after="120"/>
      </w:pPr>
    </w:p>
    <w:p>
      <w:pPr>
        <w:spacing w:before="0" w:after="120"/>
      </w:pPr>
    </w:p>
    <w:p>
      <w:pPr>
        <w:spacing w:before="0" w:after="120"/>
      </w:pPr>
    </w:p>
    <w:p>
      <w:pPr>
        <w:spacing w:before="0" w:after="120"/>
      </w:pPr>
      <w:r>
        <w:rPr>
          <w:rFonts w:ascii="Calibri" w:hAnsi="Calibri"/>
          <w:b/>
          <w:color w:val="1AAFCC"/>
          <w:sz w:val="26"/>
        </w:rPr>
        <w:t>Project Bible</w:t>
      </w:r>
    </w:p>
    <w:p>
      <w:pPr>
        <w:spacing w:before="0" w:after="40"/>
      </w:pPr>
      <w:r>
        <w:rPr>
          <w:rFonts w:ascii="Calibri" w:hAnsi="Calibri"/>
          <w:b/>
          <w:color w:val="1B2333"/>
          <w:sz w:val="64"/>
        </w:rPr>
        <w:t>HCLS AI Factory</w:t>
      </w:r>
    </w:p>
    <w:p>
      <w:pPr>
        <w:spacing w:before="0" w:after="120"/>
      </w:pPr>
      <w:r>
        <w:rPr>
          <w:rFonts w:ascii="Calibri" w:hAnsi="Calibri"/>
          <w:b/>
          <w:color w:val="1B2333"/>
          <w:sz w:val="64"/>
        </w:rPr>
        <w:t>Implementation Reference</w:t>
      </w:r>
    </w:p>
    <w:p>
      <w:pPr>
        <w:spacing w:before="0" w:after="120"/>
      </w:pPr>
      <w:r>
        <w:rPr>
          <w:rFonts w:ascii="Calibri" w:hAnsi="Calibri"/>
          <w:color w:val="1B2333"/>
          <w:sz w:val="24"/>
        </w:rPr>
        <w:t>Complete architecture, pipeline stages, schemas, scoring formulas, and implementation sequences for building the HCLS AI Factory on NVIDIA DGX Spark — from patient DNA to novel drug candidates.</w:t>
      </w:r>
    </w:p>
    <w:p>
      <w:pPr>
        <w:spacing w:before="0" w:after="240"/>
      </w:pPr>
      <w:r>
        <w:rPr>
          <w:rFonts w:ascii="Calibri" w:hAnsi="Calibri"/>
          <w:i/>
          <w:color w:val="666666"/>
          <w:sz w:val="22"/>
        </w:rPr>
        <w:t>NVIDIA DGX Spark  |  Parabricks  |  BioNeMo  |  Milvus  |  Claude</w:t>
      </w:r>
    </w:p>
    <w:p>
      <w:pPr>
        <w:spacing w:before="0" w:after="120"/>
      </w:pPr>
    </w:p>
    <w:p>
      <w:pPr>
        <w:spacing w:before="0" w:after="40"/>
      </w:pPr>
      <w:r>
        <w:rPr>
          <w:rFonts w:ascii="Calibri" w:hAnsi="Calibri"/>
          <w:color w:val="666666"/>
          <w:sz w:val="18"/>
        </w:rPr>
        <w:t>02/2026  |  Version 1.0  |  Apache 2.0 License</w:t>
      </w:r>
    </w:p>
    <w:p>
      <w:pPr>
        <w:spacing w:before="0" w:after="40"/>
      </w:pPr>
      <w:r>
        <w:rPr>
          <w:rFonts w:ascii="Calibri" w:hAnsi="Calibri"/>
          <w:color w:val="666666"/>
          <w:sz w:val="18"/>
        </w:rPr>
        <w:t>Author: Adam Jones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Calibri" w:hAnsi="Calibri"/>
          <w:b/>
          <w:color w:val="1B2333"/>
          <w:sz w:val="44"/>
        </w:rPr>
        <w:t>Table of Contents</w:t>
      </w:r>
    </w:p>
    <w:p>
      <w:pPr>
        <w:spacing w:before="0" w:after="60"/>
      </w:pPr>
      <w:r>
        <w:rPr>
          <w:rFonts w:ascii="Calibri" w:hAnsi="Calibri"/>
          <w:color w:val="1AAFCC"/>
          <w:sz w:val="21"/>
        </w:rPr>
        <w:t>1.  Project Overview &amp; Goals</w:t>
      </w:r>
    </w:p>
    <w:p>
      <w:pPr>
        <w:spacing w:before="0" w:after="60"/>
      </w:pPr>
      <w:r>
        <w:rPr>
          <w:rFonts w:ascii="Calibri" w:hAnsi="Calibri"/>
          <w:color w:val="1AAFCC"/>
          <w:sz w:val="21"/>
        </w:rPr>
        <w:t>2.  DGX Spark Hardware Reference</w:t>
      </w:r>
    </w:p>
    <w:p>
      <w:pPr>
        <w:spacing w:before="0" w:after="60"/>
      </w:pPr>
      <w:r>
        <w:rPr>
          <w:rFonts w:ascii="Calibri" w:hAnsi="Calibri"/>
          <w:color w:val="1AAFCC"/>
          <w:sz w:val="21"/>
        </w:rPr>
        <w:t>3.  Repository Layout</w:t>
      </w:r>
    </w:p>
    <w:p>
      <w:pPr>
        <w:spacing w:before="0" w:after="60"/>
      </w:pPr>
      <w:r>
        <w:rPr>
          <w:rFonts w:ascii="Calibri" w:hAnsi="Calibri"/>
          <w:color w:val="1AAFCC"/>
          <w:sz w:val="21"/>
        </w:rPr>
        <w:t>4.  Docker Compose Services</w:t>
      </w:r>
    </w:p>
    <w:p>
      <w:pPr>
        <w:spacing w:before="0" w:after="60"/>
      </w:pPr>
      <w:r>
        <w:rPr>
          <w:rFonts w:ascii="Calibri" w:hAnsi="Calibri"/>
          <w:color w:val="1AAFCC"/>
          <w:sz w:val="21"/>
        </w:rPr>
        <w:t>5.  Stage 1: Genomics Pipeline</w:t>
      </w:r>
    </w:p>
    <w:p>
      <w:pPr>
        <w:spacing w:before="0" w:after="60"/>
      </w:pPr>
      <w:r>
        <w:rPr>
          <w:rFonts w:ascii="Calibri" w:hAnsi="Calibri"/>
          <w:color w:val="1AAFCC"/>
          <w:sz w:val="21"/>
        </w:rPr>
        <w:t>6.  Stage 2: RAG/Chat Pipeline</w:t>
      </w:r>
    </w:p>
    <w:p>
      <w:pPr>
        <w:spacing w:before="0" w:after="60"/>
      </w:pPr>
      <w:r>
        <w:rPr>
          <w:rFonts w:ascii="Calibri" w:hAnsi="Calibri"/>
          <w:color w:val="1AAFCC"/>
          <w:sz w:val="21"/>
        </w:rPr>
        <w:t>7.  Milvus Vector Database Schema</w:t>
      </w:r>
    </w:p>
    <w:p>
      <w:pPr>
        <w:spacing w:before="0" w:after="60"/>
      </w:pPr>
      <w:r>
        <w:rPr>
          <w:rFonts w:ascii="Calibri" w:hAnsi="Calibri"/>
          <w:color w:val="1AAFCC"/>
          <w:sz w:val="21"/>
        </w:rPr>
        <w:t>8.  Variant Annotation Pipeline</w:t>
      </w:r>
    </w:p>
    <w:p>
      <w:pPr>
        <w:spacing w:before="0" w:after="60"/>
      </w:pPr>
      <w:r>
        <w:rPr>
          <w:rFonts w:ascii="Calibri" w:hAnsi="Calibri"/>
          <w:color w:val="1AAFCC"/>
          <w:sz w:val="21"/>
        </w:rPr>
        <w:t>9.  Knowledge Base — 201 Genes, 13 Therapeutic Areas</w:t>
      </w:r>
    </w:p>
    <w:p>
      <w:pPr>
        <w:spacing w:before="0" w:after="60"/>
      </w:pPr>
      <w:r>
        <w:rPr>
          <w:rFonts w:ascii="Calibri" w:hAnsi="Calibri"/>
          <w:color w:val="1AAFCC"/>
          <w:sz w:val="21"/>
        </w:rPr>
        <w:t>10. Anthropic Claude LLM Integration</w:t>
      </w:r>
    </w:p>
    <w:p>
      <w:pPr>
        <w:spacing w:before="0" w:after="60"/>
      </w:pPr>
      <w:r>
        <w:rPr>
          <w:rFonts w:ascii="Calibri" w:hAnsi="Calibri"/>
          <w:color w:val="1AAFCC"/>
          <w:sz w:val="21"/>
        </w:rPr>
        <w:t>11. Stage 3: Drug Discovery Pipeline</w:t>
      </w:r>
    </w:p>
    <w:p>
      <w:pPr>
        <w:spacing w:before="0" w:after="60"/>
      </w:pPr>
      <w:r>
        <w:rPr>
          <w:rFonts w:ascii="Calibri" w:hAnsi="Calibri"/>
          <w:color w:val="1AAFCC"/>
          <w:sz w:val="21"/>
        </w:rPr>
        <w:t>12. BioNeMo NIM Services</w:t>
      </w:r>
    </w:p>
    <w:p>
      <w:pPr>
        <w:spacing w:before="0" w:after="60"/>
      </w:pPr>
      <w:r>
        <w:rPr>
          <w:rFonts w:ascii="Calibri" w:hAnsi="Calibri"/>
          <w:color w:val="1AAFCC"/>
          <w:sz w:val="21"/>
        </w:rPr>
        <w:t>13. Drug-Likeness Scoring</w:t>
      </w:r>
    </w:p>
    <w:p>
      <w:pPr>
        <w:spacing w:before="0" w:after="60"/>
      </w:pPr>
      <w:r>
        <w:rPr>
          <w:rFonts w:ascii="Calibri" w:hAnsi="Calibri"/>
          <w:color w:val="1AAFCC"/>
          <w:sz w:val="21"/>
        </w:rPr>
        <w:t>14. Cryo-EM Structure Evidence</w:t>
      </w:r>
    </w:p>
    <w:p>
      <w:pPr>
        <w:spacing w:before="0" w:after="60"/>
      </w:pPr>
      <w:r>
        <w:rPr>
          <w:rFonts w:ascii="Calibri" w:hAnsi="Calibri"/>
          <w:color w:val="1AAFCC"/>
          <w:sz w:val="21"/>
        </w:rPr>
        <w:t>15. VCP/FTD Demo Walkthrough</w:t>
      </w:r>
    </w:p>
    <w:p>
      <w:pPr>
        <w:spacing w:before="0" w:after="60"/>
      </w:pPr>
      <w:r>
        <w:rPr>
          <w:rFonts w:ascii="Calibri" w:hAnsi="Calibri"/>
          <w:color w:val="1AAFCC"/>
          <w:sz w:val="21"/>
        </w:rPr>
        <w:t>16. Pydantic Data Models</w:t>
      </w:r>
    </w:p>
    <w:p>
      <w:pPr>
        <w:spacing w:before="0" w:after="60"/>
      </w:pPr>
      <w:r>
        <w:rPr>
          <w:rFonts w:ascii="Calibri" w:hAnsi="Calibri"/>
          <w:color w:val="1AAFCC"/>
          <w:sz w:val="21"/>
        </w:rPr>
        <w:t>17. Nextflow DSL2 Orchestration</w:t>
      </w:r>
    </w:p>
    <w:p>
      <w:pPr>
        <w:spacing w:before="0" w:after="60"/>
      </w:pPr>
      <w:r>
        <w:rPr>
          <w:rFonts w:ascii="Calibri" w:hAnsi="Calibri"/>
          <w:color w:val="1AAFCC"/>
          <w:sz w:val="21"/>
        </w:rPr>
        <w:t>18. Landing Page &amp; Service Health</w:t>
      </w:r>
    </w:p>
    <w:p>
      <w:pPr>
        <w:spacing w:before="0" w:after="60"/>
      </w:pPr>
      <w:r>
        <w:rPr>
          <w:rFonts w:ascii="Calibri" w:hAnsi="Calibri"/>
          <w:color w:val="1AAFCC"/>
          <w:sz w:val="21"/>
        </w:rPr>
        <w:t>19. Monitoring Stack</w:t>
      </w:r>
    </w:p>
    <w:p>
      <w:pPr>
        <w:spacing w:before="0" w:after="60"/>
      </w:pPr>
      <w:r>
        <w:rPr>
          <w:rFonts w:ascii="Calibri" w:hAnsi="Calibri"/>
          <w:color w:val="1AAFCC"/>
          <w:sz w:val="21"/>
        </w:rPr>
        <w:t>20. Cross-Modal Integration</w:t>
      </w:r>
    </w:p>
    <w:p>
      <w:pPr>
        <w:spacing w:before="0" w:after="60"/>
      </w:pPr>
      <w:r>
        <w:rPr>
          <w:rFonts w:ascii="Calibri" w:hAnsi="Calibri"/>
          <w:color w:val="1AAFCC"/>
          <w:sz w:val="21"/>
        </w:rPr>
        <w:t>21. Configuration Reference</w:t>
      </w:r>
    </w:p>
    <w:p>
      <w:pPr>
        <w:spacing w:before="0" w:after="60"/>
      </w:pPr>
      <w:r>
        <w:rPr>
          <w:rFonts w:ascii="Calibri" w:hAnsi="Calibri"/>
          <w:color w:val="1AAFCC"/>
          <w:sz w:val="21"/>
        </w:rPr>
        <w:t>22. Deployment Roadmap</w:t>
      </w:r>
    </w:p>
    <w:p>
      <w:pPr>
        <w:spacing w:before="0" w:after="60"/>
      </w:pPr>
      <w:r>
        <w:rPr>
          <w:rFonts w:ascii="Calibri" w:hAnsi="Calibri"/>
          <w:color w:val="1AAFCC"/>
          <w:sz w:val="21"/>
        </w:rPr>
        <w:t>23. Testing Strategy</w:t>
      </w:r>
    </w:p>
    <w:p>
      <w:pPr>
        <w:spacing w:before="0" w:after="60"/>
      </w:pPr>
      <w:r>
        <w:rPr>
          <w:rFonts w:ascii="Calibri" w:hAnsi="Calibri"/>
          <w:color w:val="1AAFCC"/>
          <w:sz w:val="21"/>
        </w:rPr>
        <w:t>24. Implementation Sequence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Calibri" w:hAnsi="Calibri"/>
          <w:b/>
          <w:color w:val="1B2333"/>
          <w:sz w:val="44"/>
        </w:rPr>
        <w:t>1. Project Overview &amp; Goals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What This Platform Does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The HCLS AI Factory is an end-to-end precision medicine platform that takes a patient’s raw DNA sequencing data (FASTQ) and produces ranked novel drug candidates — all on a single NVIDIA DGX Spark desktop workstation. Three GPU-accelerated stages execute sequentially: variant calling, RAG-grounded target identification, and generative drug discovery.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Three-Stage Pipeline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351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2351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351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Key Output</w:t>
            </w:r>
          </w:p>
        </w:tc>
      </w:tr>
      <w:tr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1 — Genomics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BWA-MEM2 alignment + DeepVariant calling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120-240 min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VCF (~11.7M variants)</w:t>
            </w:r>
          </w:p>
        </w:tc>
      </w:tr>
      <w:tr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2 — RAG/Chat</w:t>
            </w:r>
          </w:p>
        </w:tc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Annotation → Embedding → LLM reasoning</w:t>
            </w:r>
          </w:p>
        </w:tc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Interactive</w:t>
            </w:r>
          </w:p>
        </w:tc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Target gene + evidence</w:t>
            </w:r>
          </w:p>
        </w:tc>
      </w:tr>
      <w:tr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3 — Drug Discovery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MolMIM → DiffDock → RDKit scoring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8-16 min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100 ranked drug candidates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End-to-End Flow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Patient DNA → Illumina Sequencer → FASTQ (~200 GB)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→ Parabricks fq2bam → BAM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→ DeepVariant → VCF (11.7M variants)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→ ClinVar + AlphaMissense + VEP annotation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→ Milvus vector indexing (3.5M embeddings)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→ Claude RAG reasoning → Target hypothesis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→ RCSB PDB structure retrieval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→ MolMIM molecule generation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→ DiffDock molecular docking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→ RDKit drug-likeness scoring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→ 100 ranked novel drug candidates + PDF report</w:t>
      </w:r>
    </w:p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Design Principles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GPU-first:</w:t>
      </w:r>
      <w:r>
        <w:rPr>
          <w:rFonts w:ascii="Calibri" w:hAnsi="Calibri"/>
          <w:color w:val="333333"/>
          <w:sz w:val="21"/>
        </w:rPr>
        <w:t xml:space="preserve">  Every compute-intensive step runs on the GB10 GPU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Clinically grounded:</w:t>
      </w:r>
      <w:r>
        <w:rPr>
          <w:rFonts w:ascii="Calibri" w:hAnsi="Calibri"/>
          <w:color w:val="333333"/>
          <w:sz w:val="21"/>
        </w:rPr>
        <w:t xml:space="preserve">  ClinVar, AlphaMissense, and VEP provide evidence-based annotation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Reproducible:</w:t>
      </w:r>
      <w:r>
        <w:rPr>
          <w:rFonts w:ascii="Calibri" w:hAnsi="Calibri"/>
          <w:color w:val="333333"/>
          <w:sz w:val="21"/>
        </w:rPr>
        <w:t xml:space="preserve">  Nextflow DSL2 orchestration with containerized processes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Open:</w:t>
      </w:r>
      <w:r>
        <w:rPr>
          <w:rFonts w:ascii="Calibri" w:hAnsi="Calibri"/>
          <w:color w:val="333333"/>
          <w:sz w:val="21"/>
        </w:rPr>
        <w:t xml:space="preserve">  Apache 2.0 license, open-source tools, public reference databases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Desktop-scale:</w:t>
      </w:r>
      <w:r>
        <w:rPr>
          <w:rFonts w:ascii="Calibri" w:hAnsi="Calibri"/>
          <w:color w:val="333333"/>
          <w:sz w:val="21"/>
        </w:rPr>
        <w:t xml:space="preserve">  Runs entirely on a $3,999 DGX Spark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Calibri" w:hAnsi="Calibri"/>
          <w:b/>
          <w:color w:val="1B2333"/>
          <w:sz w:val="44"/>
        </w:rPr>
        <w:t>2. DGX Spark Hardware Reference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Specifications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CPU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NVIDIA Grace (ARM64 / aarch64), 144 cores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GPU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NVIDIA GB10, 1 GPU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Memory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128 GB unified LPDDR5x (CPU + GPU shared)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System RAM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512 GB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Storage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NVMe, high-throughput I/O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Storage Access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GPUDirect Storage (zero-copy GPU access)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Price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$3,999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OS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Ubuntu-based (NVIDIA DGX OS)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Critical: ARM64 Architecture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ALL containers must be ARM64-compatible. The Grace CPU is aarch64, not x86_64. This affects base Docker images, Python wheels, NVIDIA container images (NGC ARM64 variants), and any compiled C/C++ extensions.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Unified Memory Model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The 128 GB LPDDR5x is shared between CPU and GPU — there is no separate GPU VRAM. No explicit CPU→GPU data transfers needed for many operations. Memory pressure from CPU workloads reduces GPU-available memory. Parabricks fq2bam peaks at ~40 GB, DeepVariant at ~60 GB.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Storage Requirements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Size</w:t>
            </w:r>
          </w:p>
        </w:tc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GRCh38 reference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3.1 GB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Pre-indexed for BWA-MEM2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FASTQ input (30× WGS)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~200 GB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HG002 paired-end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BAM intermediate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~100 GB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Temporary, deleted after VCF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ClinVar database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~1.2 GB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4.1M clinical variants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AlphaMissense database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~4 GB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71M predictions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Milvus index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~2 GB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3.5M × 384-dim vectors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BioNeMo model cache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~10 GB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MolMIM + DiffDock weights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Total minimum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~320 GB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Plus OS and Docker layers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Deployment Progression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351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Hardware</w:t>
            </w:r>
          </w:p>
        </w:tc>
        <w:tc>
          <w:tcPr>
            <w:tcW w:type="dxa" w:w="2351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Price</w:t>
            </w:r>
          </w:p>
        </w:tc>
        <w:tc>
          <w:tcPr>
            <w:tcW w:type="dxa" w:w="2351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1 — Proof Build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DGX Spark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$3,999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Single patient, Docker Compose</w:t>
            </w:r>
          </w:p>
        </w:tc>
      </w:tr>
      <w:tr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2 — Departmental</w:t>
            </w:r>
          </w:p>
        </w:tc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1–2× DGX B200</w:t>
            </w:r>
          </w:p>
        </w:tc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$500K–$1M</w:t>
            </w:r>
          </w:p>
        </w:tc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Multiple concurrent patients, Kubernetes</w:t>
            </w:r>
          </w:p>
        </w:tc>
      </w:tr>
      <w:tr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3 — Enterprise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DGX SuperPOD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$7M–$60M+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Thousands concurrent, FLARE federated</w:t>
            </w:r>
          </w:p>
        </w:tc>
      </w:tr>
    </w:tbl>
    <w:p>
      <w:r>
        <w:br w:type="page"/>
      </w:r>
    </w:p>
    <w:p>
      <w:pPr>
        <w:pStyle w:val="Heading1"/>
        <w:spacing w:before="480" w:after="160"/>
      </w:pPr>
      <w:r>
        <w:rPr>
          <w:rFonts w:ascii="Calibri" w:hAnsi="Calibri"/>
          <w:b/>
          <w:color w:val="1B2333"/>
          <w:sz w:val="44"/>
        </w:rPr>
        <w:t>3. Repository Layout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hcls-ai-factory-public/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├── README.md                           # Project overview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├── LICENSE                             # Apache 2.0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├── docker-compose.yml                  # All services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├── start-services.sh                   # Startup orchestration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├── .env.example                        # Environment template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│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├── hls-orchestrator/                   # Nextflow pipeline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│   ├── main.nf                         # DSL2 entry point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│   ├── nextflow.config                 # Profiles and parameters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│   ├── run_pipeline.py                 # Python CLI launcher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│   └── modules/                        # genomics/rag_chat/drug_discovery/reporting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│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├── genomics-pipeline/                  # Stage 1: Parabricks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│   ├── src/run_parabricks.py           # fq2bam + DeepVariant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│   └── src/web_portal.py               # Flask portal (:5000)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│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├── rag-chat-pipeline/                  # Stage 2: RAG + Claude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│   ├── src/rag_engine.py               # Core RAG (23 KB)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│   ├── src/milvus_client.py            # Vector DB client (13 KB)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│   ├── src/annotator.py                # ClinVar+AM+VEP (23 KB)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│   ├── src/knowledge.py                # 201 genes (88 KB)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│   └── src/streamlit_chat.py           # Chat UI (:8501)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│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├── drug-discovery-pipeline/            # Stage 3: BioNeMo + RDKit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│   ├── src/pipeline.py                 # 10-stage orchestration (18 KB)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│   ├── src/nim_clients.py              # MolMIM+DiffDock clients (15 KB)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│   ├── src/molecule_generator.py       # SMILES generation (11 KB)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│   ├── src/cryoem_evidence.py          # Cryo-EM scoring (6 KB)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│   └── src/models.py                   # Pydantic models (8 KB)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│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├── landing-page/                       # Entry point (:8080)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├── monitoring/                         # Prometheus + Grafana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└── docs/                               # Documentation (122 KB+)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Calibri" w:hAnsi="Calibri"/>
          <w:b/>
          <w:color w:val="1B2333"/>
          <w:sz w:val="44"/>
        </w:rPr>
        <w:t>4. Docker Compose Services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Port Allocation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351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Port</w:t>
            </w:r>
          </w:p>
        </w:tc>
        <w:tc>
          <w:tcPr>
            <w:tcW w:type="dxa" w:w="2351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Protocol</w:t>
            </w:r>
          </w:p>
        </w:tc>
        <w:tc>
          <w:tcPr>
            <w:tcW w:type="dxa" w:w="2351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Stage</w:t>
            </w:r>
          </w:p>
        </w:tc>
      </w:tr>
      <w:tr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Landing Page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8080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HTTP (Flask)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Orchestration</w:t>
            </w:r>
          </w:p>
        </w:tc>
      </w:tr>
      <w:tr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Genomics Portal</w:t>
            </w:r>
          </w:p>
        </w:tc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5000</w:t>
            </w:r>
          </w:p>
        </w:tc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HTTP (Flask)</w:t>
            </w:r>
          </w:p>
        </w:tc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Stage 1</w:t>
            </w:r>
          </w:p>
        </w:tc>
      </w:tr>
      <w:tr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RAG REST API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5001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HTTP REST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Stage 2</w:t>
            </w:r>
          </w:p>
        </w:tc>
      </w:tr>
      <w:tr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Milvus Vector DB</w:t>
            </w:r>
          </w:p>
        </w:tc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19530</w:t>
            </w:r>
          </w:p>
        </w:tc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gRPC</w:t>
            </w:r>
          </w:p>
        </w:tc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Stage 2</w:t>
            </w:r>
          </w:p>
        </w:tc>
      </w:tr>
      <w:tr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Attu (Milvus UI)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8000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HTTP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Stage 2</w:t>
            </w:r>
          </w:p>
        </w:tc>
      </w:tr>
      <w:tr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Streamlit Chat</w:t>
            </w:r>
          </w:p>
        </w:tc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8501</w:t>
            </w:r>
          </w:p>
        </w:tc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HTTP</w:t>
            </w:r>
          </w:p>
        </w:tc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Stage 2</w:t>
            </w:r>
          </w:p>
        </w:tc>
      </w:tr>
      <w:tr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MolMIM NIM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8001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HTTP REST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Stage 3</w:t>
            </w:r>
          </w:p>
        </w:tc>
      </w:tr>
      <w:tr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DiffDock NIM</w:t>
            </w:r>
          </w:p>
        </w:tc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8002</w:t>
            </w:r>
          </w:p>
        </w:tc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HTTP REST</w:t>
            </w:r>
          </w:p>
        </w:tc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Stage 3</w:t>
            </w:r>
          </w:p>
        </w:tc>
      </w:tr>
      <w:tr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Discovery UI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8505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HTTP (Streamlit)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Stage 3</w:t>
            </w:r>
          </w:p>
        </w:tc>
      </w:tr>
      <w:tr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Discovery Portal</w:t>
            </w:r>
          </w:p>
        </w:tc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8510</w:t>
            </w:r>
          </w:p>
        </w:tc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HTTP</w:t>
            </w:r>
          </w:p>
        </w:tc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Stage 3</w:t>
            </w:r>
          </w:p>
        </w:tc>
      </w:tr>
      <w:tr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Grafana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3000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HTTP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Monitoring</w:t>
            </w:r>
          </w:p>
        </w:tc>
      </w:tr>
      <w:tr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Prometheus</w:t>
            </w:r>
          </w:p>
        </w:tc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9099</w:t>
            </w:r>
          </w:p>
        </w:tc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HTTP</w:t>
            </w:r>
          </w:p>
        </w:tc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Monitoring</w:t>
            </w:r>
          </w:p>
        </w:tc>
      </w:tr>
      <w:tr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Node Exporter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9100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HTTP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Monitoring</w:t>
            </w:r>
          </w:p>
        </w:tc>
      </w:tr>
      <w:tr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DCGM Exporter</w:t>
            </w:r>
          </w:p>
        </w:tc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9400</w:t>
            </w:r>
          </w:p>
        </w:tc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HTTP</w:t>
            </w:r>
          </w:p>
        </w:tc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Monitoring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Key Container Images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Image</w:t>
            </w:r>
          </w:p>
        </w:tc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Parabricks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nvcr.io/nvidia/clara/clara-parabricks:4.6.0-1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GPU-accelerated genomics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Milvus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milvusdb/milvus:v2.4-latest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Vector database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MolMIM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nvcr.io/nvidia/clara/bionemo-molmim:1.0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Molecule generation NIM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DiffDock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nvcr.io/nvidia/clara/diffdock:1.0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Molecular docking NIM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Grafana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grafana/grafana:10.2.2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Dashboards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Prometheus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prom/prometheus:v2.48.0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Metrics TSDB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Service Startup Order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The start-services.sh script orchestrates startup in dependency order: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1.</w:t>
      </w:r>
      <w:r>
        <w:rPr>
          <w:rFonts w:ascii="Calibri" w:hAnsi="Calibri"/>
          <w:color w:val="333333"/>
          <w:sz w:val="21"/>
        </w:rPr>
        <w:t xml:space="preserve">  Infrastructure (Milvus, monitoring)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2.</w:t>
      </w:r>
      <w:r>
        <w:rPr>
          <w:rFonts w:ascii="Calibri" w:hAnsi="Calibri"/>
          <w:color w:val="333333"/>
          <w:sz w:val="21"/>
        </w:rPr>
        <w:t xml:space="preserve">  Stage 1 services (Parabricks, genomics portal)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3.</w:t>
      </w:r>
      <w:r>
        <w:rPr>
          <w:rFonts w:ascii="Calibri" w:hAnsi="Calibri"/>
          <w:color w:val="333333"/>
          <w:sz w:val="21"/>
        </w:rPr>
        <w:t xml:space="preserve">  Stage 2 services (RAG engine, Streamlit chat)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4.</w:t>
      </w:r>
      <w:r>
        <w:rPr>
          <w:rFonts w:ascii="Calibri" w:hAnsi="Calibri"/>
          <w:color w:val="333333"/>
          <w:sz w:val="21"/>
        </w:rPr>
        <w:t xml:space="preserve">  Stage 3 services (BioNeMo NIMs, discovery UI)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5.</w:t>
      </w:r>
      <w:r>
        <w:rPr>
          <w:rFonts w:ascii="Calibri" w:hAnsi="Calibri"/>
          <w:color w:val="333333"/>
          <w:sz w:val="21"/>
        </w:rPr>
        <w:t xml:space="preserve">  Landing page (health monitor for all 10 services)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Health Monitoring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The landing page at port 8080 monitors 10 services: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Health Endpoint</w:t>
            </w:r>
          </w:p>
        </w:tc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Interval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Parabricks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Port 5000 /health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30s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Milvus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Port 19530 gRPC ping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30s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RAG API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Port 5001 /health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30s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Chat UI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Port 8501 /healthz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30s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MolMIM NIM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Port 8001 /v1/health/ready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30s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DiffDock NIM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Port 8002 /v1/health/ready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30s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Discovery UI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Port 8505 /healthz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30s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Grafana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Port 3000 /api/health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30s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Prometheus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Port 9099 /-/healthy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30s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DCGM Exporter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Port 9400 /metrics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30s</w:t>
            </w:r>
          </w:p>
        </w:tc>
      </w:tr>
    </w:tbl>
    <w:p>
      <w:r>
        <w:br w:type="page"/>
      </w:r>
    </w:p>
    <w:p>
      <w:pPr>
        <w:pStyle w:val="Heading1"/>
        <w:spacing w:before="480" w:after="160"/>
      </w:pPr>
      <w:r>
        <w:rPr>
          <w:rFonts w:ascii="Calibri" w:hAnsi="Calibri"/>
          <w:b/>
          <w:color w:val="1B2333"/>
          <w:sz w:val="44"/>
        </w:rPr>
        <w:t>5. Stage 1: Genomics Pipeline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Overview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Stage 1 takes raw FASTQ files from an Illumina sequencer and produces a Variant Call Format (VCF) file using NVIDIA Parabricks — a GPU-accelerated implementation of industry-standard bioinformatics tools.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Input Specifications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Sample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HG002 (GIAB reference standard)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Coverage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30× whole-genome sequencing (WGS)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Read Length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2×250 bp paired-end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File Size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~200 GB (FASTQ pair)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Reference Genome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GRCh38 (3.1 GB, pre-indexed)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Format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FASTQ (gzip-compressed)</w:t>
            </w:r>
          </w:p>
        </w:tc>
      </w:tr>
    </w:tbl>
    <w:p>
      <w:pPr>
        <w:spacing w:before="0" w:after="120"/>
      </w:pPr>
    </w:p>
    <w:p>
      <w:pPr>
        <w:spacing w:before="200" w:after="80"/>
      </w:pPr>
      <w:r>
        <w:rPr>
          <w:rFonts w:ascii="Calibri" w:hAnsi="Calibri"/>
          <w:b/>
          <w:color w:val="1AAFCC"/>
          <w:sz w:val="26"/>
        </w:rPr>
        <w:t>Step 1: BWA-MEM2 Alignment (fq2bam)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pbrun fq2bam \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--ref /reference/GRCh38.fa \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--in-fq /data/HG002_R1.fastq.gz /data/HG002_R2.fastq.gz \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--out-bam /output/HG002.bam \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--num-gpus 1</w:t>
      </w:r>
    </w:p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Duration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20-45 minutes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GPU Utilization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70-90%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Peak Memory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~40 GB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Output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Sorted BAM + BAI index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Algorithm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BWA-MEM2 (GPU-accelerated)</w:t>
            </w:r>
          </w:p>
        </w:tc>
      </w:tr>
    </w:tbl>
    <w:p>
      <w:pPr>
        <w:spacing w:before="0" w:after="120"/>
      </w:pPr>
    </w:p>
    <w:p>
      <w:pPr>
        <w:spacing w:before="200" w:after="80"/>
      </w:pPr>
      <w:r>
        <w:rPr>
          <w:rFonts w:ascii="Calibri" w:hAnsi="Calibri"/>
          <w:b/>
          <w:color w:val="1AAFCC"/>
          <w:sz w:val="26"/>
        </w:rPr>
        <w:t>Step 2: DeepVariant Variant Calling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pbrun deepvariant \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--ref /reference/GRCh38.fa \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--in-bam /output/HG002.bam \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--out-variants /output/HG002.vcf.gz \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--num-gpus 1</w:t>
      </w:r>
    </w:p>
    <w:p>
      <w:pPr>
        <w:spacing w:before="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Duration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10-35 minutes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GPU Utilization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80-95%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Peak Memory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~60 GB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Output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VCF (gzip-compressed + tabix index)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Algorithm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Google DeepVariant (CNN-based, &gt;99% accuracy)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VCF Output Statistics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Total Variants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~11.7M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High-Quality (QUAL&gt;30)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~3.5M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SNPs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~4.2M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Indels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~1.0M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Coding Region Variants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~35,000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Multi-allelic Sites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~150,000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Parabricks Container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Image: nvcr.io/nvidia/clara/clara-parabricks:4.6.0-1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GPU: Required (CUDA). Volumes: /reference, /data, /output. Port: 5000 (Flask web portal).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Calibri" w:hAnsi="Calibri"/>
          <w:b/>
          <w:color w:val="1B2333"/>
          <w:sz w:val="44"/>
        </w:rPr>
        <w:t>6. Stage 2: RAG/Chat Pipeline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Overview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Stage 2 annotates VCF variants with clinical and functional databases, indexes them in a Milvus vector database, and uses Anthropic Claude with RAG to identify druggable gene targets supported by evidence.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Architecture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VCF (11.7M variants)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→ Quality filter (QUAL&gt;30) → 3.5M variants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→ ClinVar annotation → clinical significance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→ AlphaMissense annotation → pathogenicity prediction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→ VEP annotation → functional consequences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→ BGE-small-en-v1.5 embedding → 384-dim vectors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→ Milvus IVF_FLAT indexing → 3.5M searchable embeddings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→ Claude RAG query → target hypothesis with evidence chain</w:t>
      </w:r>
    </w:p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Annotation Funnel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Variant Count</w:t>
            </w:r>
          </w:p>
        </w:tc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Filter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Raw VCF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~11.7M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Quality filter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~3.5M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QUAL &gt; 30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ClinVar match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~35,616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Clinical significance annotated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AlphaMissense match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~6,831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AI pathogenicity predicted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Coding + pathogenic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~2,400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Actionable subset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Embedding Model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Model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BGE-small-en-v1.5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Dimensions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384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Index Type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IVF_FLAT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Index Params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nlist=1024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Search Params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nprobe=16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Distance Metric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COSINE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Total Embeddings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~3.5M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Query Flow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1.</w:t>
      </w:r>
      <w:r>
        <w:rPr>
          <w:rFonts w:ascii="Calibri" w:hAnsi="Calibri"/>
          <w:color w:val="333333"/>
          <w:sz w:val="21"/>
        </w:rPr>
        <w:t xml:space="preserve">  User asks a natural language question in the Streamlit chat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2.</w:t>
      </w:r>
      <w:r>
        <w:rPr>
          <w:rFonts w:ascii="Calibri" w:hAnsi="Calibri"/>
          <w:color w:val="333333"/>
          <w:sz w:val="21"/>
        </w:rPr>
        <w:t xml:space="preserve">  Query is expanded using 10 therapeutic area keyword maps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3.</w:t>
      </w:r>
      <w:r>
        <w:rPr>
          <w:rFonts w:ascii="Calibri" w:hAnsi="Calibri"/>
          <w:color w:val="333333"/>
          <w:sz w:val="21"/>
        </w:rPr>
        <w:t xml:space="preserve">  BGE-small-en-v1.5 embeds the expanded query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4.</w:t>
      </w:r>
      <w:r>
        <w:rPr>
          <w:rFonts w:ascii="Calibri" w:hAnsi="Calibri"/>
          <w:color w:val="333333"/>
          <w:sz w:val="21"/>
        </w:rPr>
        <w:t xml:space="preserve">  Milvus performs approximate nearest-neighbor search (top_k=20)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5.</w:t>
      </w:r>
      <w:r>
        <w:rPr>
          <w:rFonts w:ascii="Calibri" w:hAnsi="Calibri"/>
          <w:color w:val="333333"/>
          <w:sz w:val="21"/>
        </w:rPr>
        <w:t xml:space="preserve">  Retrieved variant contexts are assembled into a RAG prompt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6.</w:t>
      </w:r>
      <w:r>
        <w:rPr>
          <w:rFonts w:ascii="Calibri" w:hAnsi="Calibri"/>
          <w:color w:val="333333"/>
          <w:sz w:val="21"/>
        </w:rPr>
        <w:t xml:space="preserve">  Claude processes the prompt with knowledge base grounding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7.</w:t>
      </w:r>
      <w:r>
        <w:rPr>
          <w:rFonts w:ascii="Calibri" w:hAnsi="Calibri"/>
          <w:color w:val="333333"/>
          <w:sz w:val="21"/>
        </w:rPr>
        <w:t xml:space="preserve">  Response includes gene target, evidence chain, and confidence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Calibri" w:hAnsi="Calibri"/>
          <w:b/>
          <w:color w:val="1B2333"/>
          <w:sz w:val="44"/>
        </w:rPr>
        <w:t>7. Milvus Vector Database Schema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Collection: genomic_evidence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17 fields capturing genomic position, annotation, and embedding: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id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INT64 (PK, auto)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Primary key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embedding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FLOAT_VECTOR(384)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BGE-small-en-v1.5 embedding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chrom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VARCHAR(10)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Chromosome (chr1-22, chrX, chrY)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pos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INT64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Genomic position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ref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VARCHAR(1000)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Reference allele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alt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VARCHAR(1000)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Alternate allele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qual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FLOAT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Variant quality score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gene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VARCHAR(100)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Gene symbol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consequence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VARCHAR(200)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Functional consequence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impact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VARCHAR(20)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HIGH, MODERATE, LOW, MODIFIER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genotype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VARCHAR(10)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Sample genotype (0/1, 1/1)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text_summary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VARCHAR(2000)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Human-readable description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clinical_significance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VARCHAR(200)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ClinVar classification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rsid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VARCHAR(20)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dbSNP identifier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disease_associations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VARCHAR(2000)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Associated diseases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am_pathogenicity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FLOAT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AlphaMissense score (0-1)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am_class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VARCHAR(20)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pathogenic/ambiguous/benign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Index Configuration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python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index_params =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"index_type": "IVF_FLAT",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"metric_type": "COSINE",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"params": {"nlist": 1024}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search_params =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"metric_type": "COSINE",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"params": {"nprobe": 16}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}</w:t>
      </w:r>
    </w:p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Milvus Infrastructure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Port</w:t>
            </w:r>
          </w:p>
        </w:tc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Milvus standalone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19530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gRPC vector operations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Attu UI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8000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Web-based Milvus management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etcd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2379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Metadata storage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MinIO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9000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Object storage for indexes</w:t>
            </w:r>
          </w:p>
        </w:tc>
      </w:tr>
    </w:tbl>
    <w:p>
      <w:r>
        <w:br w:type="page"/>
      </w:r>
    </w:p>
    <w:p>
      <w:pPr>
        <w:pStyle w:val="Heading1"/>
        <w:spacing w:before="480" w:after="160"/>
      </w:pPr>
      <w:r>
        <w:rPr>
          <w:rFonts w:ascii="Calibri" w:hAnsi="Calibri"/>
          <w:b/>
          <w:color w:val="1B2333"/>
          <w:sz w:val="44"/>
        </w:rPr>
        <w:t>8. Variant Annotation Pipeline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ClinVar Integration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Database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ClinVar (NCBI)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Total Variants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4.1M clinical variants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Match Rate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~35,616 / 3.5M variants (1.0%)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Classifications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Pathogenic, Likely pathogenic, VUS, Likely benign, Benign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Update Frequency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Monthly releases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AlphaMissense Integration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Database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AlphaMissense (DeepMind)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Total Predictions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71,697,560 missense variant predictions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Match Rate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~6,831 / 35,616 ClinVar variants (19.2%)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Model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AlphaFold-derived protein structure features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Output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Pathogenicity score (0.0-1.0)</w:t>
            </w:r>
          </w:p>
        </w:tc>
      </w:tr>
    </w:tbl>
    <w:p>
      <w:pPr>
        <w:spacing w:before="0" w:after="120"/>
      </w:pPr>
    </w:p>
    <w:p>
      <w:pPr>
        <w:spacing w:before="200" w:after="80"/>
      </w:pPr>
      <w:r>
        <w:rPr>
          <w:rFonts w:ascii="Calibri" w:hAnsi="Calibri"/>
          <w:b/>
          <w:color w:val="1AAFCC"/>
          <w:sz w:val="26"/>
        </w:rPr>
        <w:t>AlphaMissense Thresholds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Class</w:t>
            </w:r>
          </w:p>
        </w:tc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Score Range</w:t>
            </w:r>
          </w:p>
        </w:tc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Pathogenic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&gt; 0.564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Likely disease-causing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Ambiguous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0.34 – 0.564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Uncertain significance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Benign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&lt; 0.34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Likely neutral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Ensembl VEP Integration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Tool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Ensembl Variant Effect Predictor (VEP)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Purpose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Functional consequence annotation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Impact Levels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HIGH, MODERATE, LOW, MODIFIER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Key Consequences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missense_variant, stop_gained, frameshift_variant, splice_donor_variant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Annotation Pipeline Code Pattern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python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def annotate_variants(vcf_path: str) -&gt; List[AnnotatedVariant]: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"""VCF → ClinVar → AlphaMissense → VEP → Annotated variants"""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variants = parse_vcf(vcf_path, min_qual=30)        # ~3.5M pass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variants = annotate_clinvar(variants)                # Clinical significance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variants = annotate_alphamissense(variants)          # AI pathogenicity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variants = annotate_vep(variants)                    # Functional consequences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return variants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Calibri" w:hAnsi="Calibri"/>
          <w:b/>
          <w:color w:val="1B2333"/>
          <w:sz w:val="44"/>
        </w:rPr>
        <w:t>9. Knowledge Base — 201 Genes, 13 Therapeutic Areas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Gene Distribution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Therapeutic Area</w:t>
            </w:r>
          </w:p>
        </w:tc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Count</w:t>
            </w:r>
          </w:p>
        </w:tc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Example Genes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Neurology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36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VCP, APP, PSEN1, MAPT, SOD1, FUS, C9orf72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Oncology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27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EGFR, BRAF, KRAS, TP53, BRCA1, BRCA2, PIK3CA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Metabolic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22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GCK, PPARG, SLC2A2, ABCA1, PCSK9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Infectious Disease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21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ACE2, CCR5, IFITM3, TLR4, TMPRSS2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Respiratory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13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CFTR, SERPINA1, MUC5B, TERT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Rare Disease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12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VCP, HTT, SMN1, DMD, CFTR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Hematology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12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HBB, HBA1, F5, JAK2, CALR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GI/Hepatology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12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HFE, ATP7B, NOD2, SERPINA1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Pharmacogenomics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11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CYP2D6, CYP2C19, CYP3A4, DPYD, TPMT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Ophthalmology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11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RHO, RPE65, RS1, ABCA4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Cardiovascular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10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LDLR, PCSK9, SCN5A, MYBPC3, KCNQ1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Immunology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9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HLA-B, TNF, IL6, JAK1, CTLA4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Dermatology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9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FLG, MC1R, TYR, KRT14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Total: 201 genes, 171 druggable targets (85% druggability rate).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Knowledge Base Entry Structure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python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"gene": "VCP",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"uniprot": "P55072",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"therapeutic_area": "Neurology",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"diseases": ["Frontotemporal Dementia", "ALS", "IBMPFD"],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"druggability": "High",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"drug_targets": ["D2 ATPase domain", "N-D1 interface"],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"known_inhibitors": ["CB-5083", "NMS-873"],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"variant_hotspots": ["R155H", "R191Q", "A232E"],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"pathway": "Ubiquitin-proteasome system",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"mechanism": "AAA+ ATPase, protein homeostasis"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}</w:t>
      </w:r>
    </w:p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Query Expansion Maps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10 therapeutic area query expansion maps enrich user queries with domain-specific terminology for improved Milvus retrieval.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Calibri" w:hAnsi="Calibri"/>
          <w:b/>
          <w:color w:val="1B2333"/>
          <w:sz w:val="44"/>
        </w:rPr>
        <w:t>10. Anthropic Claude LLM Integration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Configuration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Model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claude-sonnet-4-20250514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Temperature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0.3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Max Tokens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4096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API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Anthropic Messages API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Role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RAG-grounded clinical reasoning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RAG Prompt Structure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python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system_prompt = """You are a clinical genomics specialist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analyzing patient variant data. Ground all responses in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the retrieved variant evidence and knowledge base. Cite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specific variants, genes, and clinical classifications.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When recommending drug targets, explain the evidence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chain from variant to disease mechanism to druggability."""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user_prompt = f"""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## Retrieved Variant Evidence (top {top_k} matches)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{formatted_variants}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## Knowledge Base Context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{knowledge_context}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## User Question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{user_question}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"""</w:t>
      </w:r>
    </w:p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Response Format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Claude generates structured target hypotheses including gene, confidence level, evidence chain, therapeutic area, diseases, and recommended action for downstream drug discovery.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Calibri" w:hAnsi="Calibri"/>
          <w:b/>
          <w:color w:val="1B2333"/>
          <w:sz w:val="44"/>
        </w:rPr>
        <w:t>11. Stage 3: Drug Discovery Pipeline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Overview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Stage 3 takes a target gene hypothesis from Stage 2 and produces 100 ranked novel drug candidates using BioNeMo generative chemistry, molecular docking, and drug-likeness scoring.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10-Stage Pipeline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1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Initialize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Load target hypothesis, validate inputs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2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Normalize Target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Map gene → UniProt ID → PDB structures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3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Structure Discovery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Query RCSB PDB for Cryo-EM/X-ray structures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4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Structure Preparation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Score and rank structures, select best site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5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Molecule Generation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MolMIM generates novel SMILES from seed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6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Chemistry QC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RDKit validates chemical feasibility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7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Conformer Generation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RDKit 3D conformer embedding (ETKDG)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8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Molecular Docking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DiffDock predicts binding poses and affinities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9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Composite Ranking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30% gen + 40% dock + 30% QED weighted scoring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10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Reporting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PDF report generation (ReportLab)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Pipeline Configuration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python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PIPELINE_CONFIG =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"num_candidates": 100,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"molmim_endpoint": "http://localhost:8001/v1/generate",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"diffdock_endpoint": "http://localhost:8002/v1/dock",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"min_qed": 0.3,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"min_dock_score": -6.0,         # kcal/mol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"scoring_weights":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    "generation": 0.30,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    "docking": 0.40,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    "qed": 0.30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}</w:t>
      </w:r>
    </w:p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UniProt Mappings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Gene</w:t>
            </w:r>
          </w:p>
        </w:tc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UniProt ID</w:t>
            </w:r>
          </w:p>
        </w:tc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Function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VCP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P55072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AAA+ ATPase, protein homeostasis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EGFR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P00533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Receptor tyrosine kinase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BRAF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P15056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Serine/threonine kinase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KRAS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P01116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GTPase signaling</w:t>
            </w:r>
          </w:p>
        </w:tc>
      </w:tr>
    </w:tbl>
    <w:p>
      <w:r>
        <w:br w:type="page"/>
      </w:r>
    </w:p>
    <w:p>
      <w:pPr>
        <w:pStyle w:val="Heading1"/>
        <w:spacing w:before="480" w:after="160"/>
      </w:pPr>
      <w:r>
        <w:rPr>
          <w:rFonts w:ascii="Calibri" w:hAnsi="Calibri"/>
          <w:b/>
          <w:color w:val="1B2333"/>
          <w:sz w:val="44"/>
        </w:rPr>
        <w:t>12. BioNeMo NIM Services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MolMIM (Port 8001) — Molecule Generation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Endpoint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POST http://localhost:8001/v1/generate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Model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MolMIM (Molecular Masked Inverse Model)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Input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Seed SMILES string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Output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Novel SMILES candidates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Container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nvcr.io/nvidia/clara/bionemo-molmim:1.0</w:t>
            </w:r>
          </w:p>
        </w:tc>
      </w:tr>
    </w:tbl>
    <w:p>
      <w:pPr>
        <w:spacing w:before="0" w:after="120"/>
      </w:pPr>
    </w:p>
    <w:p>
      <w:pPr>
        <w:spacing w:before="200" w:after="80"/>
      </w:pPr>
      <w:r>
        <w:rPr>
          <w:rFonts w:ascii="Calibri" w:hAnsi="Calibri"/>
          <w:b/>
          <w:color w:val="1AAFCC"/>
          <w:sz w:val="26"/>
        </w:rPr>
        <w:t>MolMIM Request/Response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json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# Request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{"smiles": "CC(=O)Nc1ccc(O)cc1",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"num_molecules": 100,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"temperature": 0.7, "top_k": 50}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# Response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{"molecules": [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{"smiles": "CC(=O)Nc1ccc(O)c(F)c1", "score": 0.85},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{"smiles": "CC(=O)Nc1ccc(O)c(Cl)c1", "score": 0.82}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]}</w:t>
      </w:r>
    </w:p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DiffDock (Port 8002) — Molecular Docking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Endpoint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POST http://localhost:8002/v1/dock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Model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DiffDock (diffusion-based docking)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Input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Ligand SMILES + protein PDB structure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Output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Binding pose + affinity score (kcal/mol)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Container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nvcr.io/nvidia/clara/diffdock:1.0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Docking Score Interpretation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Score (kcal/mol)</w:t>
            </w:r>
          </w:p>
        </w:tc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-12 to -8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Excellent binding affinity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-8 to -6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Good binding affinity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-6 to -4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Moderate binding affinity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&gt; -4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Weak binding affinity</w:t>
            </w:r>
          </w:p>
        </w:tc>
      </w:tr>
    </w:tbl>
    <w:p>
      <w:r>
        <w:br w:type="page"/>
      </w:r>
    </w:p>
    <w:p>
      <w:pPr>
        <w:pStyle w:val="Heading1"/>
        <w:spacing w:before="480" w:after="160"/>
      </w:pPr>
      <w:r>
        <w:rPr>
          <w:rFonts w:ascii="Calibri" w:hAnsi="Calibri"/>
          <w:b/>
          <w:color w:val="1B2333"/>
          <w:sz w:val="44"/>
        </w:rPr>
        <w:t>13. Drug-Likeness Scoring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Lipinski’s Rule of Five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Molecular Weight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≤ 500 Da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Oral absorption limit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LogP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≤ 5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Lipophilicity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H-Bond Donors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≤ 5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NH + OH groups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H-Bond Acceptors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≤ 10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 + O atoms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QED (Quantitative Estimate of Drug-likeness)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Range</w:t>
            </w:r>
          </w:p>
        </w:tc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&gt; 0.67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Drug-like (favorable properties)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0.49 – 0.67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Moderate drug-likeness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&lt; 0.49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Less drug-like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TPSA (Topological Polar Surface Area)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Range (Å²)</w:t>
            </w:r>
          </w:p>
        </w:tc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&lt; 140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Good oral bioavailability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60–90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Optimal range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&gt; 140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Poor oral absorption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Composite Scoring Formula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python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def compute_composite_score(gen_score, dock_score, qed_score):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"""30% generation + 40% docking + 30% QED"""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dock_normalized = max(0.0, min(1.0, (10.0 + dock_score) / 20.0))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composite = (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    0.30 * gen_score +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    0.40 * dock_normalized +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    0.30 * qed_score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return composite</w:t>
      </w:r>
    </w:p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RDKit Property Calculation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python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from rdkit import Chem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from rdkit.Chem import Descriptors, QED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def calculate_properties(smiles: str) -&gt; dict: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mol = Chem.MolFromSmiles(smiles)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return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    "molecular_weight": Descriptors.MolWt(mol),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    "logp": Descriptors.MolLogP(mol),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    "hbd": Descriptors.NumHDonors(mol),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    "hba": Descriptors.NumHAcceptors(mol),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    "tpsa": Descriptors.TPSA(mol),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    "qed": QED.qed(mol),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    "lipinski_pass": all([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        Descriptors.MolWt(mol) &lt;= 500,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        Descriptors.MolLogP(mol) &lt;= 5,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        Descriptors.NumHDonors(mol) &lt;= 5,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        Descriptors.NumHAcceptors(mol) &lt;= 10,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    ])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}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Calibri" w:hAnsi="Calibri"/>
          <w:b/>
          <w:color w:val="1B2333"/>
          <w:sz w:val="44"/>
        </w:rPr>
        <w:t>14. Cryo-EM Structure Evidence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Structure Scoring Algorithm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The pipeline automatically retrieves and scores PDB structures: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python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def score_structure(structure: StructureInfo) -&gt; float: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"""Score PDB structure for drug discovery suitability.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- Resolution: lower is better (max 5 Å cutoff)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- Inhibitor-bound: +3 bonus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- Druggable pockets: +0.5 per pocket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- Cryo-EM method: +0.5"""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score += max(0, 5.0 - resolution)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if has_inhibitor_bound: score += 3.0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score += num_druggable_pockets * 0.5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if 'Cryo-EM' in method: score += 0.5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return score</w:t>
      </w:r>
    </w:p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VCP Structures (Demo)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PDB ID</w:t>
            </w:r>
          </w:p>
        </w:tc>
        <w:tc>
          <w:tcPr>
            <w:tcW w:type="dxa" w:w="2351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Resolution</w:t>
            </w:r>
          </w:p>
        </w:tc>
        <w:tc>
          <w:tcPr>
            <w:tcW w:type="dxa" w:w="2351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351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8OOI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2.9 Å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Cryo-EM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WT VCP hexamer</w:t>
            </w:r>
          </w:p>
        </w:tc>
      </w:tr>
      <w:tr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9DIL</w:t>
            </w:r>
          </w:p>
        </w:tc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3.2 Å</w:t>
            </w:r>
          </w:p>
        </w:tc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Cryo-EM</w:t>
            </w:r>
          </w:p>
        </w:tc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Mutant VCP</w:t>
            </w:r>
          </w:p>
        </w:tc>
      </w:tr>
      <w:tr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7K56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2.5 Å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Cryo-EM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VCP complex</w:t>
            </w:r>
          </w:p>
        </w:tc>
      </w:tr>
      <w:tr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5FTK</w:t>
            </w:r>
          </w:p>
        </w:tc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2.3 Å</w:t>
            </w:r>
          </w:p>
        </w:tc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X-ray</w:t>
            </w:r>
          </w:p>
        </w:tc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VCP + CB-5083 inhibitor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VCP Binding Site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Domain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D2 ATPase domain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Mechanism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ATP-competitive inhibition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Pocket Volume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~450 Å³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Druggability Score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0.92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Key Residues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ALA464, GLY479, ASP320, GLY215</w:t>
            </w:r>
          </w:p>
        </w:tc>
      </w:tr>
    </w:tbl>
    <w:p>
      <w:r>
        <w:br w:type="page"/>
      </w:r>
    </w:p>
    <w:p>
      <w:pPr>
        <w:pStyle w:val="Heading1"/>
        <w:spacing w:before="480" w:after="160"/>
      </w:pPr>
      <w:r>
        <w:rPr>
          <w:rFonts w:ascii="Calibri" w:hAnsi="Calibri"/>
          <w:b/>
          <w:color w:val="1B2333"/>
          <w:sz w:val="44"/>
        </w:rPr>
        <w:t>15. VCP/FTD Demo Walkthrough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Demo Target: Valosin-Containing Protein (VCP/p97)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Gene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VCP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Protein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p97 / Valosin-Containing Protein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UniProt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P55072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Function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AAA+ ATPase, ubiquitin-proteasome pathway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Diseases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Frontotemporal Dementia (FTD), ALS, IBMPFD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Variant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rs188935092 (chr9:35065263 G&gt;A)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ClinVar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Pathogenic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AlphaMissense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0.87 (pathogenic, &gt;0.564 threshold)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Seed Compound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CB-5083 (Phase I clinical VCP inhibitor)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Demo Flow</w:t>
      </w:r>
    </w:p>
    <w:p>
      <w:pPr>
        <w:spacing w:before="200" w:after="80"/>
      </w:pPr>
      <w:r>
        <w:rPr>
          <w:rFonts w:ascii="Calibri" w:hAnsi="Calibri"/>
          <w:b/>
          <w:color w:val="1AAFCC"/>
          <w:sz w:val="26"/>
        </w:rPr>
        <w:t>Stage 1 — Genomics (Demo Mode: ~20 min)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1.</w:t>
      </w:r>
      <w:r>
        <w:rPr>
          <w:rFonts w:ascii="Calibri" w:hAnsi="Calibri"/>
          <w:color w:val="333333"/>
          <w:sz w:val="21"/>
        </w:rPr>
        <w:t xml:space="preserve">  Load pre-processed HG002 FASTQ subset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2.</w:t>
      </w:r>
      <w:r>
        <w:rPr>
          <w:rFonts w:ascii="Calibri" w:hAnsi="Calibri"/>
          <w:color w:val="333333"/>
          <w:sz w:val="21"/>
        </w:rPr>
        <w:t xml:space="preserve">  Run Parabricks fq2bam alignment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3.</w:t>
      </w:r>
      <w:r>
        <w:rPr>
          <w:rFonts w:ascii="Calibri" w:hAnsi="Calibri"/>
          <w:color w:val="333333"/>
          <w:sz w:val="21"/>
        </w:rPr>
        <w:t xml:space="preserve">  Run DeepVariant variant calling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4.</w:t>
      </w:r>
      <w:r>
        <w:rPr>
          <w:rFonts w:ascii="Calibri" w:hAnsi="Calibri"/>
          <w:color w:val="333333"/>
          <w:sz w:val="21"/>
        </w:rPr>
        <w:t xml:space="preserve">  Output VCF with ~11.7M variants including rs188935092</w:t>
      </w:r>
    </w:p>
    <w:p>
      <w:pPr>
        <w:spacing w:before="200" w:after="80"/>
      </w:pPr>
      <w:r>
        <w:rPr>
          <w:rFonts w:ascii="Calibri" w:hAnsi="Calibri"/>
          <w:b/>
          <w:color w:val="1AAFCC"/>
          <w:sz w:val="26"/>
        </w:rPr>
        <w:t>Stage 2 — RAG/Chat (Interactive)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1.</w:t>
      </w:r>
      <w:r>
        <w:rPr>
          <w:rFonts w:ascii="Calibri" w:hAnsi="Calibri"/>
          <w:color w:val="333333"/>
          <w:sz w:val="21"/>
        </w:rPr>
        <w:t xml:space="preserve">  VCF annotated: ClinVar flags rs188935092 as pathogenic in VCP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2.</w:t>
      </w:r>
      <w:r>
        <w:rPr>
          <w:rFonts w:ascii="Calibri" w:hAnsi="Calibri"/>
          <w:color w:val="333333"/>
          <w:sz w:val="21"/>
        </w:rPr>
        <w:t xml:space="preserve">  AlphaMissense scores the missense variant at 0.87 (pathogenic)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3.</w:t>
      </w:r>
      <w:r>
        <w:rPr>
          <w:rFonts w:ascii="Calibri" w:hAnsi="Calibri"/>
          <w:color w:val="333333"/>
          <w:sz w:val="21"/>
        </w:rPr>
        <w:t xml:space="preserve">  3.5M variants embedded and indexed in Milvus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4.</w:t>
      </w:r>
      <w:r>
        <w:rPr>
          <w:rFonts w:ascii="Calibri" w:hAnsi="Calibri"/>
          <w:color w:val="333333"/>
          <w:sz w:val="21"/>
        </w:rPr>
        <w:t xml:space="preserve">  User queries: "What are the most promising drug targets?"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5.</w:t>
      </w:r>
      <w:r>
        <w:rPr>
          <w:rFonts w:ascii="Calibri" w:hAnsi="Calibri"/>
          <w:color w:val="333333"/>
          <w:sz w:val="21"/>
        </w:rPr>
        <w:t xml:space="preserve">  Claude identifies VCP with full evidence chain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6.</w:t>
      </w:r>
      <w:r>
        <w:rPr>
          <w:rFonts w:ascii="Calibri" w:hAnsi="Calibri"/>
          <w:color w:val="333333"/>
          <w:sz w:val="21"/>
        </w:rPr>
        <w:t xml:space="preserve">  Target hypothesis: VCP → FTD → druggable D2 ATPase domain</w:t>
      </w:r>
    </w:p>
    <w:p>
      <w:pPr>
        <w:spacing w:before="200" w:after="80"/>
      </w:pPr>
      <w:r>
        <w:rPr>
          <w:rFonts w:ascii="Calibri" w:hAnsi="Calibri"/>
          <w:b/>
          <w:color w:val="1AAFCC"/>
          <w:sz w:val="26"/>
        </w:rPr>
        <w:t>Stage 3 — Drug Discovery (~10 min)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1.</w:t>
      </w:r>
      <w:r>
        <w:rPr>
          <w:rFonts w:ascii="Calibri" w:hAnsi="Calibri"/>
          <w:color w:val="333333"/>
          <w:sz w:val="21"/>
        </w:rPr>
        <w:t xml:space="preserve">  VCP → UniProt P55072 → PDB structure retrieval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2.</w:t>
      </w:r>
      <w:r>
        <w:rPr>
          <w:rFonts w:ascii="Calibri" w:hAnsi="Calibri"/>
          <w:color w:val="333333"/>
          <w:sz w:val="21"/>
        </w:rPr>
        <w:t xml:space="preserve">  Cryo-EM structures scored: 8OOI, 9DIL, 7K56, 5FTK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3.</w:t>
      </w:r>
      <w:r>
        <w:rPr>
          <w:rFonts w:ascii="Calibri" w:hAnsi="Calibri"/>
          <w:color w:val="333333"/>
          <w:sz w:val="21"/>
        </w:rPr>
        <w:t xml:space="preserve">  5FTK selected (inhibitor-bound, highest score)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4.</w:t>
      </w:r>
      <w:r>
        <w:rPr>
          <w:rFonts w:ascii="Calibri" w:hAnsi="Calibri"/>
          <w:color w:val="333333"/>
          <w:sz w:val="21"/>
        </w:rPr>
        <w:t xml:space="preserve">  CB-5083 seed SMILES → MolMIM generates 100 novel analogs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5.</w:t>
      </w:r>
      <w:r>
        <w:rPr>
          <w:rFonts w:ascii="Calibri" w:hAnsi="Calibri"/>
          <w:color w:val="333333"/>
          <w:sz w:val="21"/>
        </w:rPr>
        <w:t xml:space="preserve">  RDKit validates Lipinski, QED, TPSA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6.</w:t>
      </w:r>
      <w:r>
        <w:rPr>
          <w:rFonts w:ascii="Calibri" w:hAnsi="Calibri"/>
          <w:color w:val="333333"/>
          <w:sz w:val="21"/>
        </w:rPr>
        <w:t xml:space="preserve">  DiffDock docks each candidate against VCP D2 domain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7.</w:t>
      </w:r>
      <w:r>
        <w:rPr>
          <w:rFonts w:ascii="Calibri" w:hAnsi="Calibri"/>
          <w:color w:val="333333"/>
          <w:sz w:val="21"/>
        </w:rPr>
        <w:t xml:space="preserve">  Composite ranking: 30% gen + 40% dock + 30% QED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8.</w:t>
      </w:r>
      <w:r>
        <w:rPr>
          <w:rFonts w:ascii="Calibri" w:hAnsi="Calibri"/>
          <w:color w:val="333333"/>
          <w:sz w:val="21"/>
        </w:rPr>
        <w:t xml:space="preserve">  Top candidates: novel VCP inhibitors with improved drug-likeness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9.</w:t>
      </w:r>
      <w:r>
        <w:rPr>
          <w:rFonts w:ascii="Calibri" w:hAnsi="Calibri"/>
          <w:color w:val="333333"/>
          <w:sz w:val="21"/>
        </w:rPr>
        <w:t xml:space="preserve">  PDF report generated via ReportLab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Expected Demo Output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Pipeline: HCLS AI Factory — VCP/FTD Demo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Target: VCP (P55072) — Frontotemporal Dementia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Seed: CB-5083 (ATP-competitive VCP inhibitor)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Structure: 5FTK (2.3 Å, X-ray, inhibitor-bound)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Results: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- 100 novel VCP inhibitor candidates generated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- 87 pass Lipinski's Rule of Five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- 72 have QED &gt; 0.67 (drug-like)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- Top 10: docking scores -8.2 to -11.4 kcal/mol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- Composite scores range 0.68-0.89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Calibri" w:hAnsi="Calibri"/>
          <w:b/>
          <w:color w:val="1B2333"/>
          <w:sz w:val="44"/>
        </w:rPr>
        <w:t>16. Pydantic Data Models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Core Models (from models.py)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All data flows use Pydantic models for validation:</w:t>
      </w:r>
    </w:p>
    <w:p>
      <w:pPr>
        <w:spacing w:before="200" w:after="80"/>
      </w:pPr>
      <w:r>
        <w:rPr>
          <w:rFonts w:ascii="Calibri" w:hAnsi="Calibri"/>
          <w:b/>
          <w:color w:val="1AAFCC"/>
          <w:sz w:val="26"/>
        </w:rPr>
        <w:t>TargetHypothesis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python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class TargetHypothesis(BaseModel):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"""Output from Stage 2 — RAG-identified drug target"""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gene: str                     # e.g., 'VCP'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uniprot_id: str               # e.g., 'P55072'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confidence: str               # high, medium, low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evidence_chain: List[str]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therapeutic_area: str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diseases: List[str]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druggability_score: float     # 0-1 scale</w:t>
      </w:r>
    </w:p>
    <w:p>
      <w:pPr>
        <w:spacing w:before="0" w:after="120"/>
      </w:pPr>
    </w:p>
    <w:p>
      <w:pPr>
        <w:spacing w:before="200" w:after="80"/>
      </w:pPr>
      <w:r>
        <w:rPr>
          <w:rFonts w:ascii="Calibri" w:hAnsi="Calibri"/>
          <w:b/>
          <w:color w:val="1AAFCC"/>
          <w:sz w:val="26"/>
        </w:rPr>
        <w:t>RankedCandidate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python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class RankedCandidate(BaseModel):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"""Final ranked drug candidate"""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rank: int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smiles: str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generation_score: float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dock_score: float             # kcal/mol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qed: float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composite_score: float        # 30% gen + 40% dock + 30% QED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lipinski_pass: bool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molecular_weight: float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logp: float</w:t>
      </w:r>
    </w:p>
    <w:p>
      <w:pPr>
        <w:spacing w:before="0" w:after="120"/>
      </w:pPr>
    </w:p>
    <w:p>
      <w:pPr>
        <w:spacing w:before="200" w:after="80"/>
      </w:pPr>
      <w:r>
        <w:rPr>
          <w:rFonts w:ascii="Calibri" w:hAnsi="Calibri"/>
          <w:b/>
          <w:color w:val="1AAFCC"/>
          <w:sz w:val="26"/>
        </w:rPr>
        <w:t>PipelineConfig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python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class PipelineConfig(BaseModel):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"""Pipeline execution configuration"""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mode: str                     # full, target, drug, demo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num_candidates: int = 100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min_qed: float = 0.3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min_dock_score: float = -6.0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molmim_url: str = "http://localhost:8001/v1/generate"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diffdock_url: str = "http://localhost:8002/v1/dock"</w:t>
      </w:r>
    </w:p>
    <w:p>
      <w:pPr>
        <w:spacing w:before="0" w:after="120"/>
      </w:pP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Additional models: StructureInfo, StructureManifest, MoleculeProperties, GeneratedMolecule, DockingResult, PipelineRun.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Calibri" w:hAnsi="Calibri"/>
          <w:b/>
          <w:color w:val="1B2333"/>
          <w:sz w:val="44"/>
        </w:rPr>
        <w:t>17. Nextflow DSL2 Orchestration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Pipeline Modes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Mode</w:t>
            </w:r>
          </w:p>
        </w:tc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Stages</w:t>
            </w:r>
          </w:p>
        </w:tc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full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 → 2 → 3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Complete end-to-end pipeline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target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 → 3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Skip genomics, use existing VCF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drug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3 only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Skip to drug discovery with known target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demo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 → 2 → 3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Pre-configured VCP/FTD demonstration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genomics_only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 only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Run only variant calling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Main Pipeline Entry (main.nf)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groovy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#!/usr/bin/env nextflow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nextflow.enable.dsl=2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include { GENOMICS_PIPELINE } from './modules/genomics'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include { RAG_CHAT_PIPELINE } from './modules/rag_chat'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include { DRUG_DISCOVERY_PIPELINE } from './modules/drug_discovery'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include { REPORTING } from './modules/reporting'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workflow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if (params.mode in ['full', 'demo', 'genomics_only'])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    GENOMICS_PIPELINE(params.fastq_r1, params.fastq_r2, params.reference)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if (params.mode in ['full', 'demo', 'target'])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    RAG_CHAT_PIPELINE(...)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if (params.mode in ['full', 'demo', 'target', 'drug'])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    DRUG_DISCOVERY_PIPELINE(...)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REPORTING(DRUG_DISCOVERY_PIPELINE.out.candidates)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}</w:t>
      </w:r>
    </w:p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Nextflow Profiles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Profile</w:t>
            </w:r>
          </w:p>
        </w:tc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standard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Default local execution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docker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Docker container execution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singularity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Singularity container execution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dgx_spark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DGX Spark optimized (GPU resources)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slurm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HPC cluster submission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test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Minimal test data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Pipeline Launcher (run_pipeline.py)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# Full pipeline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python run_pipeline.py --mode full \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--fastq-r1 /data/HG002_R1.fastq.gz \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--fastq-r2 /data/HG002_R2.fastq.gz \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--reference /reference/GRCh38.fa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# Demo mode (pre-configured VCP/FTD)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python run_pipeline.py --mode demo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# Drug discovery only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python run_pipeline.py --mode drug --target-gene VCP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Calibri" w:hAnsi="Calibri"/>
          <w:b/>
          <w:color w:val="1B2333"/>
          <w:sz w:val="44"/>
        </w:rPr>
        <w:t>18. Landing Page &amp; Service Health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Landing Page (Port 8080)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The Flask-based landing page serves as the entry point for the HCLS AI Factory, providing a 10-service health status dashboard, pipeline mode selector, quick-start links, real-time status with green/red indicators, and pipeline execution history.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Service Health Check Implementation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python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SERVICES = [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{"name": "Parabricks Portal", "port": 5000},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{"name": "Milvus Vector DB", "port": 19530},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{"name": "RAG API", "port": 5001},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{"name": "Streamlit Chat", "port": 8501},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{"name": "MolMIM NIM", "port": 8001},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{"name": "DiffDock NIM", "port": 8002},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{"name": "Discovery UI", "port": 8505},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{"name": "Grafana", "port": 3000},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{"name": "Prometheus", "port": 9099},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{"name": "DCGM Exporter", "port": 9400},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]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Calibri" w:hAnsi="Calibri"/>
          <w:b/>
          <w:color w:val="1B2333"/>
          <w:sz w:val="44"/>
        </w:rPr>
        <w:t>19. Monitoring Stack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Grafana (Port 3000)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Image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grafana/grafana:10.2.2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Default User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admin / changeme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Dashboards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HCLS AI Factory (GPU, pipeline, services)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Data Source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Prometheus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Prometheus (Port 9099)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Image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prom/prometheus:v2.48.0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Internal Port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9090 → External 9099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Retention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30 days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Targets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Node Exporter, DCGM Exporter, service metrics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DCGM Exporter (Port 9400)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DCGM_FI_DEV_GPU_UTIL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GPU utilization percentage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DCGM_FI_DEV_FB_USED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GPU memory used (bytes)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DCGM_FI_DEV_FB_FREE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GPU memory free (bytes)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DCGM_FI_DEV_GPU_TEMP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GPU temperature (°C)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DCGM_FI_DEV_POWER_USAGE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GPU power draw (watts)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DCGM_FI_DEV_SM_CLOCK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SM clock frequency (MHz)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Key Dashboard Panels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1.</w:t>
      </w:r>
      <w:r>
        <w:rPr>
          <w:rFonts w:ascii="Calibri" w:hAnsi="Calibri"/>
          <w:color w:val="333333"/>
          <w:sz w:val="21"/>
        </w:rPr>
        <w:t xml:space="preserve">  GPU Utilization Timeline — fq2bam → DeepVariant → MolMIM/DiffDock bursts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2.</w:t>
      </w:r>
      <w:r>
        <w:rPr>
          <w:rFonts w:ascii="Calibri" w:hAnsi="Calibri"/>
          <w:color w:val="333333"/>
          <w:sz w:val="21"/>
        </w:rPr>
        <w:t xml:space="preserve">  Pipeline Stage Progress — Stage 1/2/3 completion with timing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3.</w:t>
      </w:r>
      <w:r>
        <w:rPr>
          <w:rFonts w:ascii="Calibri" w:hAnsi="Calibri"/>
          <w:color w:val="333333"/>
          <w:sz w:val="21"/>
        </w:rPr>
        <w:t xml:space="preserve">  Memory Pressure — Unified memory usage across CPU + GPU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4.</w:t>
      </w:r>
      <w:r>
        <w:rPr>
          <w:rFonts w:ascii="Calibri" w:hAnsi="Calibri"/>
          <w:color w:val="333333"/>
          <w:sz w:val="21"/>
        </w:rPr>
        <w:t xml:space="preserve">  Service Health Grid — Green/red status for all 10 services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5.</w:t>
      </w:r>
      <w:r>
        <w:rPr>
          <w:rFonts w:ascii="Calibri" w:hAnsi="Calibri"/>
          <w:color w:val="333333"/>
          <w:sz w:val="21"/>
        </w:rPr>
        <w:t xml:space="preserve">  Variant Processing Rate — Variants annotated per second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6.</w:t>
      </w:r>
      <w:r>
        <w:rPr>
          <w:rFonts w:ascii="Calibri" w:hAnsi="Calibri"/>
          <w:color w:val="333333"/>
          <w:sz w:val="21"/>
        </w:rPr>
        <w:t xml:space="preserve">  Drug Discovery Throughput — Molecules generated/docked per minute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Calibri" w:hAnsi="Calibri"/>
          <w:b/>
          <w:color w:val="1B2333"/>
          <w:sz w:val="44"/>
        </w:rPr>
        <w:t>20. Cross-Modal Integration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HCLS AI Factory Ecosystem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The genomics-to-drug-discovery pipeline integrates with the broader HCLS AI Factory, including the Imaging Intelligence Agent:</w:t>
      </w:r>
    </w:p>
    <w:p>
      <w:pPr>
        <w:spacing w:before="200" w:after="80"/>
      </w:pPr>
      <w:r>
        <w:rPr>
          <w:rFonts w:ascii="Calibri" w:hAnsi="Calibri"/>
          <w:b/>
          <w:color w:val="1AAFCC"/>
          <w:sz w:val="26"/>
        </w:rPr>
        <w:t>Cross-Modal Triggers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2351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51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351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Lung-RADS 4B+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Imaging Agent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Genomics Pipeline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Initiate tumor profiling</w:t>
            </w:r>
          </w:p>
        </w:tc>
      </w:tr>
      <w:tr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Pathogenic Variant</w:t>
            </w:r>
          </w:p>
        </w:tc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Genomics Pipeline</w:t>
            </w:r>
          </w:p>
        </w:tc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Drug Discovery</w:t>
            </w:r>
          </w:p>
        </w:tc>
        <w:tc>
          <w:tcPr>
            <w:tcW w:type="dxa" w:w="2351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Generate targeted therapies</w:t>
            </w:r>
          </w:p>
        </w:tc>
      </w:tr>
      <w:tr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Drug Candidates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Drug Discovery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Imaging Agent</w:t>
            </w:r>
          </w:p>
        </w:tc>
        <w:tc>
          <w:tcPr>
            <w:tcW w:type="dxa" w:w="2351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Combined clinical report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NVIDIA FLARE — Federated Learning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For multi-site deployments (Phase 3), NVIDIA FLARE enables federated model training. Models train locally at each site; only model updates (not patient data) are shared. Raw genomic data never leaves the institution.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Calibri" w:hAnsi="Calibri"/>
          <w:b/>
          <w:color w:val="1B2333"/>
          <w:sz w:val="44"/>
        </w:rPr>
        <w:t>21. Configuration Reference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Environment Variables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ANTHROPIC_API_KEY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(required)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Anthropic API key for Claude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NGC_API_KEY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(required)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NVIDIA NGC key for BioNeMo NIMs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REFERENCE_GENOME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/reference/GRCh38.fa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Path to GRCh38 reference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MILVUS_HOST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localhost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Milvus server hostname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MILVUS_PORT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19530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Milvus gRPC port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MOLMIM_URL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http://localhost:8001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MolMIM NIM endpoint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DIFFDOCK_URL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http://localhost:8002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DiffDock NIM endpoint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CLAUDE_MODEL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claude-sonnet-4-20250514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Claude model identifier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CLAUDE_TEMPERATURE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0.3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LLM temperature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PIPELINE_MODE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full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Pipeline execution mode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NUM_CANDIDATES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100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Drug candidates to generate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MIN_QED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0.3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Minimum QED threshold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MIN_DOCK_SCORE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-6.0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Minimum docking score (kcal/mol)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AlphaMissense Thresholds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python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AM_PATHOGENIC_THRESHOLD = 0.564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AM_AMBIGUOUS_LOWER = 0.34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AM_AMBIGUOUS_UPPER = 0.564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AM_BENIGN_THRESHOLD = 0.34</w:t>
      </w:r>
    </w:p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Scoring Weights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python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SCORING_WEIGHTS = {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"generation": 0.30,   # MolMIM generation confidence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"docking": 0.40,      # DiffDock binding affinity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 xml:space="preserve">    "qed": 0.30           # RDKit drug-likeness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}</w:t>
      </w:r>
    </w:p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Drug-Likeness Thresholds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python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LIPINSKI = {"max_mw": 500, "max_logp": 5, "max_hbd": 5, "max_hba": 10}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QED = {"drug_like": 0.67, "moderate": 0.49}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DOCKING = {"excellent": -8.0, "good": -6.0, "moderate": -4.0, "minimum": -6.0}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Calibri" w:hAnsi="Calibri"/>
          <w:b/>
          <w:color w:val="1B2333"/>
          <w:sz w:val="44"/>
        </w:rPr>
        <w:t>22. Deployment Roadmap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Phase 1: Proof Build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Hardware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NVIDIA DGX Spark ($3,999)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Orchestration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Docker Compose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Scale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Single patient, sequential processing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GPU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1× GB10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Memory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128 GB unified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Phase 2: Departmental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Hardware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1–2× DGX B200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Orchestration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Kubernetes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Scale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Multiple concurrent patients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GPU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8× B200 per node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Memory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1–2 TB HBM3e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Phase 3: Enterprise / Multi-Site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Hardware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DGX SuperPOD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Orchestration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Kubernetes + NVIDIA FLARE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Scale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Thousands of concurrent patients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GPU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Hundreds of B200 GPUs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Privacy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Federated learning (data stays local)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Scaling Considerations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Bottleneck</w:t>
            </w:r>
          </w:p>
        </w:tc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Phase 1 Solution</w:t>
            </w:r>
          </w:p>
        </w:tc>
        <w:tc>
          <w:tcPr>
            <w:tcW w:type="dxa" w:w="3135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Phase 2+ Solution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Genomics throughput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Sequential (1 sample)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Parallel Parabricks instances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Milvus query latency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Single-node Milvus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Milvus cluster with sharding</w:t>
            </w:r>
          </w:p>
        </w:tc>
      </w:tr>
      <w:tr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BioNeMo inference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Single NIM per model</w:t>
            </w:r>
          </w:p>
        </w:tc>
        <w:tc>
          <w:tcPr>
            <w:tcW w:type="dxa" w:w="3135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Multiple NIM replicas</w:t>
            </w:r>
          </w:p>
        </w:tc>
      </w:tr>
      <w:tr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Storage I/O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NVMe direct</w:t>
            </w:r>
          </w:p>
        </w:tc>
        <w:tc>
          <w:tcPr>
            <w:tcW w:type="dxa" w:w="3135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GPUDirect Storage + RAID</w:t>
            </w:r>
          </w:p>
        </w:tc>
      </w:tr>
    </w:tbl>
    <w:p>
      <w:r>
        <w:br w:type="page"/>
      </w:r>
    </w:p>
    <w:p>
      <w:pPr>
        <w:pStyle w:val="Heading1"/>
        <w:spacing w:before="480" w:after="160"/>
      </w:pPr>
      <w:r>
        <w:rPr>
          <w:rFonts w:ascii="Calibri" w:hAnsi="Calibri"/>
          <w:b/>
          <w:color w:val="1B2333"/>
          <w:sz w:val="44"/>
        </w:rPr>
        <w:t>23. Testing Strategy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Unit Tests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Test Focus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VCF Parser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Variant extraction, quality filtering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Annotator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ClinVar/AlphaMissense/VEP lookup accuracy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Milvus Client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Index creation, search recall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MolMIM Client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SMILES generation, request format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DiffDock Client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Docking request/response parsing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RDKit Scoring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Lipinski, QED, TPSA calculations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Composite Scorer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Weight application, normalization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Integration Tests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470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Validates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VCF → Annotation → Milvus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End-to-end Stage 2 pipeline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Target → PDB → MolMIM → DiffDock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End-to-end Stage 3 pipeline</w:t>
            </w:r>
          </w:p>
        </w:tc>
      </w:tr>
      <w:tr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Health check endpoints</w:t>
            </w:r>
          </w:p>
        </w:tc>
        <w:tc>
          <w:tcPr>
            <w:tcW w:type="dxa" w:w="470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All 10 services responding</w:t>
            </w:r>
          </w:p>
        </w:tc>
      </w:tr>
      <w:tr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Nextflow modes</w:t>
            </w:r>
          </w:p>
        </w:tc>
        <w:tc>
          <w:tcPr>
            <w:tcW w:type="dxa" w:w="470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full, target, drug, demo execution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Demo Mode Validation</w:t>
      </w:r>
    </w:p>
    <w:p>
      <w:pPr>
        <w:spacing w:before="0" w:after="120"/>
      </w:pPr>
      <w:r>
        <w:rPr>
          <w:rFonts w:ascii="Calibri" w:hAnsi="Calibri"/>
          <w:color w:val="333333"/>
          <w:sz w:val="21"/>
        </w:rPr>
        <w:t>The demo pipeline mode uses pre-configured inputs to validate the complete pipeline. Input: HG002 FASTQ subset. Expected: VCP identified as target with rs188935092 evidence. Output: 100 ranked novel VCP inhibitor candidates.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Calibri" w:hAnsi="Calibri"/>
          <w:b/>
          <w:color w:val="1B2333"/>
          <w:sz w:val="44"/>
        </w:rPr>
        <w:t>24. Implementation Sequence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Recommended Build Order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1.</w:t>
      </w:r>
      <w:r>
        <w:rPr>
          <w:rFonts w:ascii="Calibri" w:hAnsi="Calibri"/>
          <w:color w:val="333333"/>
          <w:sz w:val="21"/>
        </w:rPr>
        <w:t xml:space="preserve">  Infrastructure: Docker Compose, Milvus, monitoring stack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2.</w:t>
      </w:r>
      <w:r>
        <w:rPr>
          <w:rFonts w:ascii="Calibri" w:hAnsi="Calibri"/>
          <w:color w:val="333333"/>
          <w:sz w:val="21"/>
        </w:rPr>
        <w:t xml:space="preserve">  Stage 1 — Genomics: Parabricks container, fq2bam, DeepVariant, VCF output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3.</w:t>
      </w:r>
      <w:r>
        <w:rPr>
          <w:rFonts w:ascii="Calibri" w:hAnsi="Calibri"/>
          <w:color w:val="333333"/>
          <w:sz w:val="21"/>
        </w:rPr>
        <w:t xml:space="preserve">  Stage 2 — Annotation: ClinVar + AlphaMissense + VEP pipeline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4.</w:t>
      </w:r>
      <w:r>
        <w:rPr>
          <w:rFonts w:ascii="Calibri" w:hAnsi="Calibri"/>
          <w:color w:val="333333"/>
          <w:sz w:val="21"/>
        </w:rPr>
        <w:t xml:space="preserve">  Stage 2 — Vector DB: Milvus schema, BGE embedding, IVF_FLAT index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5.</w:t>
      </w:r>
      <w:r>
        <w:rPr>
          <w:rFonts w:ascii="Calibri" w:hAnsi="Calibri"/>
          <w:color w:val="333333"/>
          <w:sz w:val="21"/>
        </w:rPr>
        <w:t xml:space="preserve">  Stage 2 — RAG: Claude integration, knowledge base, query expansion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6.</w:t>
      </w:r>
      <w:r>
        <w:rPr>
          <w:rFonts w:ascii="Calibri" w:hAnsi="Calibri"/>
          <w:color w:val="333333"/>
          <w:sz w:val="21"/>
        </w:rPr>
        <w:t xml:space="preserve">  Stage 2 — Chat UI: Streamlit interface, REST API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7.</w:t>
      </w:r>
      <w:r>
        <w:rPr>
          <w:rFonts w:ascii="Calibri" w:hAnsi="Calibri"/>
          <w:color w:val="333333"/>
          <w:sz w:val="21"/>
        </w:rPr>
        <w:t xml:space="preserve">  Stage 3 — Structure: RCSB PDB retrieval, Cryo-EM scoring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8.</w:t>
      </w:r>
      <w:r>
        <w:rPr>
          <w:rFonts w:ascii="Calibri" w:hAnsi="Calibri"/>
          <w:color w:val="333333"/>
          <w:sz w:val="21"/>
        </w:rPr>
        <w:t xml:space="preserve">  Stage 3 — Generation: MolMIM NIM, molecule generation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9.</w:t>
      </w:r>
      <w:r>
        <w:rPr>
          <w:rFonts w:ascii="Calibri" w:hAnsi="Calibri"/>
          <w:color w:val="333333"/>
          <w:sz w:val="21"/>
        </w:rPr>
        <w:t xml:space="preserve">  Stage 3 — Docking: DiffDock NIM, binding prediction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10.</w:t>
      </w:r>
      <w:r>
        <w:rPr>
          <w:rFonts w:ascii="Calibri" w:hAnsi="Calibri"/>
          <w:color w:val="333333"/>
          <w:sz w:val="21"/>
        </w:rPr>
        <w:t xml:space="preserve">  Stage 3 — Scoring: RDKit properties, composite ranking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11.</w:t>
      </w:r>
      <w:r>
        <w:rPr>
          <w:rFonts w:ascii="Calibri" w:hAnsi="Calibri"/>
          <w:color w:val="333333"/>
          <w:sz w:val="21"/>
        </w:rPr>
        <w:t xml:space="preserve">  Stage 3 — Reporting: PDF generation, Discovery UI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12.</w:t>
      </w:r>
      <w:r>
        <w:rPr>
          <w:rFonts w:ascii="Calibri" w:hAnsi="Calibri"/>
          <w:color w:val="333333"/>
          <w:sz w:val="21"/>
        </w:rPr>
        <w:t xml:space="preserve">  Orchestration: Nextflow DSL2, pipeline modes, landing page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13.</w:t>
      </w:r>
      <w:r>
        <w:rPr>
          <w:rFonts w:ascii="Calibri" w:hAnsi="Calibri"/>
          <w:color w:val="333333"/>
          <w:sz w:val="21"/>
        </w:rPr>
        <w:t xml:space="preserve">  Testing: Unit tests, integration tests, demo mode validation</w:t>
      </w:r>
    </w:p>
    <w:p>
      <w:pPr>
        <w:spacing w:before="40" w:after="40"/>
        <w:ind w:left="360"/>
      </w:pPr>
      <w:r>
        <w:rPr>
          <w:rFonts w:ascii="Calibri" w:hAnsi="Calibri"/>
          <w:b/>
          <w:color w:val="333333"/>
          <w:sz w:val="21"/>
        </w:rPr>
        <w:t>14.</w:t>
      </w:r>
      <w:r>
        <w:rPr>
          <w:rFonts w:ascii="Calibri" w:hAnsi="Calibri"/>
          <w:color w:val="333333"/>
          <w:sz w:val="21"/>
        </w:rPr>
        <w:t xml:space="preserve">  Monitoring: Grafana dashboards, alerting rules</w:t>
      </w:r>
    </w:p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1B2333"/>
          <w:sz w:val="32"/>
        </w:rPr>
        <w:t>Key Dependencies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GRCh38 reference → BWA-MEM2 index → fq2bam alignment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ClinVar + AlphaMissense databases → Annotation pipeline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Milvus running → Embedding indexing → RAG queries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BioNeMo NIMs running → Molecule generation + docking</w:t>
      </w:r>
    </w:p>
    <w:p>
      <w:pPr>
        <w:spacing w:before="0" w:after="0" w:line="240" w:lineRule="auto"/>
        <w:ind w:left="288"/>
      </w:pPr>
      <w:r>
        <w:rPr>
          <w:rFonts w:ascii="Consolas" w:hAnsi="Consolas"/>
          <w:color w:val="444444"/>
          <w:sz w:val="16"/>
        </w:rPr>
        <w:t>All services healthy → Landing page green status</w:t>
      </w:r>
    </w:p>
    <w:p>
      <w:pPr>
        <w:spacing w:before="0" w:after="240"/>
      </w:pPr>
    </w:p>
    <w:p>
      <w:pPr>
        <w:spacing w:before="0" w:after="120"/>
        <w:jc w:val="center"/>
      </w:pPr>
      <w:r>
        <w:rPr>
          <w:rFonts w:ascii="Calibri" w:hAnsi="Calibri"/>
          <w:i/>
          <w:color w:val="666666"/>
          <w:sz w:val="20"/>
        </w:rPr>
        <w:t>This Project Bible is the authoritative technical reference for the HCLS AI Factory. All other documentation assets derive their technical details from this source.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