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sz w:val="48"/>
        </w:rPr>
        <w:t>Cardiology Intelligence Agent</w:t>
      </w:r>
    </w:p>
    <w:p>
      <w:pPr>
        <w:pStyle w:val="Heading1"/>
      </w:pPr>
      <w:r>
        <w:rPr>
          <w:color w:val="1AAFCC"/>
          <w:sz w:val="32"/>
        </w:rPr>
        <w:t>Clinical Impact Assessment &amp; Uniqueness Analysis</w:t>
      </w:r>
    </w:p>
    <w:p>
      <w:r>
        <w:rPr>
          <w:b/>
          <w:color w:val="333333"/>
          <w:sz w:val="20"/>
        </w:rPr>
        <w:t>HCLS AI Factory — Precision Medicine Platform</w:t>
      </w:r>
    </w:p>
    <w:p>
      <w:r>
        <w:rPr>
          <w:b w:val="0"/>
          <w:color w:val="333333"/>
          <w:sz w:val="20"/>
        </w:rPr>
        <w:t>Author: Adam Jones | Date: March 2026 | Platform: NVIDIA DGX Spark</w:t>
      </w:r>
    </w:p>
    <w:p>
      <w:r>
        <w:rPr>
          <w:b w:val="0"/>
          <w:color w:val="333333"/>
          <w:sz w:val="20"/>
        </w:rPr>
        <w:t>Version 2.1.0 | Apache 2.0 License</w:t>
      </w:r>
    </w:p>
    <w:p>
      <w:r>
        <w:br w:type="page"/>
      </w:r>
    </w:p>
    <w:p>
      <w:pPr>
        <w:pStyle w:val="Heading1"/>
      </w:pPr>
      <w:r>
        <w:rPr>
          <w:color w:val="1B2333"/>
          <w:sz w:val="36"/>
        </w:rPr>
        <w:t>Will This Agent Decrease Time to Treat Disease?</w:t>
      </w:r>
    </w:p>
    <w:p>
      <w:r>
        <w:rPr>
          <w:b w:val="0"/>
          <w:color w:val="333333"/>
          <w:sz w:val="20"/>
        </w:rPr>
        <w:t>Yes, meaningfully — in several specific and measurable ways. The Cardiology Intelligence Agent compresses what currently requires 5-6 separate clinical tools, multiple specialist referrals, and weeks of coordination into a single integrated system that responds in seconds.</w:t>
      </w:r>
    </w:p>
    <w:p>
      <w:pPr>
        <w:pStyle w:val="Heading2"/>
      </w:pPr>
      <w:r>
        <w:rPr>
          <w:color w:val="1AAFCC"/>
          <w:sz w:val="28"/>
        </w:rPr>
        <w:t>What Takes Hours Today, This Does in Seconds</w:t>
      </w:r>
    </w:p>
    <w:p>
      <w:r>
        <w:rPr>
          <w:b w:val="0"/>
          <w:color w:val="333333"/>
          <w:sz w:val="20"/>
        </w:rPr>
        <w:t>A cardiologist seeing a patient with new-onset heart failure currently opens 3-4 separate tools: an ASCVD calculator website, a GDMT app, UpToDate for guideline lookup, and their institution's formulary. The Cardiology Intelligence Agent unifies all of that into a single query.</w:t>
      </w:r>
    </w:p>
    <w:p>
      <w:r>
        <w:rPr>
          <w:b/>
          <w:color w:val="333333"/>
          <w:sz w:val="20"/>
        </w:rPr>
        <w:t>The GDMT optimizer alone — checking 4 pillars, titration steps, contraindications against K+/eGFR/BP/HR, drug interactions across 14 drugs — is work that takes a busy clinician 10-15 minutes per patient. This system does it in under one second.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Task</w:t>
            </w:r>
          </w:p>
        </w:tc>
        <w:tc>
          <w:tcPr>
            <w:tcW w:type="dxa" w:w="2160"/>
          </w:tcPr>
          <w:p>
            <w:r>
              <w:rPr>
                <w:b/>
                <w:sz w:val="18"/>
              </w:rPr>
              <w:t>Current Time</w:t>
            </w:r>
          </w:p>
        </w:tc>
        <w:tc>
          <w:tcPr>
            <w:tcW w:type="dxa" w:w="2160"/>
          </w:tcPr>
          <w:p>
            <w:r>
              <w:rPr>
                <w:b/>
                <w:sz w:val="18"/>
              </w:rPr>
              <w:t>With Agent</w:t>
            </w:r>
          </w:p>
        </w:tc>
        <w:tc>
          <w:tcPr>
            <w:tcW w:type="dxa" w:w="2160"/>
          </w:tcPr>
          <w:p>
            <w:r>
              <w:rPr>
                <w:b/>
                <w:sz w:val="18"/>
              </w:rPr>
              <w:t>Time Saved</w:t>
            </w:r>
          </w:p>
        </w:tc>
      </w:tr>
      <w:tr>
        <w:tc>
          <w:tcPr>
            <w:tcW w:type="dxa" w:w="2160"/>
          </w:tcPr>
          <w:p>
            <w:r>
              <w:rPr>
                <w:sz w:val="18"/>
              </w:rPr>
              <w:t>GDMT optimization (4-pillar check)</w:t>
            </w:r>
          </w:p>
        </w:tc>
        <w:tc>
          <w:tcPr>
            <w:tcW w:type="dxa" w:w="2160"/>
          </w:tcPr>
          <w:p>
            <w:r>
              <w:rPr>
                <w:sz w:val="18"/>
              </w:rPr>
              <w:t>10-15 minutes</w:t>
            </w:r>
          </w:p>
        </w:tc>
        <w:tc>
          <w:tcPr>
            <w:tcW w:type="dxa" w:w="2160"/>
          </w:tcPr>
          <w:p>
            <w:r>
              <w:rPr>
                <w:sz w:val="18"/>
              </w:rPr>
              <w:t>&lt;1 second</w:t>
            </w:r>
          </w:p>
        </w:tc>
        <w:tc>
          <w:tcPr>
            <w:tcW w:type="dxa" w:w="2160"/>
          </w:tcPr>
          <w:p>
            <w:r>
              <w:rPr>
                <w:sz w:val="18"/>
              </w:rPr>
              <w:t>~15 minutes per patient</w:t>
            </w:r>
          </w:p>
        </w:tc>
      </w:tr>
      <w:tr>
        <w:tc>
          <w:tcPr>
            <w:tcW w:type="dxa" w:w="2160"/>
          </w:tcPr>
          <w:p>
            <w:r>
              <w:rPr>
                <w:sz w:val="18"/>
              </w:rPr>
              <w:t>Risk score calculation (6 calculators)</w:t>
            </w:r>
          </w:p>
        </w:tc>
        <w:tc>
          <w:tcPr>
            <w:tcW w:type="dxa" w:w="2160"/>
          </w:tcPr>
          <w:p>
            <w:r>
              <w:rPr>
                <w:sz w:val="18"/>
              </w:rPr>
              <w:t>5-8 minutes (multiple apps)</w:t>
            </w:r>
          </w:p>
        </w:tc>
        <w:tc>
          <w:tcPr>
            <w:tcW w:type="dxa" w:w="2160"/>
          </w:tcPr>
          <w:p>
            <w:r>
              <w:rPr>
                <w:sz w:val="18"/>
              </w:rPr>
              <w:t>&lt;1 second</w:t>
            </w:r>
          </w:p>
        </w:tc>
        <w:tc>
          <w:tcPr>
            <w:tcW w:type="dxa" w:w="2160"/>
          </w:tcPr>
          <w:p>
            <w:r>
              <w:rPr>
                <w:sz w:val="18"/>
              </w:rPr>
              <w:t>~7 minutes per patient</w:t>
            </w:r>
          </w:p>
        </w:tc>
      </w:tr>
      <w:tr>
        <w:tc>
          <w:tcPr>
            <w:tcW w:type="dxa" w:w="2160"/>
          </w:tcPr>
          <w:p>
            <w:r>
              <w:rPr>
                <w:sz w:val="18"/>
              </w:rPr>
              <w:t>Guideline concordance check</w:t>
            </w:r>
          </w:p>
        </w:tc>
        <w:tc>
          <w:tcPr>
            <w:tcW w:type="dxa" w:w="2160"/>
          </w:tcPr>
          <w:p>
            <w:r>
              <w:rPr>
                <w:sz w:val="18"/>
              </w:rPr>
              <w:t>15-20 minutes (UpToDate search)</w:t>
            </w:r>
          </w:p>
        </w:tc>
        <w:tc>
          <w:tcPr>
            <w:tcW w:type="dxa" w:w="2160"/>
          </w:tcPr>
          <w:p>
            <w:r>
              <w:rPr>
                <w:sz w:val="18"/>
              </w:rPr>
              <w:t>2-3 seconds (RAG query)</w:t>
            </w:r>
          </w:p>
        </w:tc>
        <w:tc>
          <w:tcPr>
            <w:tcW w:type="dxa" w:w="2160"/>
          </w:tcPr>
          <w:p>
            <w:r>
              <w:rPr>
                <w:sz w:val="18"/>
              </w:rPr>
              <w:t>~18 minutes per case</w:t>
            </w:r>
          </w:p>
        </w:tc>
      </w:tr>
      <w:tr>
        <w:tc>
          <w:tcPr>
            <w:tcW w:type="dxa" w:w="2160"/>
          </w:tcPr>
          <w:p>
            <w:r>
              <w:rPr>
                <w:sz w:val="18"/>
              </w:rPr>
              <w:t>Cross-modal genomic workup decision</w:t>
            </w:r>
          </w:p>
        </w:tc>
        <w:tc>
          <w:tcPr>
            <w:tcW w:type="dxa" w:w="2160"/>
          </w:tcPr>
          <w:p>
            <w:r>
              <w:rPr>
                <w:sz w:val="18"/>
              </w:rPr>
              <w:t>2-4 weeks (referral + consult)</w:t>
            </w:r>
          </w:p>
        </w:tc>
        <w:tc>
          <w:tcPr>
            <w:tcW w:type="dxa" w:w="2160"/>
          </w:tcPr>
          <w:p>
            <w:r>
              <w:rPr>
                <w:sz w:val="18"/>
              </w:rPr>
              <w:t>Immediate trigger + panel recommendation</w:t>
            </w:r>
          </w:p>
        </w:tc>
        <w:tc>
          <w:tcPr>
            <w:tcW w:type="dxa" w:w="2160"/>
          </w:tcPr>
          <w:p>
            <w:r>
              <w:rPr>
                <w:sz w:val="18"/>
              </w:rPr>
              <w:t>Weeks to seconds (decision, not test)</w:t>
            </w:r>
          </w:p>
        </w:tc>
      </w:tr>
      <w:tr>
        <w:tc>
          <w:tcPr>
            <w:tcW w:type="dxa" w:w="2160"/>
          </w:tcPr>
          <w:p>
            <w:r>
              <w:rPr>
                <w:sz w:val="18"/>
              </w:rPr>
              <w:t>Drug interaction screening</w:t>
            </w:r>
          </w:p>
        </w:tc>
        <w:tc>
          <w:tcPr>
            <w:tcW w:type="dxa" w:w="2160"/>
          </w:tcPr>
          <w:p>
            <w:r>
              <w:rPr>
                <w:sz w:val="18"/>
              </w:rPr>
              <w:t>5-10 minutes (Lexicomp/Micromedex)</w:t>
            </w:r>
          </w:p>
        </w:tc>
        <w:tc>
          <w:tcPr>
            <w:tcW w:type="dxa" w:w="2160"/>
          </w:tcPr>
          <w:p>
            <w:r>
              <w:rPr>
                <w:sz w:val="18"/>
              </w:rPr>
              <w:t>&lt;1 second (integrated)</w:t>
            </w:r>
          </w:p>
        </w:tc>
        <w:tc>
          <w:tcPr>
            <w:tcW w:type="dxa" w:w="2160"/>
          </w:tcPr>
          <w:p>
            <w:r>
              <w:rPr>
                <w:sz w:val="18"/>
              </w:rPr>
              <w:t>~8 minutes per review</w:t>
            </w:r>
          </w:p>
        </w:tc>
      </w:tr>
      <w:tr>
        <w:tc>
          <w:tcPr>
            <w:tcW w:type="dxa" w:w="2160"/>
          </w:tcPr>
          <w:p>
            <w:r>
              <w:rPr>
                <w:sz w:val="18"/>
              </w:rPr>
              <w:t>Multi-collection evidence synthesis</w:t>
            </w:r>
          </w:p>
        </w:tc>
        <w:tc>
          <w:tcPr>
            <w:tcW w:type="dxa" w:w="2160"/>
          </w:tcPr>
          <w:p>
            <w:r>
              <w:rPr>
                <w:sz w:val="18"/>
              </w:rPr>
              <w:t>30-60 minutes (literature review)</w:t>
            </w:r>
          </w:p>
        </w:tc>
        <w:tc>
          <w:tcPr>
            <w:tcW w:type="dxa" w:w="2160"/>
          </w:tcPr>
          <w:p>
            <w:r>
              <w:rPr>
                <w:sz w:val="18"/>
              </w:rPr>
              <w:t>3-5 seconds (13-collection RAG)</w:t>
            </w:r>
          </w:p>
        </w:tc>
        <w:tc>
          <w:tcPr>
            <w:tcW w:type="dxa" w:w="2160"/>
          </w:tcPr>
          <w:p>
            <w:r>
              <w:rPr>
                <w:sz w:val="18"/>
              </w:rPr>
              <w:t>~45 minutes per query</w:t>
            </w:r>
          </w:p>
        </w:tc>
      </w:tr>
    </w:tbl>
    <w:p/>
    <w:p>
      <w:pPr>
        <w:pStyle w:val="Heading2"/>
      </w:pPr>
      <w:r>
        <w:rPr>
          <w:color w:val="1AAFCC"/>
          <w:sz w:val="28"/>
        </w:rPr>
        <w:t>What Takes Weeks Today, This Does in Minutes</w:t>
      </w:r>
    </w:p>
    <w:p>
      <w:r>
        <w:rPr>
          <w:b w:val="0"/>
          <w:color w:val="333333"/>
          <w:sz w:val="20"/>
        </w:rPr>
        <w:t>The cross-modal genomic integration is where the real time compression happens. Today, when a cardiologist sees unexplained left ventricular hypertrophy on an echocardiogram, the typical workflow 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Current Workflow</w:t>
            </w:r>
          </w:p>
        </w:tc>
        <w:tc>
          <w:tcPr>
            <w:tcW w:type="dxa" w:w="2880"/>
          </w:tcPr>
          <w:p>
            <w:r>
              <w:rPr>
                <w:b/>
                <w:sz w:val="18"/>
              </w:rPr>
              <w:t>Time</w:t>
            </w:r>
          </w:p>
        </w:tc>
      </w:tr>
      <w:tr>
        <w:tc>
          <w:tcPr>
            <w:tcW w:type="dxa" w:w="2880"/>
          </w:tcPr>
          <w:p>
            <w:r>
              <w:rPr>
                <w:sz w:val="18"/>
              </w:rPr>
              <w:t>1</w:t>
            </w:r>
          </w:p>
        </w:tc>
        <w:tc>
          <w:tcPr>
            <w:tcW w:type="dxa" w:w="2880"/>
          </w:tcPr>
          <w:p>
            <w:r>
              <w:rPr>
                <w:sz w:val="18"/>
              </w:rPr>
              <w:t>Cardiologist identifies unexplained LVH</w:t>
            </w:r>
          </w:p>
        </w:tc>
        <w:tc>
          <w:tcPr>
            <w:tcW w:type="dxa" w:w="2880"/>
          </w:tcPr>
          <w:p>
            <w:r>
              <w:rPr>
                <w:sz w:val="18"/>
              </w:rPr>
              <w:t>Day 0</w:t>
            </w:r>
          </w:p>
        </w:tc>
      </w:tr>
      <w:tr>
        <w:tc>
          <w:tcPr>
            <w:tcW w:type="dxa" w:w="2880"/>
          </w:tcPr>
          <w:p>
            <w:r>
              <w:rPr>
                <w:sz w:val="18"/>
              </w:rPr>
              <w:t>2</w:t>
            </w:r>
          </w:p>
        </w:tc>
        <w:tc>
          <w:tcPr>
            <w:tcW w:type="dxa" w:w="2880"/>
          </w:tcPr>
          <w:p>
            <w:r>
              <w:rPr>
                <w:sz w:val="18"/>
              </w:rPr>
              <w:t>Refers to genetics clinic</w:t>
            </w:r>
          </w:p>
        </w:tc>
        <w:tc>
          <w:tcPr>
            <w:tcW w:type="dxa" w:w="2880"/>
          </w:tcPr>
          <w:p>
            <w:r>
              <w:rPr>
                <w:sz w:val="18"/>
              </w:rPr>
              <w:t>Wait 2-4 weeks for appointment</w:t>
            </w:r>
          </w:p>
        </w:tc>
      </w:tr>
      <w:tr>
        <w:tc>
          <w:tcPr>
            <w:tcW w:type="dxa" w:w="2880"/>
          </w:tcPr>
          <w:p>
            <w:r>
              <w:rPr>
                <w:sz w:val="18"/>
              </w:rPr>
              <w:t>3</w:t>
            </w:r>
          </w:p>
        </w:tc>
        <w:tc>
          <w:tcPr>
            <w:tcW w:type="dxa" w:w="2880"/>
          </w:tcPr>
          <w:p>
            <w:r>
              <w:rPr>
                <w:sz w:val="18"/>
              </w:rPr>
              <w:t>Genetics consultation and panel selection</w:t>
            </w:r>
          </w:p>
        </w:tc>
        <w:tc>
          <w:tcPr>
            <w:tcW w:type="dxa" w:w="2880"/>
          </w:tcPr>
          <w:p>
            <w:r>
              <w:rPr>
                <w:sz w:val="18"/>
              </w:rPr>
              <w:t>Week 3-4</w:t>
            </w:r>
          </w:p>
        </w:tc>
      </w:tr>
      <w:tr>
        <w:tc>
          <w:tcPr>
            <w:tcW w:type="dxa" w:w="2880"/>
          </w:tcPr>
          <w:p>
            <w:r>
              <w:rPr>
                <w:sz w:val="18"/>
              </w:rPr>
              <w:t>4</w:t>
            </w:r>
          </w:p>
        </w:tc>
        <w:tc>
          <w:tcPr>
            <w:tcW w:type="dxa" w:w="2880"/>
          </w:tcPr>
          <w:p>
            <w:r>
              <w:rPr>
                <w:sz w:val="18"/>
              </w:rPr>
              <w:t>Blood draw and send-out to lab</w:t>
            </w:r>
          </w:p>
        </w:tc>
        <w:tc>
          <w:tcPr>
            <w:tcW w:type="dxa" w:w="2880"/>
          </w:tcPr>
          <w:p>
            <w:r>
              <w:rPr>
                <w:sz w:val="18"/>
              </w:rPr>
              <w:t>Week 4</w:t>
            </w:r>
          </w:p>
        </w:tc>
      </w:tr>
      <w:tr>
        <w:tc>
          <w:tcPr>
            <w:tcW w:type="dxa" w:w="2880"/>
          </w:tcPr>
          <w:p>
            <w:r>
              <w:rPr>
                <w:sz w:val="18"/>
              </w:rPr>
              <w:t>5</w:t>
            </w:r>
          </w:p>
        </w:tc>
        <w:tc>
          <w:tcPr>
            <w:tcW w:type="dxa" w:w="2880"/>
          </w:tcPr>
          <w:p>
            <w:r>
              <w:rPr>
                <w:sz w:val="18"/>
              </w:rPr>
              <w:t>Genetic testing turnaround</w:t>
            </w:r>
          </w:p>
        </w:tc>
        <w:tc>
          <w:tcPr>
            <w:tcW w:type="dxa" w:w="2880"/>
          </w:tcPr>
          <w:p>
            <w:r>
              <w:rPr>
                <w:sz w:val="18"/>
              </w:rPr>
              <w:t>Wait 3-5 weeks</w:t>
            </w:r>
          </w:p>
        </w:tc>
      </w:tr>
      <w:tr>
        <w:tc>
          <w:tcPr>
            <w:tcW w:type="dxa" w:w="2880"/>
          </w:tcPr>
          <w:p>
            <w:r>
              <w:rPr>
                <w:sz w:val="18"/>
              </w:rPr>
              <w:t>6</w:t>
            </w:r>
          </w:p>
        </w:tc>
        <w:tc>
          <w:tcPr>
            <w:tcW w:type="dxa" w:w="2880"/>
          </w:tcPr>
          <w:p>
            <w:r>
              <w:rPr>
                <w:sz w:val="18"/>
              </w:rPr>
              <w:t>Results review and treatment plan</w:t>
            </w:r>
          </w:p>
        </w:tc>
        <w:tc>
          <w:tcPr>
            <w:tcW w:type="dxa" w:w="2880"/>
          </w:tcPr>
          <w:p>
            <w:r>
              <w:rPr>
                <w:sz w:val="18"/>
              </w:rPr>
              <w:t>Week 7-9</w:t>
            </w:r>
          </w:p>
        </w:tc>
      </w:tr>
    </w:tbl>
    <w:p/>
    <w:p>
      <w:r>
        <w:rPr>
          <w:b/>
          <w:color w:val="333333"/>
          <w:sz w:val="20"/>
        </w:rPr>
        <w:t>With the Cardiology Intelligence Agent, step 2-3 is compressed to seconds: the agent immediately identifies the trigger pattern ("unexplained_lvh"), recommends the specific gene panel (MYH7, MYBPC3, TNNT2, TNNI3, TPM1 — 11 genes), and provides cost ($1,500) and turnaround time (21 days). It doesn't replace the genetic test itself, but it eliminates the weeks-long delay in recognizing that one is needed.</w:t>
      </w:r>
    </w:p>
    <w:p>
      <w:r>
        <w:rPr>
          <w:b w:val="0"/>
          <w:color w:val="333333"/>
          <w:sz w:val="20"/>
        </w:rPr>
        <w:t>The agent covers 18 such cross-modal trigger patterns spanning cardiomyopathies (HCM, DCM, ACM, LVNC, Fabry, ATTR amyloid), channelopathies (LQTS, Brugada, CPVT), vascular disorders (premature CAD, familial hypercholesterolemia, heritable aortopathy), infiltrative diseases (sarcoidosis, hemochromatosis), peripartum cardiomyopathy, and sudden cardiac death family screening.</w:t>
      </w:r>
    </w:p>
    <w:p>
      <w:pPr>
        <w:pStyle w:val="Heading2"/>
      </w:pPr>
      <w:r>
        <w:rPr>
          <w:color w:val="1AAFCC"/>
          <w:sz w:val="28"/>
        </w:rPr>
        <w:t>What Gets Missed Today, This Catches</w:t>
      </w:r>
    </w:p>
    <w:p>
      <w:r>
        <w:rPr>
          <w:b w:val="0"/>
          <w:color w:val="333333"/>
          <w:sz w:val="20"/>
        </w:rPr>
        <w:t>The workflow input validation and cross-modal triggers systematically check for things that get overlooked in busy clinical settings: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Clinical Scenario</w:t>
            </w:r>
          </w:p>
        </w:tc>
        <w:tc>
          <w:tcPr>
            <w:tcW w:type="dxa" w:w="2880"/>
          </w:tcPr>
          <w:p>
            <w:r>
              <w:rPr>
                <w:b/>
                <w:sz w:val="18"/>
              </w:rPr>
              <w:t>What Gets Missed</w:t>
            </w:r>
          </w:p>
        </w:tc>
        <w:tc>
          <w:tcPr>
            <w:tcW w:type="dxa" w:w="2880"/>
          </w:tcPr>
          <w:p>
            <w:r>
              <w:rPr>
                <w:b/>
                <w:sz w:val="18"/>
              </w:rPr>
              <w:t>What the Agent Does</w:t>
            </w:r>
          </w:p>
        </w:tc>
      </w:tr>
      <w:tr>
        <w:tc>
          <w:tcPr>
            <w:tcW w:type="dxa" w:w="2880"/>
          </w:tcPr>
          <w:p>
            <w:r>
              <w:rPr>
                <w:sz w:val="18"/>
              </w:rPr>
              <w:t>Patient on anthracyclines</w:t>
            </w:r>
          </w:p>
        </w:tc>
        <w:tc>
          <w:tcPr>
            <w:tcW w:type="dxa" w:w="2880"/>
          </w:tcPr>
          <w:p>
            <w:r>
              <w:rPr>
                <w:sz w:val="18"/>
              </w:rPr>
              <w:t>GLS decline of 15% not flagged in EMR</w:t>
            </w:r>
          </w:p>
        </w:tc>
        <w:tc>
          <w:tcPr>
            <w:tcW w:type="dxa" w:w="2880"/>
          </w:tcPr>
          <w:p>
            <w:r>
              <w:rPr>
                <w:sz w:val="18"/>
              </w:rPr>
              <w:t>Cardio-oncology workflow detects CTRCD, recommends cardioprotection</w:t>
            </w:r>
          </w:p>
        </w:tc>
      </w:tr>
      <w:tr>
        <w:tc>
          <w:tcPr>
            <w:tcW w:type="dxa" w:w="2880"/>
          </w:tcPr>
          <w:p>
            <w:r>
              <w:rPr>
                <w:sz w:val="18"/>
              </w:rPr>
              <w:t>Post-MI patient, LVEF 32%</w:t>
            </w:r>
          </w:p>
        </w:tc>
        <w:tc>
          <w:tcPr>
            <w:tcW w:type="dxa" w:w="2880"/>
          </w:tcPr>
          <w:p>
            <w:r>
              <w:rPr>
                <w:sz w:val="18"/>
              </w:rPr>
              <w:t>ICD assessment not done at 40 days</w:t>
            </w:r>
          </w:p>
        </w:tc>
        <w:tc>
          <w:tcPr>
            <w:tcW w:type="dxa" w:w="2880"/>
          </w:tcPr>
          <w:p>
            <w:r>
              <w:rPr>
                <w:sz w:val="18"/>
              </w:rPr>
              <w:t>Post-MI workflow flags ICD reassessment timeline</w:t>
            </w:r>
          </w:p>
        </w:tc>
      </w:tr>
      <w:tr>
        <w:tc>
          <w:tcPr>
            <w:tcW w:type="dxa" w:w="2880"/>
          </w:tcPr>
          <w:p>
            <w:r>
              <w:rPr>
                <w:sz w:val="18"/>
              </w:rPr>
              <w:t>AF patient started on DOAC</w:t>
            </w:r>
          </w:p>
        </w:tc>
        <w:tc>
          <w:tcPr>
            <w:tcW w:type="dxa" w:w="2880"/>
          </w:tcPr>
          <w:p>
            <w:r>
              <w:rPr>
                <w:sz w:val="18"/>
              </w:rPr>
              <w:t>HAS-BLED not calculated alongside CHA2DS2-VASc</w:t>
            </w:r>
          </w:p>
        </w:tc>
        <w:tc>
          <w:tcPr>
            <w:tcW w:type="dxa" w:w="2880"/>
          </w:tcPr>
          <w:p>
            <w:r>
              <w:rPr>
                <w:sz w:val="18"/>
              </w:rPr>
              <w:t>Arrhythmia workflow computes both, balances stroke vs bleeding risk</w:t>
            </w:r>
          </w:p>
        </w:tc>
      </w:tr>
      <w:tr>
        <w:tc>
          <w:tcPr>
            <w:tcW w:type="dxa" w:w="2880"/>
          </w:tcPr>
          <w:p>
            <w:r>
              <w:rPr>
                <w:sz w:val="18"/>
              </w:rPr>
              <w:t>HFrEF patient on enalapril</w:t>
            </w:r>
          </w:p>
        </w:tc>
        <w:tc>
          <w:tcPr>
            <w:tcW w:type="dxa" w:w="2880"/>
          </w:tcPr>
          <w:p>
            <w:r>
              <w:rPr>
                <w:sz w:val="18"/>
              </w:rPr>
              <w:t>ARNI switch not considered</w:t>
            </w:r>
          </w:p>
        </w:tc>
        <w:tc>
          <w:tcPr>
            <w:tcW w:type="dxa" w:w="2880"/>
          </w:tcPr>
          <w:p>
            <w:r>
              <w:rPr>
                <w:sz w:val="18"/>
              </w:rPr>
              <w:t>GDMT optimizer flags ARNI preferred over ACEi (PARADIGM-HF)</w:t>
            </w:r>
          </w:p>
        </w:tc>
      </w:tr>
      <w:tr>
        <w:tc>
          <w:tcPr>
            <w:tcW w:type="dxa" w:w="2880"/>
          </w:tcPr>
          <w:p>
            <w:r>
              <w:rPr>
                <w:sz w:val="18"/>
              </w:rPr>
              <w:t>Young patient with syncope + LBBB</w:t>
            </w:r>
          </w:p>
        </w:tc>
        <w:tc>
          <w:tcPr>
            <w:tcW w:type="dxa" w:w="2880"/>
          </w:tcPr>
          <w:p>
            <w:r>
              <w:rPr>
                <w:sz w:val="18"/>
              </w:rPr>
              <w:t>Genetic testing not ordered</w:t>
            </w:r>
          </w:p>
        </w:tc>
        <w:tc>
          <w:tcPr>
            <w:tcW w:type="dxa" w:w="2880"/>
          </w:tcPr>
          <w:p>
            <w:r>
              <w:rPr>
                <w:sz w:val="18"/>
              </w:rPr>
              <w:t>Cross-modal trigger for DCM genes (TTN, LMNA, RBM20)</w:t>
            </w:r>
          </w:p>
        </w:tc>
      </w:tr>
      <w:tr>
        <w:tc>
          <w:tcPr>
            <w:tcW w:type="dxa" w:w="2880"/>
          </w:tcPr>
          <w:p>
            <w:r>
              <w:rPr>
                <w:sz w:val="18"/>
              </w:rPr>
              <w:t>Elevated LV wall thickness</w:t>
            </w:r>
          </w:p>
        </w:tc>
        <w:tc>
          <w:tcPr>
            <w:tcW w:type="dxa" w:w="2880"/>
          </w:tcPr>
          <w:p>
            <w:r>
              <w:rPr>
                <w:sz w:val="18"/>
              </w:rPr>
              <w:t>Fabry disease not considered</w:t>
            </w:r>
          </w:p>
        </w:tc>
        <w:tc>
          <w:tcPr>
            <w:tcW w:type="dxa" w:w="2880"/>
          </w:tcPr>
          <w:p>
            <w:r>
              <w:rPr>
                <w:sz w:val="18"/>
              </w:rPr>
              <w:t>Trigger for GLA gene testing if LVH unexplained</w:t>
            </w:r>
          </w:p>
        </w:tc>
      </w:tr>
    </w:tbl>
    <w:p/>
    <w:p>
      <w:pPr>
        <w:pStyle w:val="Heading2"/>
      </w:pPr>
      <w:r>
        <w:rPr>
          <w:color w:val="1AAFCC"/>
          <w:sz w:val="28"/>
        </w:rPr>
        <w:t>Realistic Caveats</w:t>
      </w:r>
    </w:p>
    <w:p>
      <w:r>
        <w:rPr>
          <w:b w:val="0"/>
          <w:color w:val="333333"/>
          <w:sz w:val="20"/>
        </w:rPr>
        <w:t>This is a clinical decision support system, not an autonomous diagnostic. Important limitations:</w:t>
      </w:r>
    </w:p>
    <w:p>
      <w:pPr>
        <w:pStyle w:val="ListBullet"/>
      </w:pPr>
      <w:r>
        <w:rPr>
          <w:sz w:val="20"/>
        </w:rPr>
        <w:t>It still requires a physician to act on recommendations. It augments clinical judgment, it does not replace it.</w:t>
      </w:r>
    </w:p>
    <w:p>
      <w:pPr>
        <w:pStyle w:val="ListBullet"/>
      </w:pPr>
      <w:r>
        <w:rPr>
          <w:sz w:val="20"/>
        </w:rPr>
        <w:t>It won't help if clinicians don't trust or use it. Adoption is a human problem, not a technical one.</w:t>
      </w:r>
    </w:p>
    <w:p>
      <w:pPr>
        <w:pStyle w:val="ListBullet"/>
      </w:pPr>
      <w:r>
        <w:rPr>
          <w:sz w:val="20"/>
        </w:rPr>
        <w:t>The RAG queries depend on the quality of the indexed knowledge — it is as good as the 39 landmark trials and 63 guideline recommendations seeded, not the entirety of cardiology literature.</w:t>
      </w:r>
    </w:p>
    <w:p>
      <w:pPr>
        <w:pStyle w:val="ListBullet"/>
      </w:pPr>
      <w:r>
        <w:rPr>
          <w:sz w:val="20"/>
        </w:rPr>
        <w:t>Risk calculators are validated for specific populations (e.g., ASCVD for ages 40-79, US populations). Results outside validated ranges should be interpreted cautiously.</w:t>
      </w:r>
    </w:p>
    <w:p>
      <w:pPr>
        <w:pStyle w:val="ListBullet"/>
      </w:pPr>
      <w:r>
        <w:rPr>
          <w:sz w:val="20"/>
        </w:rPr>
        <w:t>It is not FDA-cleared. It is a research tool and clinical decision support aid, not a standalone diagnostic device.</w:t>
      </w:r>
    </w:p>
    <w:p>
      <w:r>
        <w:br w:type="page"/>
      </w:r>
    </w:p>
    <w:p>
      <w:pPr>
        <w:pStyle w:val="Heading1"/>
      </w:pPr>
      <w:r>
        <w:rPr>
          <w:color w:val="1B2333"/>
          <w:sz w:val="36"/>
        </w:rPr>
        <w:t>Does Something Like This Currently Exist?</w:t>
      </w:r>
    </w:p>
    <w:p>
      <w:r>
        <w:rPr>
          <w:b/>
          <w:color w:val="333333"/>
          <w:sz w:val="20"/>
        </w:rPr>
        <w:t>Not like this. Not integrated this way.</w:t>
      </w:r>
    </w:p>
    <w:p>
      <w:r>
        <w:rPr>
          <w:b w:val="0"/>
          <w:color w:val="333333"/>
          <w:sz w:val="20"/>
        </w:rPr>
        <w:t>Individual pieces exist commercially, but no system combines them into a unified agent with cross-modal genomic bridging, multi-collection RAG, and guideline-directed therapy optimization.</w:t>
      </w:r>
    </w:p>
    <w:p>
      <w:pPr>
        <w:pStyle w:val="Heading2"/>
      </w:pPr>
      <w:r>
        <w:rPr>
          <w:color w:val="1AAFCC"/>
          <w:sz w:val="28"/>
        </w:rPr>
        <w:t>Component-by-Component Market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What Exists Today</w:t>
            </w:r>
          </w:p>
        </w:tc>
        <w:tc>
          <w:tcPr>
            <w:tcW w:type="dxa" w:w="2880"/>
          </w:tcPr>
          <w:p>
            <w:r>
              <w:rPr>
                <w:b/>
                <w:sz w:val="18"/>
              </w:rPr>
              <w:t>What's Different in This Agent</w:t>
            </w:r>
          </w:p>
        </w:tc>
      </w:tr>
      <w:tr>
        <w:tc>
          <w:tcPr>
            <w:tcW w:type="dxa" w:w="2880"/>
          </w:tcPr>
          <w:p>
            <w:r>
              <w:rPr>
                <w:sz w:val="18"/>
              </w:rPr>
              <w:t>Risk calculators</w:t>
            </w:r>
          </w:p>
        </w:tc>
        <w:tc>
          <w:tcPr>
            <w:tcW w:type="dxa" w:w="2880"/>
          </w:tcPr>
          <w:p>
            <w:r>
              <w:rPr>
                <w:sz w:val="18"/>
              </w:rPr>
              <w:t>MDCalc, ACC ASCVD app, QxMD (separate apps/websites)</w:t>
            </w:r>
          </w:p>
        </w:tc>
        <w:tc>
          <w:tcPr>
            <w:tcW w:type="dxa" w:w="2880"/>
          </w:tcPr>
          <w:p>
            <w:r>
              <w:rPr>
                <w:sz w:val="18"/>
              </w:rPr>
              <w:t>Unifies 6 calculators in one engine with lazy init, no external dependencies</w:t>
            </w:r>
          </w:p>
        </w:tc>
      </w:tr>
      <w:tr>
        <w:tc>
          <w:tcPr>
            <w:tcW w:type="dxa" w:w="2880"/>
          </w:tcPr>
          <w:p>
            <w:r>
              <w:rPr>
                <w:sz w:val="18"/>
              </w:rPr>
              <w:t>GDMT optimization</w:t>
            </w:r>
          </w:p>
        </w:tc>
        <w:tc>
          <w:tcPr>
            <w:tcW w:type="dxa" w:w="2880"/>
          </w:tcPr>
          <w:p>
            <w:r>
              <w:rPr>
                <w:sz w:val="18"/>
              </w:rPr>
              <w:t>Viz.ai HF module, AliveCor (single-pillar or limited)</w:t>
            </w:r>
          </w:p>
        </w:tc>
        <w:tc>
          <w:tcPr>
            <w:tcW w:type="dxa" w:w="2880"/>
          </w:tcPr>
          <w:p>
            <w:r>
              <w:rPr>
                <w:sz w:val="18"/>
              </w:rPr>
              <w:t>Covers 14 drugs, 4 pillars, 7 additional therapies, drug interactions, comorbidity adjustments</w:t>
            </w:r>
          </w:p>
        </w:tc>
      </w:tr>
      <w:tr>
        <w:tc>
          <w:tcPr>
            <w:tcW w:type="dxa" w:w="2880"/>
          </w:tcPr>
          <w:p>
            <w:r>
              <w:rPr>
                <w:sz w:val="18"/>
              </w:rPr>
              <w:t>Guideline search</w:t>
            </w:r>
          </w:p>
        </w:tc>
        <w:tc>
          <w:tcPr>
            <w:tcW w:type="dxa" w:w="2880"/>
          </w:tcPr>
          <w:p>
            <w:r>
              <w:rPr>
                <w:sz w:val="18"/>
              </w:rPr>
              <w:t>UpToDate, DynaMed (text search over articles)</w:t>
            </w:r>
          </w:p>
        </w:tc>
        <w:tc>
          <w:tcPr>
            <w:tcW w:type="dxa" w:w="2880"/>
          </w:tcPr>
          <w:p>
            <w:r>
              <w:rPr>
                <w:sz w:val="18"/>
              </w:rPr>
              <w:t>Vector-semantic search across 13 collections with workflow-weighted retrieval</w:t>
            </w:r>
          </w:p>
        </w:tc>
      </w:tr>
      <w:tr>
        <w:tc>
          <w:tcPr>
            <w:tcW w:type="dxa" w:w="2880"/>
          </w:tcPr>
          <w:p>
            <w:r>
              <w:rPr>
                <w:sz w:val="18"/>
              </w:rPr>
              <w:t>Genomic-cardiac linking</w:t>
            </w:r>
          </w:p>
        </w:tc>
        <w:tc>
          <w:tcPr>
            <w:tcW w:type="dxa" w:w="2880"/>
          </w:tcPr>
          <w:p>
            <w:r>
              <w:rPr>
                <w:sz w:val="18"/>
              </w:rPr>
              <w:t>Invitae panels, GeneDx (separate ordering portals)</w:t>
            </w:r>
          </w:p>
        </w:tc>
        <w:tc>
          <w:tcPr>
            <w:tcW w:type="dxa" w:w="2880"/>
          </w:tcPr>
          <w:p>
            <w:r>
              <w:rPr>
                <w:sz w:val="18"/>
              </w:rPr>
              <w:t>Automatically triggers right panel from imaging findings with cost/turnaround data</w:t>
            </w:r>
          </w:p>
        </w:tc>
      </w:tr>
      <w:tr>
        <w:tc>
          <w:tcPr>
            <w:tcW w:type="dxa" w:w="2880"/>
          </w:tcPr>
          <w:p>
            <w:r>
              <w:rPr>
                <w:sz w:val="18"/>
              </w:rPr>
              <w:t>Cardio-oncology</w:t>
            </w:r>
          </w:p>
        </w:tc>
        <w:tc>
          <w:tcPr>
            <w:tcW w:type="dxa" w:w="2880"/>
          </w:tcPr>
          <w:p>
            <w:r>
              <w:rPr>
                <w:sz w:val="18"/>
              </w:rPr>
              <w:t>ICOS, some EMR alerts (basic LVEF thresholds)</w:t>
            </w:r>
          </w:p>
        </w:tc>
        <w:tc>
          <w:tcPr>
            <w:tcW w:type="dxa" w:w="2880"/>
          </w:tcPr>
          <w:p>
            <w:r>
              <w:rPr>
                <w:sz w:val="18"/>
              </w:rPr>
              <w:t>Tracks GLS decline, troponin trends, cumulative dose, classifies CTRCD severity</w:t>
            </w:r>
          </w:p>
        </w:tc>
      </w:tr>
      <w:tr>
        <w:tc>
          <w:tcPr>
            <w:tcW w:type="dxa" w:w="2880"/>
          </w:tcPr>
          <w:p>
            <w:r>
              <w:rPr>
                <w:sz w:val="18"/>
              </w:rPr>
              <w:t>Clinical workflows</w:t>
            </w:r>
          </w:p>
        </w:tc>
        <w:tc>
          <w:tcPr>
            <w:tcW w:type="dxa" w:w="2880"/>
          </w:tcPr>
          <w:p>
            <w:r>
              <w:rPr>
                <w:sz w:val="18"/>
              </w:rPr>
              <w:t>Epic CDS Hooks (simple rules)</w:t>
            </w:r>
          </w:p>
        </w:tc>
        <w:tc>
          <w:tcPr>
            <w:tcW w:type="dxa" w:w="2880"/>
          </w:tcPr>
          <w:p>
            <w:r>
              <w:rPr>
                <w:sz w:val="18"/>
              </w:rPr>
              <w:t>11 evidence-based workflows with input validation, cross-modal triggers, guideline citations</w:t>
            </w:r>
          </w:p>
        </w:tc>
      </w:tr>
    </w:tbl>
    <w:p/>
    <w:p>
      <w:pPr>
        <w:pStyle w:val="Heading2"/>
      </w:pPr>
      <w:r>
        <w:rPr>
          <w:color w:val="1AAFCC"/>
          <w:sz w:val="28"/>
        </w:rPr>
        <w:t>What Makes This Architecturally Novel</w:t>
      </w:r>
    </w:p>
    <w:p>
      <w:r>
        <w:rPr>
          <w:b/>
          <w:color w:val="333333"/>
          <w:sz w:val="20"/>
        </w:rPr>
        <w:t>Integration Density:</w:t>
      </w:r>
    </w:p>
    <w:p>
      <w:r>
        <w:rPr>
          <w:b w:val="0"/>
          <w:color w:val="333333"/>
          <w:sz w:val="20"/>
        </w:rPr>
        <w:t>No existing system combines RAG over 13 domain-specific vector collections + 6 validated risk calculators + 11 clinical workflows + GDMT optimization + 18 genomic trigger maps + cross-agent event publishing in a single agent. Commercial CDS tools are typically single-purpose.</w:t>
      </w:r>
    </w:p>
    <w:p>
      <w:r>
        <w:rPr>
          <w:b/>
          <w:color w:val="333333"/>
          <w:sz w:val="20"/>
        </w:rPr>
        <w:t>Cross-Modal Bridge:</w:t>
      </w:r>
    </w:p>
    <w:p>
      <w:r>
        <w:rPr>
          <w:b w:val="0"/>
          <w:color w:val="333333"/>
          <w:sz w:val="20"/>
        </w:rPr>
        <w:t>Linking cardiac imaging phenotypes directly to genomic workup recommendations with specific gene panels, cost estimates, and turnaround times — this workflow does not exist as a unified system anywhere. Academic medical centers do this through multi-disciplinary team meetings that take weeks to schedule.</w:t>
      </w:r>
    </w:p>
    <w:p>
      <w:r>
        <w:rPr>
          <w:b/>
          <w:color w:val="333333"/>
          <w:sz w:val="20"/>
        </w:rPr>
        <w:t>Open Architecture:</w:t>
      </w:r>
    </w:p>
    <w:p>
      <w:r>
        <w:rPr>
          <w:b w:val="0"/>
          <w:color w:val="333333"/>
          <w:sz w:val="20"/>
        </w:rPr>
        <w:t>Running on a $3,999 DGX Spark with Apache 2.0 licensing, deployable via a single "docker compose up" — this accessibility does not exist in commercial cardiology CDS, which typically requires enterprise contracts, EMR integration projects, and six-figure licensing.</w:t>
      </w:r>
    </w:p>
    <w:p>
      <w:r>
        <w:rPr>
          <w:b/>
          <w:color w:val="333333"/>
          <w:sz w:val="20"/>
        </w:rPr>
        <w:t>Deterministic-Probabilistic Safety Split:</w:t>
      </w:r>
    </w:p>
    <w:p>
      <w:r>
        <w:rPr>
          <w:b w:val="0"/>
          <w:color w:val="333333"/>
          <w:sz w:val="20"/>
        </w:rPr>
        <w:t>Risk calculators, GDMT logic, and workflow engines are deterministic code (not LLM-generated). Claude is used exclusively for natural language synthesis of evidence that has already been retrieved and scored by deterministic pipelines. This safety architecture separates calculations that must be exact from language that should be natural.</w:t>
      </w:r>
    </w:p>
    <w:p>
      <w:pPr>
        <w:pStyle w:val="Heading2"/>
      </w:pPr>
      <w:r>
        <w:rPr>
          <w:color w:val="1AAFCC"/>
          <w:sz w:val="28"/>
        </w:rPr>
        <w:t>Closest Competitors in the Market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Product</w:t>
            </w:r>
          </w:p>
        </w:tc>
        <w:tc>
          <w:tcPr>
            <w:tcW w:type="dxa" w:w="2880"/>
          </w:tcPr>
          <w:p>
            <w:r>
              <w:rPr>
                <w:b/>
                <w:sz w:val="18"/>
              </w:rPr>
              <w:t>Strengths</w:t>
            </w:r>
          </w:p>
        </w:tc>
        <w:tc>
          <w:tcPr>
            <w:tcW w:type="dxa" w:w="2880"/>
          </w:tcPr>
          <w:p>
            <w:r>
              <w:rPr>
                <w:b/>
                <w:sz w:val="18"/>
              </w:rPr>
              <w:t>Gaps vs This Agent</w:t>
            </w:r>
          </w:p>
        </w:tc>
      </w:tr>
      <w:tr>
        <w:tc>
          <w:tcPr>
            <w:tcW w:type="dxa" w:w="2880"/>
          </w:tcPr>
          <w:p>
            <w:r>
              <w:rPr>
                <w:sz w:val="18"/>
              </w:rPr>
              <w:t>Epic CDS Hooks</w:t>
            </w:r>
          </w:p>
        </w:tc>
        <w:tc>
          <w:tcPr>
            <w:tcW w:type="dxa" w:w="2880"/>
          </w:tcPr>
          <w:p>
            <w:r>
              <w:rPr>
                <w:sz w:val="18"/>
              </w:rPr>
              <w:t>Integrated into EMR, large install base</w:t>
            </w:r>
          </w:p>
        </w:tc>
        <w:tc>
          <w:tcPr>
            <w:tcW w:type="dxa" w:w="2880"/>
          </w:tcPr>
          <w:p>
            <w:r>
              <w:rPr>
                <w:sz w:val="18"/>
              </w:rPr>
              <w:t>Simple rules only, no RAG, no genomic linking, no GDMT optimization</w:t>
            </w:r>
          </w:p>
        </w:tc>
      </w:tr>
      <w:tr>
        <w:tc>
          <w:tcPr>
            <w:tcW w:type="dxa" w:w="2880"/>
          </w:tcPr>
          <w:p>
            <w:r>
              <w:rPr>
                <w:sz w:val="18"/>
              </w:rPr>
              <w:t>Viz.ai</w:t>
            </w:r>
          </w:p>
        </w:tc>
        <w:tc>
          <w:tcPr>
            <w:tcW w:type="dxa" w:w="2880"/>
          </w:tcPr>
          <w:p>
            <w:r>
              <w:rPr>
                <w:sz w:val="18"/>
              </w:rPr>
              <w:t>FDA-cleared for stroke/PE/aortic, expanding to HF</w:t>
            </w:r>
          </w:p>
        </w:tc>
        <w:tc>
          <w:tcPr>
            <w:tcW w:type="dxa" w:w="2880"/>
          </w:tcPr>
          <w:p>
            <w:r>
              <w:rPr>
                <w:sz w:val="18"/>
              </w:rPr>
              <w:t>Imaging-only — no GDMT, no genomics, no multi-domain RAG, no risk calculators</w:t>
            </w:r>
          </w:p>
        </w:tc>
      </w:tr>
      <w:tr>
        <w:tc>
          <w:tcPr>
            <w:tcW w:type="dxa" w:w="2880"/>
          </w:tcPr>
          <w:p>
            <w:r>
              <w:rPr>
                <w:sz w:val="18"/>
              </w:rPr>
              <w:t>Tempus Cardio</w:t>
            </w:r>
          </w:p>
        </w:tc>
        <w:tc>
          <w:tcPr>
            <w:tcW w:type="dxa" w:w="2880"/>
          </w:tcPr>
          <w:p>
            <w:r>
              <w:rPr>
                <w:sz w:val="18"/>
              </w:rPr>
              <w:t>Genomics-forward, strong data platform</w:t>
            </w:r>
          </w:p>
        </w:tc>
        <w:tc>
          <w:tcPr>
            <w:tcW w:type="dxa" w:w="2880"/>
          </w:tcPr>
          <w:p>
            <w:r>
              <w:rPr>
                <w:sz w:val="18"/>
              </w:rPr>
              <w:t>Oncology-primary, limited cardiology workflows, enterprise pricing</w:t>
            </w:r>
          </w:p>
        </w:tc>
      </w:tr>
      <w:tr>
        <w:tc>
          <w:tcPr>
            <w:tcW w:type="dxa" w:w="2880"/>
          </w:tcPr>
          <w:p>
            <w:r>
              <w:rPr>
                <w:sz w:val="18"/>
              </w:rPr>
              <w:t>Eko AI</w:t>
            </w:r>
          </w:p>
        </w:tc>
        <w:tc>
          <w:tcPr>
            <w:tcW w:type="dxa" w:w="2880"/>
          </w:tcPr>
          <w:p>
            <w:r>
              <w:rPr>
                <w:sz w:val="18"/>
              </w:rPr>
              <w:t>FDA-cleared stethoscope-based murmur/AF detection</w:t>
            </w:r>
          </w:p>
        </w:tc>
        <w:tc>
          <w:tcPr>
            <w:tcW w:type="dxa" w:w="2880"/>
          </w:tcPr>
          <w:p>
            <w:r>
              <w:rPr>
                <w:sz w:val="18"/>
              </w:rPr>
              <w:t>Single modality — no workflows, no GDMT, no cross-modal integration</w:t>
            </w:r>
          </w:p>
        </w:tc>
      </w:tr>
      <w:tr>
        <w:tc>
          <w:tcPr>
            <w:tcW w:type="dxa" w:w="2880"/>
          </w:tcPr>
          <w:p>
            <w:r>
              <w:rPr>
                <w:sz w:val="18"/>
              </w:rPr>
              <w:t>MDCalc</w:t>
            </w:r>
          </w:p>
        </w:tc>
        <w:tc>
          <w:tcPr>
            <w:tcW w:type="dxa" w:w="2880"/>
          </w:tcPr>
          <w:p>
            <w:r>
              <w:rPr>
                <w:sz w:val="18"/>
              </w:rPr>
              <w:t>Widely used, validated calculators</w:t>
            </w:r>
          </w:p>
        </w:tc>
        <w:tc>
          <w:tcPr>
            <w:tcW w:type="dxa" w:w="2880"/>
          </w:tcPr>
          <w:p>
            <w:r>
              <w:rPr>
                <w:sz w:val="18"/>
              </w:rPr>
              <w:t>Individual tools, no integration, no RAG, no clinical workflows</w:t>
            </w:r>
          </w:p>
        </w:tc>
      </w:tr>
      <w:tr>
        <w:tc>
          <w:tcPr>
            <w:tcW w:type="dxa" w:w="2880"/>
          </w:tcPr>
          <w:p>
            <w:r>
              <w:rPr>
                <w:sz w:val="18"/>
              </w:rPr>
              <w:t>UpToDate</w:t>
            </w:r>
          </w:p>
        </w:tc>
        <w:tc>
          <w:tcPr>
            <w:tcW w:type="dxa" w:w="2880"/>
          </w:tcPr>
          <w:p>
            <w:r>
              <w:rPr>
                <w:sz w:val="18"/>
              </w:rPr>
              <w:t>Comprehensive medical reference</w:t>
            </w:r>
          </w:p>
        </w:tc>
        <w:tc>
          <w:tcPr>
            <w:tcW w:type="dxa" w:w="2880"/>
          </w:tcPr>
          <w:p>
            <w:r>
              <w:rPr>
                <w:sz w:val="18"/>
              </w:rPr>
              <w:t>Text search only, no risk calculations, no GDMT optimization, no genomic triggers</w:t>
            </w:r>
          </w:p>
        </w:tc>
      </w:tr>
    </w:tbl>
    <w:p/>
    <w:p>
      <w:r>
        <w:rPr>
          <w:b w:val="0"/>
          <w:color w:val="333333"/>
          <w:sz w:val="20"/>
        </w:rPr>
        <w:t>None of these combine the breadth of clinical workflows, depth of pharmacotherapy optimization, and genomic integration that this agent provides. The closest academic analogue would be a research prototype from a major medical center's informatics department — but those are typically single-domain (HF only, or AF only) and not packaged for deployment.</w:t>
      </w:r>
    </w:p>
    <w:p>
      <w:r>
        <w:br w:type="page"/>
      </w:r>
    </w:p>
    <w:p>
      <w:pPr>
        <w:pStyle w:val="Heading1"/>
      </w:pPr>
      <w:r>
        <w:rPr>
          <w:color w:val="1B2333"/>
          <w:sz w:val="36"/>
        </w:rPr>
        <w:t>Capability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Capability</w:t>
            </w:r>
          </w:p>
        </w:tc>
        <w:tc>
          <w:tcPr>
            <w:tcW w:type="dxa" w:w="2880"/>
          </w:tcPr>
          <w:p>
            <w:r>
              <w:rPr>
                <w:b/>
                <w:sz w:val="18"/>
              </w:rPr>
              <w:t>Count</w:t>
            </w:r>
          </w:p>
        </w:tc>
        <w:tc>
          <w:tcPr>
            <w:tcW w:type="dxa" w:w="2880"/>
          </w:tcPr>
          <w:p>
            <w:r>
              <w:rPr>
                <w:b/>
                <w:sz w:val="18"/>
              </w:rPr>
              <w:t>Detail</w:t>
            </w:r>
          </w:p>
        </w:tc>
      </w:tr>
      <w:tr>
        <w:tc>
          <w:tcPr>
            <w:tcW w:type="dxa" w:w="2880"/>
          </w:tcPr>
          <w:p>
            <w:r>
              <w:rPr>
                <w:sz w:val="18"/>
              </w:rPr>
              <w:t>Clinical Workflows</w:t>
            </w:r>
          </w:p>
        </w:tc>
        <w:tc>
          <w:tcPr>
            <w:tcW w:type="dxa" w:w="2880"/>
          </w:tcPr>
          <w:p>
            <w:r>
              <w:rPr>
                <w:sz w:val="18"/>
              </w:rPr>
              <w:t>11</w:t>
            </w:r>
          </w:p>
        </w:tc>
        <w:tc>
          <w:tcPr>
            <w:tcW w:type="dxa" w:w="2880"/>
          </w:tcPr>
          <w:p>
            <w:r>
              <w:rPr>
                <w:sz w:val="18"/>
              </w:rPr>
              <w:t>CAD, HF, Valvular, Arrhythmia, Cardiac MRI, Stress Test, Prevention, Cardio-Oncology, Acute Decompensated HF, Post-MI, Myocarditis/Pericarditis</w:t>
            </w:r>
          </w:p>
        </w:tc>
      </w:tr>
      <w:tr>
        <w:tc>
          <w:tcPr>
            <w:tcW w:type="dxa" w:w="2880"/>
          </w:tcPr>
          <w:p>
            <w:r>
              <w:rPr>
                <w:sz w:val="18"/>
              </w:rPr>
              <w:t>Risk Calculators</w:t>
            </w:r>
          </w:p>
        </w:tc>
        <w:tc>
          <w:tcPr>
            <w:tcW w:type="dxa" w:w="2880"/>
          </w:tcPr>
          <w:p>
            <w:r>
              <w:rPr>
                <w:sz w:val="18"/>
              </w:rPr>
              <w:t>6</w:t>
            </w:r>
          </w:p>
        </w:tc>
        <w:tc>
          <w:tcPr>
            <w:tcW w:type="dxa" w:w="2880"/>
          </w:tcPr>
          <w:p>
            <w:r>
              <w:rPr>
                <w:sz w:val="18"/>
              </w:rPr>
              <w:t>ASCVD (PCE), HEART, CHA2DS2-VASc, HAS-BLED, MAGGIC, EuroSCORE II</w:t>
            </w:r>
          </w:p>
        </w:tc>
      </w:tr>
      <w:tr>
        <w:tc>
          <w:tcPr>
            <w:tcW w:type="dxa" w:w="2880"/>
          </w:tcPr>
          <w:p>
            <w:r>
              <w:rPr>
                <w:sz w:val="18"/>
              </w:rPr>
              <w:t>GDMT Drugs</w:t>
            </w:r>
          </w:p>
        </w:tc>
        <w:tc>
          <w:tcPr>
            <w:tcW w:type="dxa" w:w="2880"/>
          </w:tcPr>
          <w:p>
            <w:r>
              <w:rPr>
                <w:sz w:val="18"/>
              </w:rPr>
              <w:t>14 + 7</w:t>
            </w:r>
          </w:p>
        </w:tc>
        <w:tc>
          <w:tcPr>
            <w:tcW w:type="dxa" w:w="2880"/>
          </w:tcPr>
          <w:p>
            <w:r>
              <w:rPr>
                <w:sz w:val="18"/>
              </w:rPr>
              <w:t>14 drugs across 4 pillars + 7 additional therapies (finerenone, omecamtiv, sotagliflozin, etc.)</w:t>
            </w:r>
          </w:p>
        </w:tc>
      </w:tr>
      <w:tr>
        <w:tc>
          <w:tcPr>
            <w:tcW w:type="dxa" w:w="2880"/>
          </w:tcPr>
          <w:p>
            <w:r>
              <w:rPr>
                <w:sz w:val="18"/>
              </w:rPr>
              <w:t>Genomic Triggers</w:t>
            </w:r>
          </w:p>
        </w:tc>
        <w:tc>
          <w:tcPr>
            <w:tcW w:type="dxa" w:w="2880"/>
          </w:tcPr>
          <w:p>
            <w:r>
              <w:rPr>
                <w:sz w:val="18"/>
              </w:rPr>
              <w:t>18</w:t>
            </w:r>
          </w:p>
        </w:tc>
        <w:tc>
          <w:tcPr>
            <w:tcW w:type="dxa" w:w="2880"/>
          </w:tcPr>
          <w:p>
            <w:r>
              <w:rPr>
                <w:sz w:val="18"/>
              </w:rPr>
              <w:t>Imaging-to-genomics patterns with gene panels, urgency, cost, turnaround</w:t>
            </w:r>
          </w:p>
        </w:tc>
      </w:tr>
      <w:tr>
        <w:tc>
          <w:tcPr>
            <w:tcW w:type="dxa" w:w="2880"/>
          </w:tcPr>
          <w:p>
            <w:r>
              <w:rPr>
                <w:sz w:val="18"/>
              </w:rPr>
              <w:t>Family Screening</w:t>
            </w:r>
          </w:p>
        </w:tc>
        <w:tc>
          <w:tcPr>
            <w:tcW w:type="dxa" w:w="2880"/>
          </w:tcPr>
          <w:p>
            <w:r>
              <w:rPr>
                <w:sz w:val="18"/>
              </w:rPr>
              <w:t>16</w:t>
            </w:r>
          </w:p>
        </w:tc>
        <w:tc>
          <w:tcPr>
            <w:tcW w:type="dxa" w:w="2880"/>
          </w:tcPr>
          <w:p>
            <w:r>
              <w:rPr>
                <w:sz w:val="18"/>
              </w:rPr>
              <w:t>Protocols for inherited cardiac conditions</w:t>
            </w:r>
          </w:p>
        </w:tc>
      </w:tr>
      <w:tr>
        <w:tc>
          <w:tcPr>
            <w:tcW w:type="dxa" w:w="2880"/>
          </w:tcPr>
          <w:p>
            <w:r>
              <w:rPr>
                <w:sz w:val="18"/>
              </w:rPr>
              <w:t>Vector Collections</w:t>
            </w:r>
          </w:p>
        </w:tc>
        <w:tc>
          <w:tcPr>
            <w:tcW w:type="dxa" w:w="2880"/>
          </w:tcPr>
          <w:p>
            <w:r>
              <w:rPr>
                <w:sz w:val="18"/>
              </w:rPr>
              <w:t>13</w:t>
            </w:r>
          </w:p>
        </w:tc>
        <w:tc>
          <w:tcPr>
            <w:tcW w:type="dxa" w:w="2880"/>
          </w:tcPr>
          <w:p>
            <w:r>
              <w:rPr>
                <w:sz w:val="18"/>
              </w:rPr>
              <w:t>12 cardiology-specific + 1 shared genomic evidence (3.5M variants)</w:t>
            </w:r>
          </w:p>
        </w:tc>
      </w:tr>
      <w:tr>
        <w:tc>
          <w:tcPr>
            <w:tcW w:type="dxa" w:w="2880"/>
          </w:tcPr>
          <w:p>
            <w:r>
              <w:rPr>
                <w:sz w:val="18"/>
              </w:rPr>
              <w:t>Conditions</w:t>
            </w:r>
          </w:p>
        </w:tc>
        <w:tc>
          <w:tcPr>
            <w:tcW w:type="dxa" w:w="2880"/>
          </w:tcPr>
          <w:p>
            <w:r>
              <w:rPr>
                <w:sz w:val="18"/>
              </w:rPr>
              <w:t>45</w:t>
            </w:r>
          </w:p>
        </w:tc>
        <w:tc>
          <w:tcPr>
            <w:tcW w:type="dxa" w:w="2880"/>
          </w:tcPr>
          <w:p>
            <w:r>
              <w:rPr>
                <w:sz w:val="18"/>
              </w:rPr>
              <w:t>From HCM to SCAD to peripartum cardiomyopathy</w:t>
            </w:r>
          </w:p>
        </w:tc>
      </w:tr>
      <w:tr>
        <w:tc>
          <w:tcPr>
            <w:tcW w:type="dxa" w:w="2880"/>
          </w:tcPr>
          <w:p>
            <w:r>
              <w:rPr>
                <w:sz w:val="18"/>
              </w:rPr>
              <w:t>Genes</w:t>
            </w:r>
          </w:p>
        </w:tc>
        <w:tc>
          <w:tcPr>
            <w:tcW w:type="dxa" w:w="2880"/>
          </w:tcPr>
          <w:p>
            <w:r>
              <w:rPr>
                <w:sz w:val="18"/>
              </w:rPr>
              <w:t>56</w:t>
            </w:r>
          </w:p>
        </w:tc>
        <w:tc>
          <w:tcPr>
            <w:tcW w:type="dxa" w:w="2880"/>
          </w:tcPr>
          <w:p>
            <w:r>
              <w:rPr>
                <w:sz w:val="18"/>
              </w:rPr>
              <w:t>Cardiomyopathy, channelopathy, vascular, lipid, congenital</w:t>
            </w:r>
          </w:p>
        </w:tc>
      </w:tr>
      <w:tr>
        <w:tc>
          <w:tcPr>
            <w:tcW w:type="dxa" w:w="2880"/>
          </w:tcPr>
          <w:p>
            <w:r>
              <w:rPr>
                <w:sz w:val="18"/>
              </w:rPr>
              <w:t>Biomarkers</w:t>
            </w:r>
          </w:p>
        </w:tc>
        <w:tc>
          <w:tcPr>
            <w:tcW w:type="dxa" w:w="2880"/>
          </w:tcPr>
          <w:p>
            <w:r>
              <w:rPr>
                <w:sz w:val="18"/>
              </w:rPr>
              <w:t>29</w:t>
            </w:r>
          </w:p>
        </w:tc>
        <w:tc>
          <w:tcPr>
            <w:tcW w:type="dxa" w:w="2880"/>
          </w:tcPr>
          <w:p>
            <w:r>
              <w:rPr>
                <w:sz w:val="18"/>
              </w:rPr>
              <w:t>Troponin to sST2 to copeptin</w:t>
            </w:r>
          </w:p>
        </w:tc>
      </w:tr>
      <w:tr>
        <w:tc>
          <w:tcPr>
            <w:tcW w:type="dxa" w:w="2880"/>
          </w:tcPr>
          <w:p>
            <w:r>
              <w:rPr>
                <w:sz w:val="18"/>
              </w:rPr>
              <w:t>Drug Classes</w:t>
            </w:r>
          </w:p>
        </w:tc>
        <w:tc>
          <w:tcPr>
            <w:tcW w:type="dxa" w:w="2880"/>
          </w:tcPr>
          <w:p>
            <w:r>
              <w:rPr>
                <w:sz w:val="18"/>
              </w:rPr>
              <w:t>32</w:t>
            </w:r>
          </w:p>
        </w:tc>
        <w:tc>
          <w:tcPr>
            <w:tcW w:type="dxa" w:w="2880"/>
          </w:tcPr>
          <w:p>
            <w:r>
              <w:rPr>
                <w:sz w:val="18"/>
              </w:rPr>
              <w:t>Beta-blockers to tafamidis to inclisiran</w:t>
            </w:r>
          </w:p>
        </w:tc>
      </w:tr>
      <w:tr>
        <w:tc>
          <w:tcPr>
            <w:tcW w:type="dxa" w:w="2880"/>
          </w:tcPr>
          <w:p>
            <w:r>
              <w:rPr>
                <w:sz w:val="18"/>
              </w:rPr>
              <w:t>Guideline Documents</w:t>
            </w:r>
          </w:p>
        </w:tc>
        <w:tc>
          <w:tcPr>
            <w:tcW w:type="dxa" w:w="2880"/>
          </w:tcPr>
          <w:p>
            <w:r>
              <w:rPr>
                <w:sz w:val="18"/>
              </w:rPr>
              <w:t>20</w:t>
            </w:r>
          </w:p>
        </w:tc>
        <w:tc>
          <w:tcPr>
            <w:tcW w:type="dxa" w:w="2880"/>
          </w:tcPr>
          <w:p>
            <w:r>
              <w:rPr>
                <w:sz w:val="18"/>
              </w:rPr>
              <w:t>ACC/AHA, ESC, HRS (2016-2024)</w:t>
            </w:r>
          </w:p>
        </w:tc>
      </w:tr>
      <w:tr>
        <w:tc>
          <w:tcPr>
            <w:tcW w:type="dxa" w:w="2880"/>
          </w:tcPr>
          <w:p>
            <w:r>
              <w:rPr>
                <w:sz w:val="18"/>
              </w:rPr>
              <w:t>Landmark Trials</w:t>
            </w:r>
          </w:p>
        </w:tc>
        <w:tc>
          <w:tcPr>
            <w:tcW w:type="dxa" w:w="2880"/>
          </w:tcPr>
          <w:p>
            <w:r>
              <w:rPr>
                <w:sz w:val="18"/>
              </w:rPr>
              <w:t>39</w:t>
            </w:r>
          </w:p>
        </w:tc>
        <w:tc>
          <w:tcPr>
            <w:tcW w:type="dxa" w:w="2880"/>
          </w:tcPr>
          <w:p>
            <w:r>
              <w:rPr>
                <w:sz w:val="18"/>
              </w:rPr>
              <w:t>PARADIGM-HF to SELECT to TRILUMINATE</w:t>
            </w:r>
          </w:p>
        </w:tc>
      </w:tr>
      <w:tr>
        <w:tc>
          <w:tcPr>
            <w:tcW w:type="dxa" w:w="2880"/>
          </w:tcPr>
          <w:p>
            <w:r>
              <w:rPr>
                <w:sz w:val="18"/>
              </w:rPr>
              <w:t>ECG Criteria</w:t>
            </w:r>
          </w:p>
        </w:tc>
        <w:tc>
          <w:tcPr>
            <w:tcW w:type="dxa" w:w="2880"/>
          </w:tcPr>
          <w:p>
            <w:r>
              <w:rPr>
                <w:sz w:val="18"/>
              </w:rPr>
              <w:t>15</w:t>
            </w:r>
          </w:p>
        </w:tc>
        <w:tc>
          <w:tcPr>
            <w:tcW w:type="dxa" w:w="2880"/>
          </w:tcPr>
          <w:p>
            <w:r>
              <w:rPr>
                <w:sz w:val="18"/>
              </w:rPr>
              <w:t>STEMI to Wellens to Sgarbossa</w:t>
            </w:r>
          </w:p>
        </w:tc>
      </w:tr>
      <w:tr>
        <w:tc>
          <w:tcPr>
            <w:tcW w:type="dxa" w:w="2880"/>
          </w:tcPr>
          <w:p>
            <w:r>
              <w:rPr>
                <w:sz w:val="18"/>
              </w:rPr>
              <w:t>Imaging Protocols</w:t>
            </w:r>
          </w:p>
        </w:tc>
        <w:tc>
          <w:tcPr>
            <w:tcW w:type="dxa" w:w="2880"/>
          </w:tcPr>
          <w:p>
            <w:r>
              <w:rPr>
                <w:sz w:val="18"/>
              </w:rPr>
              <w:t>27</w:t>
            </w:r>
          </w:p>
        </w:tc>
        <w:tc>
          <w:tcPr>
            <w:tcW w:type="dxa" w:w="2880"/>
          </w:tcPr>
          <w:p>
            <w:r>
              <w:rPr>
                <w:sz w:val="18"/>
              </w:rPr>
              <w:t>Echo, CT, CMR, Nuclear (12 echo, 3 CT, 7 CMR, 5 nuclear)</w:t>
            </w:r>
          </w:p>
        </w:tc>
      </w:tr>
      <w:tr>
        <w:tc>
          <w:tcPr>
            <w:tcW w:type="dxa" w:w="2880"/>
          </w:tcPr>
          <w:p>
            <w:r>
              <w:rPr>
                <w:sz w:val="18"/>
              </w:rPr>
              <w:t>FDA AI Devices</w:t>
            </w:r>
          </w:p>
        </w:tc>
        <w:tc>
          <w:tcPr>
            <w:tcW w:type="dxa" w:w="2880"/>
          </w:tcPr>
          <w:p>
            <w:r>
              <w:rPr>
                <w:sz w:val="18"/>
              </w:rPr>
              <w:t>18</w:t>
            </w:r>
          </w:p>
        </w:tc>
        <w:tc>
          <w:tcPr>
            <w:tcW w:type="dxa" w:w="2880"/>
          </w:tcPr>
          <w:p>
            <w:r>
              <w:rPr>
                <w:sz w:val="18"/>
              </w:rPr>
              <w:t>Viz.ai to Us2.ai to HeartFlow</w:t>
            </w:r>
          </w:p>
        </w:tc>
      </w:tr>
      <w:tr>
        <w:tc>
          <w:tcPr>
            <w:tcW w:type="dxa" w:w="2880"/>
          </w:tcPr>
          <w:p>
            <w:r>
              <w:rPr>
                <w:sz w:val="18"/>
              </w:rPr>
              <w:t>Implantable Devices</w:t>
            </w:r>
          </w:p>
        </w:tc>
        <w:tc>
          <w:tcPr>
            <w:tcW w:type="dxa" w:w="2880"/>
          </w:tcPr>
          <w:p>
            <w:r>
              <w:rPr>
                <w:sz w:val="18"/>
              </w:rPr>
              <w:t>11</w:t>
            </w:r>
          </w:p>
        </w:tc>
        <w:tc>
          <w:tcPr>
            <w:tcW w:type="dxa" w:w="2880"/>
          </w:tcPr>
          <w:p>
            <w:r>
              <w:rPr>
                <w:sz w:val="18"/>
              </w:rPr>
              <w:t>ICD to leadless pacer to Impella</w:t>
            </w:r>
          </w:p>
        </w:tc>
      </w:tr>
      <w:tr>
        <w:tc>
          <w:tcPr>
            <w:tcW w:type="dxa" w:w="2880"/>
          </w:tcPr>
          <w:p>
            <w:r>
              <w:rPr>
                <w:sz w:val="18"/>
              </w:rPr>
              <w:t>API Endpoints</w:t>
            </w:r>
          </w:p>
        </w:tc>
        <w:tc>
          <w:tcPr>
            <w:tcW w:type="dxa" w:w="2880"/>
          </w:tcPr>
          <w:p>
            <w:r>
              <w:rPr>
                <w:sz w:val="18"/>
              </w:rPr>
              <w:t>33</w:t>
            </w:r>
          </w:p>
        </w:tc>
        <w:tc>
          <w:tcPr>
            <w:tcW w:type="dxa" w:w="2880"/>
          </w:tcPr>
          <w:p>
            <w:r>
              <w:rPr>
                <w:sz w:val="18"/>
              </w:rPr>
              <w:t>REST API with auth, rate limiting, SSE events</w:t>
            </w:r>
          </w:p>
        </w:tc>
      </w:tr>
      <w:tr>
        <w:tc>
          <w:tcPr>
            <w:tcW w:type="dxa" w:w="2880"/>
          </w:tcPr>
          <w:p>
            <w:r>
              <w:rPr>
                <w:sz w:val="18"/>
              </w:rPr>
              <w:t>Tests</w:t>
            </w:r>
          </w:p>
        </w:tc>
        <w:tc>
          <w:tcPr>
            <w:tcW w:type="dxa" w:w="2880"/>
          </w:tcPr>
          <w:p>
            <w:r>
              <w:rPr>
                <w:sz w:val="18"/>
              </w:rPr>
              <w:t>1,966</w:t>
            </w:r>
          </w:p>
        </w:tc>
        <w:tc>
          <w:tcPr>
            <w:tcW w:type="dxa" w:w="2880"/>
          </w:tcPr>
          <w:p>
            <w:r>
              <w:rPr>
                <w:sz w:val="18"/>
              </w:rPr>
              <w:t>100% pass rate, 1.2s runtime</w:t>
            </w:r>
          </w:p>
        </w:tc>
      </w:tr>
      <w:tr>
        <w:tc>
          <w:tcPr>
            <w:tcW w:type="dxa" w:w="2880"/>
          </w:tcPr>
          <w:p>
            <w:r>
              <w:rPr>
                <w:sz w:val="18"/>
              </w:rPr>
              <w:t>Python LOC</w:t>
            </w:r>
          </w:p>
        </w:tc>
        <w:tc>
          <w:tcPr>
            <w:tcW w:type="dxa" w:w="2880"/>
          </w:tcPr>
          <w:p>
            <w:r>
              <w:rPr>
                <w:sz w:val="18"/>
              </w:rPr>
              <w:t>44,451</w:t>
            </w:r>
          </w:p>
        </w:tc>
        <w:tc>
          <w:tcPr>
            <w:tcW w:type="dxa" w:w="2880"/>
          </w:tcPr>
          <w:p>
            <w:r>
              <w:rPr>
                <w:sz w:val="18"/>
              </w:rPr>
              <w:t>33,001 source + 11,450 test across 58 files</w:t>
            </w:r>
          </w:p>
        </w:tc>
      </w:tr>
      <w:tr>
        <w:tc>
          <w:tcPr>
            <w:tcW w:type="dxa" w:w="2880"/>
          </w:tcPr>
          <w:p>
            <w:r>
              <w:rPr>
                <w:sz w:val="18"/>
              </w:rPr>
              <w:t>Documentation</w:t>
            </w:r>
          </w:p>
        </w:tc>
        <w:tc>
          <w:tcPr>
            <w:tcW w:type="dxa" w:w="2880"/>
          </w:tcPr>
          <w:p>
            <w:r>
              <w:rPr>
                <w:sz w:val="18"/>
              </w:rPr>
              <w:t>9 + 9</w:t>
            </w:r>
          </w:p>
        </w:tc>
        <w:tc>
          <w:tcPr>
            <w:tcW w:type="dxa" w:w="2880"/>
          </w:tcPr>
          <w:p>
            <w:r>
              <w:rPr>
                <w:sz w:val="18"/>
              </w:rPr>
              <w:t>9 markdown + 9 DOCX, deployed to GitHub and Netlify</w:t>
            </w:r>
          </w:p>
        </w:tc>
      </w:tr>
    </w:tbl>
    <w:p/>
    <w:p>
      <w:pPr>
        <w:pStyle w:val="Heading2"/>
      </w:pPr>
      <w:r>
        <w:rPr>
          <w:color w:val="1AAFCC"/>
          <w:sz w:val="28"/>
        </w:rPr>
        <w:t>Bottom Line</w:t>
      </w:r>
    </w:p>
    <w:p>
      <w:r>
        <w:rPr>
          <w:b/>
          <w:color w:val="333333"/>
          <w:sz w:val="20"/>
        </w:rPr>
        <w:t>The individual algorithms are not new — the Pooled Cohort Equations are from 2013, GDMT guidelines from 2022 — but the integration of all of them into a unified RAG-powered agent with cross-modal genomic bridging on accessible hardware is genuinely novel.</w:t>
      </w:r>
    </w:p>
    <w:p>
      <w:r>
        <w:rPr>
          <w:b w:val="0"/>
          <w:color w:val="333333"/>
          <w:sz w:val="20"/>
        </w:rPr>
        <w:t>This agent compresses what currently requires 5-6 separate clinical tools, multiple specialist referrals, and weeks of coordination into a single integrated system. It represents a new category of cardiovascular clinical decision support — one that bridges the gap between bedside cardiology and molecular medicine in seconds rather than weeks.</w:t>
      </w:r>
    </w:p>
    <w:p/>
    <w:p>
      <w:r>
        <w:rPr>
          <w:color w:val="999999"/>
          <w:sz w:val="16"/>
        </w:rPr>
        <w:t>HCLS AI Factory — Cardiology Intelligence Agent v2.1.0 | March 2026 | Adam Jones</w:t>
      </w:r>
      <w:r>
        <w:rPr>
          <w:color w:val="999999"/>
          <w:sz w:val="16"/>
        </w:rPr>
        <w:br/>
        <w:t>Apache 2.0 License | NVIDIA DGX Spark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