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left"/>
      </w:pPr>
      <w:r>
        <w:rPr>
          <w:rFonts w:ascii="Calibri" w:hAnsi="Calibri"/>
          <w:b/>
          <w:color w:val="1B2333"/>
          <w:sz w:val="48"/>
        </w:rPr>
        <w:t>Cardiology Intelligence Agent -- Demo Guide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Version:</w:t>
      </w:r>
      <w:r>
        <w:rPr>
          <w:rFonts w:ascii="Calibri" w:hAnsi="Calibri"/>
          <w:color w:val="333333"/>
          <w:sz w:val="20"/>
        </w:rPr>
        <w:t xml:space="preserve"> 1.0.0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Author:</w:t>
      </w:r>
      <w:r>
        <w:rPr>
          <w:rFonts w:ascii="Calibri" w:hAnsi="Calibri"/>
          <w:color w:val="333333"/>
          <w:sz w:val="20"/>
        </w:rPr>
        <w:t xml:space="preserve"> Adam Jones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Date:</w:t>
      </w:r>
      <w:r>
        <w:rPr>
          <w:rFonts w:ascii="Calibri" w:hAnsi="Calibri"/>
          <w:color w:val="333333"/>
          <w:sz w:val="20"/>
        </w:rPr>
        <w:t xml:space="preserve"> March 2026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License:</w:t>
      </w:r>
      <w:r>
        <w:rPr>
          <w:rFonts w:ascii="Calibri" w:hAnsi="Calibri"/>
          <w:color w:val="333333"/>
          <w:sz w:val="20"/>
        </w:rPr>
        <w:t xml:space="preserve"> Apache 2.0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Table of Contents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1AAFCC"/>
          <w:sz w:val="20"/>
        </w:rPr>
        <w:t>Prerequisites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1AAFCC"/>
          <w:sz w:val="20"/>
        </w:rPr>
        <w:t>Starting the System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1AAFCC"/>
          <w:sz w:val="20"/>
        </w:rPr>
        <w:t>Verifying Health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1AAFCC"/>
          <w:sz w:val="20"/>
        </w:rPr>
        <w:t>Demo Scenarios: 10-Tab Walkthrough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1AAFCC"/>
          <w:sz w:val="20"/>
        </w:rPr>
        <w:t>Sample API Queries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6.  </w:t>
      </w:r>
      <w:r>
        <w:rPr>
          <w:rFonts w:ascii="Calibri" w:hAnsi="Calibri"/>
          <w:color w:val="1AAFCC"/>
          <w:sz w:val="20"/>
        </w:rPr>
        <w:t>Full Demo Scenarios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7.  </w:t>
      </w:r>
      <w:r>
        <w:rPr>
          <w:rFonts w:ascii="Calibri" w:hAnsi="Calibri"/>
          <w:color w:val="1AAFCC"/>
          <w:sz w:val="20"/>
        </w:rPr>
        <w:t>Demo Talking Points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8.  </w:t>
      </w:r>
      <w:r>
        <w:rPr>
          <w:rFonts w:ascii="Calibri" w:hAnsi="Calibri"/>
          <w:color w:val="1AAFCC"/>
          <w:sz w:val="20"/>
        </w:rPr>
        <w:t>Troubleshooting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1. Prerequisites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Hardware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NVIDIA DGX Spark (recommended) or any system with 16GB+ RAM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GPU optional (accelerates embedding generation)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Software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Docker and Docker Compose v2+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Python 3.12+ (for manual setup without Docker)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Anthropic API key with Claude Sonnet 4.6 access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Environment Setup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cd ai_agent_adds/cardiology_intelligence_agent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Copy environment template and add your Anthropic API key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cp .env.example .env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Edit .env and set ANTHROPIC_API_KEY=sk-ant-...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2. Starting the System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Option A: Docker Compose (Recommended)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Start all 6 services (etcd, MinIO, Milvus, Streamlit, API, setup)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up -d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Watch the setup process (creates 12 collections, seeds knowledge graph)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logs -f cardio-setup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Wait for "Cardio Setup complete!" message, then verify: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ps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Expected output: 5 running services (cardio-setup exits after completion).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Option B: Manual Setup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1. Ensure Milvus is running on localhost:19530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2. Install dependencies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pip install -r requirements.txt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3. Create collections and seed data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scripts/setup_collections.py --drop-existing --seed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scripts/seed_knowledge.py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4. Start the API server (port 8126)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uvicorn api.main:app --host 0.0.0.0 --port 8126 &amp;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5. Start the Streamlit UI (port 8536)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streamlit run app/cardio_ui.py --server.port 8536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3. Verifying Health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API Health Check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http://localhost:8126/health | python -m json.tool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Expected response: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json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"status": "healthy",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"collections": 13,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"total_vectors": 0,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"api_port": 8126,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"streamlit_port": 8536,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"rate_limit": "100/min per IP",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"auth": "X-API-Key required"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}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Collection Status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http://localhost:8126/v1/cardio/collections | python -m json.tool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Streamlit UI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Open http://localhost:8536 in a browser. The Dashboard tab should show collection statistics and system health.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4. Demo Scenarios: 10-Tab Walkthrough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Tab 1: Dashboard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What it shows:</w:t>
      </w:r>
      <w:r>
        <w:rPr>
          <w:rFonts w:ascii="Calibri" w:hAnsi="Calibri"/>
          <w:color w:val="333333"/>
          <w:sz w:val="20"/>
        </w:rPr>
        <w:t xml:space="preserve"> System overview with collection statistics, recent query history, service health status, and quick links to all workflows.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Demo action:</w:t>
      </w:r>
      <w:r>
        <w:rPr>
          <w:rFonts w:ascii="Calibri" w:hAnsi="Calibri"/>
          <w:color w:val="333333"/>
          <w:sz w:val="20"/>
        </w:rPr>
        <w:t xml:space="preserve"> Point out the 13 collections, vector counts per collection, and overall system health indicators.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Key talking point:</w:t>
      </w:r>
      <w:r>
        <w:rPr>
          <w:rFonts w:ascii="Calibri" w:hAnsi="Calibri"/>
          <w:color w:val="333333"/>
          <w:sz w:val="20"/>
        </w:rPr>
        <w:t xml:space="preserve"> "This dashboard gives a real-time view of the entire cardiovascular knowledge base -- 12 specialized collections plus 3.5 million genomic variants, all searchable in under 5 seconds."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Tab 2: CAD Assessment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Sample input: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Patient is a 58-year-old male smoker with exertional chest pain.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Coronary CTA shows CAD-RADS 3 with mixed plaque in the LAD.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Calcium score: Agatston 342.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Expected output: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CAD-RADS 3 interpretation (moderate stenosis, 50-69%)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Calcium score percentile for age/sex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Recommendation for functional testing (FFR-CT or stress MPI)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Guideline citation: ACC/AHA 2021 Chest Pain Guidelines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Risk enhancement factors identified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Statin therapy recommendation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Tab 3: Heart Failure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Sample input: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62-year-old female with LVEF 28%, NYHA class III symptoms.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Currently on metoprolol succinate 50mg daily and lisinopril 10mg daily.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Not on MRA or SGLT2i. Labs: K+ 4.2, eGFR 55, NT-proBNP 2,400.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Expected output: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EF classification: HFrEF (LVEF &lt;=40%)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NYHA/ACC staging: Stage C, NYHA III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GDMT optimization:</w:t>
      </w:r>
    </w:p>
    <w:p>
      <w:pPr>
        <w:spacing w:before="20" w:after="20"/>
        <w:ind w:left="864" w:hanging="216"/>
      </w:pPr>
      <w:r>
        <w:rPr>
          <w:rFonts w:ascii="Calibri" w:hAnsi="Calibri"/>
          <w:color w:val="1AAFCC"/>
          <w:sz w:val="18"/>
        </w:rPr>
        <w:t xml:space="preserve">◦  </w:t>
      </w:r>
      <w:r>
        <w:rPr>
          <w:rFonts w:ascii="Calibri" w:hAnsi="Calibri"/>
          <w:color w:val="333333"/>
          <w:sz w:val="20"/>
        </w:rPr>
        <w:t>Switch lisinopril to sacubitril/valsartan (start 24/26mg BID, titrate to 97/103mg BID)</w:t>
      </w:r>
    </w:p>
    <w:p>
      <w:pPr>
        <w:spacing w:before="20" w:after="20"/>
        <w:ind w:left="864" w:hanging="216"/>
      </w:pPr>
      <w:r>
        <w:rPr>
          <w:rFonts w:ascii="Calibri" w:hAnsi="Calibri"/>
          <w:color w:val="1AAFCC"/>
          <w:sz w:val="18"/>
        </w:rPr>
        <w:t xml:space="preserve">◦  </w:t>
      </w:r>
      <w:r>
        <w:rPr>
          <w:rFonts w:ascii="Calibri" w:hAnsi="Calibri"/>
          <w:color w:val="333333"/>
          <w:sz w:val="20"/>
        </w:rPr>
        <w:t>Add spironolactone 12.5-25mg (check K+ at 1 week)</w:t>
      </w:r>
    </w:p>
    <w:p>
      <w:pPr>
        <w:spacing w:before="20" w:after="20"/>
        <w:ind w:left="864" w:hanging="216"/>
      </w:pPr>
      <w:r>
        <w:rPr>
          <w:rFonts w:ascii="Calibri" w:hAnsi="Calibri"/>
          <w:color w:val="1AAFCC"/>
          <w:sz w:val="18"/>
        </w:rPr>
        <w:t xml:space="preserve">◦  </w:t>
      </w:r>
      <w:r>
        <w:rPr>
          <w:rFonts w:ascii="Calibri" w:hAnsi="Calibri"/>
          <w:color w:val="333333"/>
          <w:sz w:val="20"/>
        </w:rPr>
        <w:t>Add dapagliflozin 10mg daily</w:t>
      </w:r>
    </w:p>
    <w:p>
      <w:pPr>
        <w:spacing w:before="20" w:after="20"/>
        <w:ind w:left="864" w:hanging="216"/>
      </w:pPr>
      <w:r>
        <w:rPr>
          <w:rFonts w:ascii="Calibri" w:hAnsi="Calibri"/>
          <w:color w:val="1AAFCC"/>
          <w:sz w:val="18"/>
        </w:rPr>
        <w:t xml:space="preserve">◦  </w:t>
      </w:r>
      <w:r>
        <w:rPr>
          <w:rFonts w:ascii="Calibri" w:hAnsi="Calibri"/>
          <w:color w:val="333333"/>
          <w:sz w:val="20"/>
        </w:rPr>
        <w:t>Uptitrate metoprolol to 200mg daily target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Device evaluation: Consider ICD (LVEF &lt;=35% on GDMT &gt;=90 days)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MAGGIC risk score calculation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Tab 4: Valvular Disease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Sample input: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78-year-old male with severe aortic stenosis.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Echo: Vmax 4.5 m/s, mean gradient 52 mmHg, AVA 0.7 cm2.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Symptomatic with exertional dyspnea and presyncope.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STS predicted mortality 3.2%.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Expected output: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Severity classification: Severe AS (all criteria met)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Intervention criteria: Met (symptomatic severe AS)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Recommendation: AVR indicated (Class I, Level A)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TAVR vs SAVR discussion based on age and surgical risk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EuroSCORE II calculation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Guideline citation: ACC/AHA 2020 VHD Guidelines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Tab 5: Arrhythmia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Sample input: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72-year-old female with newly diagnosed atrial fibrillation.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History of hypertension and diabetes. No prior stroke.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No CHF, no vascular disease.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Expected output: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CHA2DS2-VASc calculation:</w:t>
      </w:r>
    </w:p>
    <w:p>
      <w:pPr>
        <w:spacing w:before="20" w:after="20"/>
        <w:ind w:left="864" w:hanging="216"/>
      </w:pPr>
      <w:r>
        <w:rPr>
          <w:rFonts w:ascii="Calibri" w:hAnsi="Calibri"/>
          <w:color w:val="1AAFCC"/>
          <w:sz w:val="18"/>
        </w:rPr>
        <w:t xml:space="preserve">◦  </w:t>
      </w:r>
      <w:r>
        <w:rPr>
          <w:rFonts w:ascii="Calibri" w:hAnsi="Calibri"/>
          <w:color w:val="333333"/>
          <w:sz w:val="20"/>
        </w:rPr>
        <w:t>CHF: 0, Hypertension: 1, Age &gt;=75: 1, Diabetes: 1, Stroke: 0, Vascular: 0, Age 65-74: 0 (already counted &gt;=75), Female: 1</w:t>
      </w:r>
    </w:p>
    <w:p>
      <w:pPr>
        <w:spacing w:before="20" w:after="20"/>
        <w:ind w:left="864" w:hanging="216"/>
      </w:pPr>
      <w:r>
        <w:rPr>
          <w:rFonts w:ascii="Calibri" w:hAnsi="Calibri"/>
          <w:color w:val="1AAFCC"/>
          <w:sz w:val="18"/>
        </w:rPr>
        <w:t xml:space="preserve">◦  </w:t>
      </w:r>
      <w:r>
        <w:rPr>
          <w:rFonts w:ascii="Calibri" w:hAnsi="Calibri"/>
          <w:color w:val="333333"/>
          <w:sz w:val="20"/>
        </w:rPr>
        <w:t>Score: 4 (annual stroke rate ~4.0%)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Anticoagulation recommended (score &gt;=3 for females)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DOAC preferred over warfarin (Class I, Level A)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HAS-BLED assessment for bleeding risk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Rate vs rhythm control discussion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Guideline citation: ACC/AHA/HRS 2023 AF Guidelines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Tab 6: Cardiac MRI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Sample input: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35-year-old male with unexplained heart failure.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Cardiac MRI shows LVEF 32%, dilated LV (LVIDd 68mm).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Mid-wall linear LGE in the interventricular septum.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Native T1 elevated at 1120ms (1.5T). No ischemic LGE pattern.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Expected output: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LGE pattern: Mid-wall (non-ischemic pattern)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Differential diagnosis: Dilated cardiomyopathy, LMNA-related cardiomyopathy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Cross-modal trigger fired: DCM gene panel recommended</w:t>
      </w:r>
    </w:p>
    <w:p>
      <w:pPr>
        <w:spacing w:before="20" w:after="20"/>
        <w:ind w:left="864" w:hanging="216"/>
      </w:pPr>
      <w:r>
        <w:rPr>
          <w:rFonts w:ascii="Calibri" w:hAnsi="Calibri"/>
          <w:color w:val="1AAFCC"/>
          <w:sz w:val="18"/>
        </w:rPr>
        <w:t xml:space="preserve">◦  </w:t>
      </w:r>
      <w:r>
        <w:rPr>
          <w:rFonts w:ascii="Calibri" w:hAnsi="Calibri"/>
          <w:color w:val="333333"/>
          <w:sz w:val="20"/>
        </w:rPr>
        <w:t>Genes: TTN, LMNA, RBM20, MYH7, DSP, FLNC, BAG3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LMNA highlighted: mid-wall septal LGE strongly associated with LMNA mutations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If LMNA positive: early ICD consideration regardless of LVEF threshold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GDMT initiation recommendations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Guideline citation: ESC 2023 Cardiomyopathy Guidelines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Tab 7: Stress Test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Sample input: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55-year-old male. Exercise stress echo performed.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Achieved 10 METs, peak HR 158 (96% predicted).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New hypokinesis of the mid-anterior and apical segments at peak stress.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Resting LVEF 60%, no significant change with stress.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Expected output: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Duke Treadmill Score calculation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Wall motion abnormality interpretation: Inducible ischemia in LAD territory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Risk stratification: Intermediate-to-high risk based on extent of ischemia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Recommendation: Consider coronary angiography for definitive evaluation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Medical therapy optimization discussion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Guideline citation: ACC/AHA 2021 Chest Pain Guidelines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Tab 8: Prevention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Sample input: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52-year-old White male. Non-smoker, no diabetes.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Total cholesterol 240, HDL 42, LDL 158.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SBP 138, on amlodipine. No prior ASCVD.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Father had MI at age 51.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Expected output: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ASCVD 10-year risk calculation (using Pooled Cohort Equations)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Risk enhancers identified: Family history of premature ASCVD, low HDL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Statin eligibility assessment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If intermediate risk: Consider CAC scoring for shared decision-making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Lifestyle modification recommendations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LDL target discussion based on risk category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Guideline citation: ACC/AHA 2018 Cholesterol Guidelines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Tab 9: Cardio-Oncology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Sample input: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48-year-old female with breast cancer, planned doxorubicin + trastuzumab.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Baseline LVEF 62%, GLS -21%.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No prior cardiac history. HTN controlled on lisinopril.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Cumulative doxorubicin dose planned: 240 mg/m2.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Expected output: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Baseline cardiac assessment: Adequate (LVEF &gt;50%, GLS normal)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Cardiotoxicity risk stratification: High risk (anthracycline + trastuzumab)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Monitoring schedule:</w:t>
      </w:r>
    </w:p>
    <w:p>
      <w:pPr>
        <w:spacing w:before="20" w:after="20"/>
        <w:ind w:left="864" w:hanging="216"/>
      </w:pPr>
      <w:r>
        <w:rPr>
          <w:rFonts w:ascii="Calibri" w:hAnsi="Calibri"/>
          <w:color w:val="1AAFCC"/>
          <w:sz w:val="18"/>
        </w:rPr>
        <w:t xml:space="preserve">◦  </w:t>
      </w:r>
      <w:r>
        <w:rPr>
          <w:rFonts w:ascii="Calibri" w:hAnsi="Calibri"/>
          <w:color w:val="333333"/>
          <w:sz w:val="20"/>
        </w:rPr>
        <w:t>Echo with GLS: baseline, after 2 cycles, after 4 cycles, 3 months post-completion</w:t>
      </w:r>
    </w:p>
    <w:p>
      <w:pPr>
        <w:spacing w:before="20" w:after="20"/>
        <w:ind w:left="864" w:hanging="216"/>
      </w:pPr>
      <w:r>
        <w:rPr>
          <w:rFonts w:ascii="Calibri" w:hAnsi="Calibri"/>
          <w:color w:val="1AAFCC"/>
          <w:sz w:val="18"/>
        </w:rPr>
        <w:t xml:space="preserve">◦  </w:t>
      </w:r>
      <w:r>
        <w:rPr>
          <w:rFonts w:ascii="Calibri" w:hAnsi="Calibri"/>
          <w:color w:val="333333"/>
          <w:sz w:val="20"/>
        </w:rPr>
        <w:t>Troponin: before each cycle</w:t>
      </w:r>
    </w:p>
    <w:p>
      <w:pPr>
        <w:spacing w:before="20" w:after="20"/>
        <w:ind w:left="864" w:hanging="216"/>
      </w:pPr>
      <w:r>
        <w:rPr>
          <w:rFonts w:ascii="Calibri" w:hAnsi="Calibri"/>
          <w:color w:val="1AAFCC"/>
          <w:sz w:val="18"/>
        </w:rPr>
        <w:t xml:space="preserve">◦  </w:t>
      </w:r>
      <w:r>
        <w:rPr>
          <w:rFonts w:ascii="Calibri" w:hAnsi="Calibri"/>
          <w:color w:val="333333"/>
          <w:sz w:val="20"/>
        </w:rPr>
        <w:t>NT-proBNP: baseline and after 4 cycles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Cardioprotective measures:</w:t>
      </w:r>
    </w:p>
    <w:p>
      <w:pPr>
        <w:spacing w:before="20" w:after="20"/>
        <w:ind w:left="864" w:hanging="216"/>
      </w:pPr>
      <w:r>
        <w:rPr>
          <w:rFonts w:ascii="Calibri" w:hAnsi="Calibri"/>
          <w:color w:val="1AAFCC"/>
          <w:sz w:val="18"/>
        </w:rPr>
        <w:t xml:space="preserve">◦  </w:t>
      </w:r>
      <w:r>
        <w:rPr>
          <w:rFonts w:ascii="Calibri" w:hAnsi="Calibri"/>
          <w:color w:val="333333"/>
          <w:sz w:val="20"/>
        </w:rPr>
        <w:t>Continue ACEi (lisinopril) -- cardioprotective</w:t>
      </w:r>
    </w:p>
    <w:p>
      <w:pPr>
        <w:spacing w:before="20" w:after="20"/>
        <w:ind w:left="864" w:hanging="216"/>
      </w:pPr>
      <w:r>
        <w:rPr>
          <w:rFonts w:ascii="Calibri" w:hAnsi="Calibri"/>
          <w:color w:val="1AAFCC"/>
          <w:sz w:val="18"/>
        </w:rPr>
        <w:t xml:space="preserve">◦  </w:t>
      </w:r>
      <w:r>
        <w:rPr>
          <w:rFonts w:ascii="Calibri" w:hAnsi="Calibri"/>
          <w:color w:val="333333"/>
          <w:sz w:val="20"/>
        </w:rPr>
        <w:t>Consider dexrazoxane if cumulative dose &gt;300 mg/m2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CTRCD definitions:</w:t>
      </w:r>
    </w:p>
    <w:p>
      <w:pPr>
        <w:spacing w:before="20" w:after="20"/>
        <w:ind w:left="864" w:hanging="216"/>
      </w:pPr>
      <w:r>
        <w:rPr>
          <w:rFonts w:ascii="Calibri" w:hAnsi="Calibri"/>
          <w:color w:val="1AAFCC"/>
          <w:sz w:val="18"/>
        </w:rPr>
        <w:t xml:space="preserve">◦  </w:t>
      </w:r>
      <w:r>
        <w:rPr>
          <w:rFonts w:ascii="Calibri" w:hAnsi="Calibri"/>
          <w:color w:val="333333"/>
          <w:sz w:val="20"/>
        </w:rPr>
        <w:t>LVEF decline &gt;10% to below 50%</w:t>
      </w:r>
    </w:p>
    <w:p>
      <w:pPr>
        <w:spacing w:before="20" w:after="20"/>
        <w:ind w:left="864" w:hanging="216"/>
      </w:pPr>
      <w:r>
        <w:rPr>
          <w:rFonts w:ascii="Calibri" w:hAnsi="Calibri"/>
          <w:color w:val="1AAFCC"/>
          <w:sz w:val="18"/>
        </w:rPr>
        <w:t xml:space="preserve">◦  </w:t>
      </w:r>
      <w:r>
        <w:rPr>
          <w:rFonts w:ascii="Calibri" w:hAnsi="Calibri"/>
          <w:color w:val="333333"/>
          <w:sz w:val="20"/>
        </w:rPr>
        <w:t>GLS decline &gt;15% from baseline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Guideline citation: ESC 2022 Cardio-Oncology Guidelines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Tab 10: Reports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What it shows:</w:t>
      </w:r>
      <w:r>
        <w:rPr>
          <w:rFonts w:ascii="Calibri" w:hAnsi="Calibri"/>
          <w:color w:val="333333"/>
          <w:sz w:val="20"/>
        </w:rPr>
        <w:t xml:space="preserve"> Report generation interface with export options.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Demo action: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333333"/>
          <w:sz w:val="20"/>
        </w:rPr>
        <w:t>Select a previous query result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333333"/>
          <w:sz w:val="20"/>
        </w:rPr>
        <w:t>Choose export format (PDF, CSV, FHIR)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333333"/>
          <w:sz w:val="20"/>
        </w:rPr>
        <w:t>Generate and download the report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Key talking point:</w:t>
      </w:r>
      <w:r>
        <w:rPr>
          <w:rFonts w:ascii="Calibri" w:hAnsi="Calibri"/>
          <w:color w:val="333333"/>
          <w:sz w:val="20"/>
        </w:rPr>
        <w:t xml:space="preserve"> "Every clinical analysis can be exported as a structured PDF report with full citations, as CSV data for further analysis, or as FHIR R4 resources for EHR integration."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5. Sample API Queries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5.1 General Cardiology Query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-X POST http://localhost:8126/v1/cardio/query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-H "Content-Type: application/json"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-d '{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"question": "What is the recommended GDMT for a patient with HFrEF and LVEF of 25%?",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"patient_context": 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"age": 65,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"sex": "male",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"lvef": 25,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"nyha_class": "nyha_iii",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"medications": ["metoprolol 25mg", "lisinopril 5mg"],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"labs": {"potassium": 4.1, "creatinine": 1.2, "egfr": 58}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}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}' | python -m json.tool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5.2 ASCVD Risk Calculation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-X POST http://localhost:8126/v1/cardio/risk/ascvd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-H "Content-Type: application/json"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-d '{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"score_type": "ascvd",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"age": 55,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"sex": "male",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"race": "white",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"total_cholesterol": 213,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"hdl": 50,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"systolic_bp": 120,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"hypertension_treatment": true,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"diabetes": false,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"smoker": false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}' | python -m json.tool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Expected response: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json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"score_type": "ascvd",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"score_value": 8.4,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"risk_category": "intermediate",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"interpretation": "10-year ASCVD risk of 8.4% (intermediate risk, 7.5-20%). Consider risk enhancers and shared decision-making for statin therapy.",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"recommendations": [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"Discuss statin therapy initiation",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"Consider CAC scoring for risk reclassification",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"Lifestyle modification: diet, exercise, weight management",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"Assess risk-enhancing factors: family history, Lp(a), hsCRP, ABI"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],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"guideline_reference": "2018 AHA/ACC Cholesterol Guideline; Goff 2013 PCE"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}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5.3 CHA2DS2-VASc Score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-X POST http://localhost:8126/v1/cardio/risk/cha2ds2-vasc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-H "Content-Type: application/json"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-d '{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"score_type": "cha2ds2_vasc",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"age": 72,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"sex": "female",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"congestive_heart_failure": false,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"hypertension_treatment": true,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"diabetes": true,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"history_of_stroke": false,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"vascular_disease": false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}' | python -m json.tool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5.4 HAS-BLED Score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-X POST http://localhost:8126/v1/cardio/risk/has-bled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-H "Content-Type: application/json"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-d '{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"score_type": "has_bled",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"age": 72,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"systolic_bp": 155,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"renal_disease": false,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"liver_disease": false,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"history_of_stroke": false,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"history_of_bleeding": false,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"labile_inr": false,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"alcohol_excess": false,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"antiplatelet_nsaid": true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}' | python -m json.tool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5.5 GDMT Optimization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-X POST http://localhost:8126/v1/cardio/gdmt/optimize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-H "Content-Type: application/json"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-d '{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"question": "Optimize GDMT for this patient",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"patient_context": 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"age": 58,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"sex": "male",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"lvef": 30,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"nyha_class": "nyha_ii",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"systolic_bp": 118,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"heart_rate": 72,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"labs": 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"potassium": 4.3,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"creatinine": 1.1,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"egfr": 65,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"nt_pro_bnp": 1800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},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"current_medications": [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{"pillar": "beta_blocker", "drug_name": "carvedilol", "current_dose": "12.5mg BID", "status": "uptitrating"},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{"pillar": "arni_acei_arb", "drug_name": "lisinopril", "current_dose": "10mg daily", "status": "initiated"},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{"pillar": "mra", "drug_name": "", "status": "not_started"},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{"pillar": "sglt2i", "drug_name": "", "status": "not_started"}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}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}' | python -m json.tool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5.6 CAD Assessment Workflow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-X POST http://localhost:8126/v1/cardio/workflow/cad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-H "Content-Type: application/json"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-d '{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"question": "Evaluate this patient with chest pain and positive CTA",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"workflow_type": "cad_assessment",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"patient_context": 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"age": 62,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"sex": "male",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"symptoms": "exertional chest tightness for 3 months",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"cta_findings": "CAD-RADS 4A, 80% stenosis proximal LAD, mixed plaque",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"calcium_score": 520,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"lvef": 55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}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}' | python -m json.tool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5.7 Heart Failure Workflow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-X POST http://localhost:8126/v1/cardio/workflow/heart-failure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-H "Content-Type: application/json"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-d '{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"question": "Classify and manage this heart failure patient",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"workflow_type": "heart_failure",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"patient_context": 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"age": 68,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"sex": "female",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"lvef": 35,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"nyha_class": "nyha_iii",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"bnp": 850,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"labs": {"potassium": 4.5, "creatinine": 1.4, "egfr": 42}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}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}' | python -m json.tool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5.8 Cardio-Oncology Workflow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-X POST http://localhost:8126/v1/cardio/workflow/cardio-onc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-H "Content-Type: application/json"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-d '{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"question": "Assess cardiotoxicity risk and monitoring plan",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"workflow_type": "cardio_oncology",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"patient_context": 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"age": 55,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"sex": "female",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"cancer_therapy": "doxorubicin 60mg/m2 x 4 cycles + trastuzumab",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"baseline_lvef": 60,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"current_lvef": 52,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"baseline_gls": -20.5,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"current_gls": -16.8,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"troponin_trend": "rising from 0.01 to 0.08 ng/mL"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}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}' | python -m json.tool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5.9 PDF Report Generation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-X POST http://localhost:8126/v1/cardio/report/pdf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-H "Content-Type: application/json"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-d '{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"query_id": "last",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"include_risk_scores": true,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"include_gdmt": true,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"include_citations": true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}' --output cardio_report.pdf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6. Full Demo Scenarios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Scenario 1: CAD Patient Journey (5 minutes)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Setup:</w:t>
      </w:r>
      <w:r>
        <w:rPr>
          <w:rFonts w:ascii="Calibri" w:hAnsi="Calibri"/>
          <w:color w:val="333333"/>
          <w:sz w:val="20"/>
        </w:rPr>
        <w:t xml:space="preserve"> 58-year-old male smoker with exertional chest pain.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Prevention Tab</w:t>
      </w:r>
      <w:r>
        <w:rPr>
          <w:rFonts w:ascii="Calibri" w:hAnsi="Calibri"/>
          <w:color w:val="333333"/>
          <w:sz w:val="20"/>
        </w:rPr>
        <w:t>: Calculate ASCVD risk (expected: elevated)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CAD Tab</w:t>
      </w:r>
      <w:r>
        <w:rPr>
          <w:rFonts w:ascii="Calibri" w:hAnsi="Calibri"/>
          <w:color w:val="333333"/>
          <w:sz w:val="20"/>
        </w:rPr>
        <w:t>: Enter CTA findings (CAD-RADS 3, calcium score 342)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API call</w:t>
      </w:r>
      <w:r>
        <w:rPr>
          <w:rFonts w:ascii="Calibri" w:hAnsi="Calibri"/>
          <w:color w:val="333333"/>
          <w:sz w:val="20"/>
        </w:rPr>
        <w:t>: POST /v1/cardio/risk/heart (HEART score for chest pain)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Talking point</w:t>
      </w:r>
      <w:r>
        <w:rPr>
          <w:rFonts w:ascii="Calibri" w:hAnsi="Calibri"/>
          <w:color w:val="333333"/>
          <w:sz w:val="20"/>
        </w:rPr>
        <w:t>: "The system synthesizes risk scores, imaging findings, and guidelines into a unified recommendation -- something that typically requires consulting multiple reference sources."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Scenario 2: HF Patient Needing GDMT (5 minutes)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Setup:</w:t>
      </w:r>
      <w:r>
        <w:rPr>
          <w:rFonts w:ascii="Calibri" w:hAnsi="Calibri"/>
          <w:color w:val="333333"/>
          <w:sz w:val="20"/>
        </w:rPr>
        <w:t xml:space="preserve"> 62-year-old female, LVEF 28%, NYHA III, on suboptimal GDMT.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Heart Failure Tab</w:t>
      </w:r>
      <w:r>
        <w:rPr>
          <w:rFonts w:ascii="Calibri" w:hAnsi="Calibri"/>
          <w:color w:val="333333"/>
          <w:sz w:val="20"/>
        </w:rPr>
        <w:t>: Enter patient data (LVEF 28%, on low-dose metoprolol + lisinopril only)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Observe GDMT optimization</w:t>
      </w:r>
      <w:r>
        <w:rPr>
          <w:rFonts w:ascii="Calibri" w:hAnsi="Calibri"/>
          <w:color w:val="333333"/>
          <w:sz w:val="20"/>
        </w:rPr>
        <w:t>: System recommends switching to ARNI, adding MRA + SGLT2i, uptitrating BB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Risk Tab</w:t>
      </w:r>
      <w:r>
        <w:rPr>
          <w:rFonts w:ascii="Calibri" w:hAnsi="Calibri"/>
          <w:color w:val="333333"/>
          <w:sz w:val="20"/>
        </w:rPr>
        <w:t>: Calculate MAGGIC score for mortality risk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Talking point</w:t>
      </w:r>
      <w:r>
        <w:rPr>
          <w:rFonts w:ascii="Calibri" w:hAnsi="Calibri"/>
          <w:color w:val="333333"/>
          <w:sz w:val="20"/>
        </w:rPr>
        <w:t>: "Studies show fewer than 25% of eligible patients are on target-dose GDMT. This optimizer identifies every gap and generates specific titration guidance with safety checks."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Scenario 3: AF Patient Needing Anticoagulation (3 minutes)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Setup:</w:t>
      </w:r>
      <w:r>
        <w:rPr>
          <w:rFonts w:ascii="Calibri" w:hAnsi="Calibri"/>
          <w:color w:val="333333"/>
          <w:sz w:val="20"/>
        </w:rPr>
        <w:t xml:space="preserve"> 72-year-old female with newly diagnosed AF.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Arrhythmia Tab</w:t>
      </w:r>
      <w:r>
        <w:rPr>
          <w:rFonts w:ascii="Calibri" w:hAnsi="Calibri"/>
          <w:color w:val="333333"/>
          <w:sz w:val="20"/>
        </w:rPr>
        <w:t>: Enter patient demographics and comorbidities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CHA2DS2-VASc</w:t>
      </w:r>
      <w:r>
        <w:rPr>
          <w:rFonts w:ascii="Calibri" w:hAnsi="Calibri"/>
          <w:color w:val="333333"/>
          <w:sz w:val="20"/>
        </w:rPr>
        <w:t>: Automatic calculation (score 4, stroke rate 4.0%)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HAS-BLED</w:t>
      </w:r>
      <w:r>
        <w:rPr>
          <w:rFonts w:ascii="Calibri" w:hAnsi="Calibri"/>
          <w:color w:val="333333"/>
          <w:sz w:val="20"/>
        </w:rPr>
        <w:t>: Automatic calculation for bleeding risk assessment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Anticoagulation recommendation</w:t>
      </w:r>
      <w:r>
        <w:rPr>
          <w:rFonts w:ascii="Calibri" w:hAnsi="Calibri"/>
          <w:color w:val="333333"/>
          <w:sz w:val="20"/>
        </w:rPr>
        <w:t>: DOAC recommended with specific drug suggestions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b/>
          <w:color w:val="333333"/>
          <w:sz w:val="20"/>
        </w:rPr>
        <w:t>Talking point</w:t>
      </w:r>
      <w:r>
        <w:rPr>
          <w:rFonts w:ascii="Calibri" w:hAnsi="Calibri"/>
          <w:color w:val="333333"/>
          <w:sz w:val="20"/>
        </w:rPr>
        <w:t>: "Both scores are calculated simultaneously, and the recommendation weighs stroke risk against bleeding risk -- exactly as the 2023 AF guidelines instruct."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Scenario 4: Cardio-Oncology Surveillance (5 minutes)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Setup:</w:t>
      </w:r>
      <w:r>
        <w:rPr>
          <w:rFonts w:ascii="Calibri" w:hAnsi="Calibri"/>
          <w:color w:val="333333"/>
          <w:sz w:val="20"/>
        </w:rPr>
        <w:t xml:space="preserve"> 48-year-old female with breast cancer starting doxorubicin + trastuzumab.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Cardio-Oncology Tab</w:t>
      </w:r>
      <w:r>
        <w:rPr>
          <w:rFonts w:ascii="Calibri" w:hAnsi="Calibri"/>
          <w:color w:val="333333"/>
          <w:sz w:val="20"/>
        </w:rPr>
        <w:t>: Enter baseline cardiac assessment (LVEF 62%, GLS -21%)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Risk stratification</w:t>
      </w:r>
      <w:r>
        <w:rPr>
          <w:rFonts w:ascii="Calibri" w:hAnsi="Calibri"/>
          <w:color w:val="333333"/>
          <w:sz w:val="20"/>
        </w:rPr>
        <w:t>: System identifies high cardiotoxicity risk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Monitoring schedule</w:t>
      </w:r>
      <w:r>
        <w:rPr>
          <w:rFonts w:ascii="Calibri" w:hAnsi="Calibri"/>
          <w:color w:val="333333"/>
          <w:sz w:val="20"/>
        </w:rPr>
        <w:t>: Auto-generated per ESC 2022 guidelines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Later visit</w:t>
      </w:r>
      <w:r>
        <w:rPr>
          <w:rFonts w:ascii="Calibri" w:hAnsi="Calibri"/>
          <w:color w:val="333333"/>
          <w:sz w:val="20"/>
        </w:rPr>
        <w:t>: Enter follow-up data showing GLS decline to -16.8% (&gt;15% decline)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b/>
          <w:color w:val="333333"/>
          <w:sz w:val="20"/>
        </w:rPr>
        <w:t>CTRCD alert</w:t>
      </w:r>
      <w:r>
        <w:rPr>
          <w:rFonts w:ascii="Calibri" w:hAnsi="Calibri"/>
          <w:color w:val="333333"/>
          <w:sz w:val="20"/>
        </w:rPr>
        <w:t>: System flags subclinical cardiotoxicity and recommends cardiology consultation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6.  </w:t>
      </w:r>
      <w:r>
        <w:rPr>
          <w:rFonts w:ascii="Calibri" w:hAnsi="Calibri"/>
          <w:b/>
          <w:color w:val="333333"/>
          <w:sz w:val="20"/>
        </w:rPr>
        <w:t>Talking point</w:t>
      </w:r>
      <w:r>
        <w:rPr>
          <w:rFonts w:ascii="Calibri" w:hAnsi="Calibri"/>
          <w:color w:val="333333"/>
          <w:sz w:val="20"/>
        </w:rPr>
        <w:t>: "The system tracks GLS decline -- a more sensitive marker than LVEF alone. A 15% relative decline triggers an alert before overt cardiac dysfunction occurs."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Scenario 5: Cross-Modal Genomic Integration (3 minutes)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Setup:</w:t>
      </w:r>
      <w:r>
        <w:rPr>
          <w:rFonts w:ascii="Calibri" w:hAnsi="Calibri"/>
          <w:color w:val="333333"/>
          <w:sz w:val="20"/>
        </w:rPr>
        <w:t xml:space="preserve"> 35-year-old with unexplained LVH on echocardiogram.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Cardiac MRI Tab</w:t>
      </w:r>
      <w:r>
        <w:rPr>
          <w:rFonts w:ascii="Calibri" w:hAnsi="Calibri"/>
          <w:color w:val="333333"/>
          <w:sz w:val="20"/>
        </w:rPr>
        <w:t>: Enter MRI findings (wall thickness 19mm, patchy LGE)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Cross-modal trigger</w:t>
      </w:r>
      <w:r>
        <w:rPr>
          <w:rFonts w:ascii="Calibri" w:hAnsi="Calibri"/>
          <w:color w:val="333333"/>
          <w:sz w:val="20"/>
        </w:rPr>
        <w:t>: System recommends HCM gene panel + Fabry screening (18 genomic triggers available)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Show genomic_evidence integration</w:t>
      </w:r>
      <w:r>
        <w:rPr>
          <w:rFonts w:ascii="Calibri" w:hAnsi="Calibri"/>
          <w:color w:val="333333"/>
          <w:sz w:val="20"/>
        </w:rPr>
        <w:t>: System queries 3.5M variant collection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Talking point</w:t>
      </w:r>
      <w:r>
        <w:rPr>
          <w:rFonts w:ascii="Calibri" w:hAnsi="Calibri"/>
          <w:color w:val="333333"/>
          <w:sz w:val="20"/>
        </w:rPr>
        <w:t>: "This is the power of the HCLS AI Factory's three-stage pipeline. An imaging finding on the cardiology agent automatically triggers a query against the genomics pipeline's variant database -- connecting imaging to genomics in seconds."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Scenario 6: Acute Decompensated Heart Failure (3 minutes)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Setup:</w:t>
      </w:r>
      <w:r>
        <w:rPr>
          <w:rFonts w:ascii="Calibri" w:hAnsi="Calibri"/>
          <w:color w:val="333333"/>
          <w:sz w:val="20"/>
        </w:rPr>
        <w:t xml:space="preserve"> 72-year-old male presenting with acute dyspnea, orthopnea, and lower extremity edema.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Enter via API</w:t>
      </w:r>
      <w:r>
        <w:rPr>
          <w:rFonts w:ascii="Calibri" w:hAnsi="Calibri"/>
          <w:color w:val="333333"/>
          <w:sz w:val="20"/>
        </w:rPr>
        <w:t>: POST /v1/cardio/workflow/acute-dhf with hemodynamic data (PCWP 28, CI 1.8)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Hemodynamic profiling</w:t>
      </w:r>
      <w:r>
        <w:rPr>
          <w:rFonts w:ascii="Calibri" w:hAnsi="Calibri"/>
          <w:color w:val="333333"/>
          <w:sz w:val="20"/>
        </w:rPr>
        <w:t>: System classifies as "Cold-Wet" (Profile C) using 14 hemodynamic parameters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Management</w:t>
      </w:r>
      <w:r>
        <w:rPr>
          <w:rFonts w:ascii="Calibri" w:hAnsi="Calibri"/>
          <w:color w:val="333333"/>
          <w:sz w:val="20"/>
        </w:rPr>
        <w:t>: IV diuretic dosing, inotrope selection, mechanical support evaluation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Talking point</w:t>
      </w:r>
      <w:r>
        <w:rPr>
          <w:rFonts w:ascii="Calibri" w:hAnsi="Calibri"/>
          <w:color w:val="333333"/>
          <w:sz w:val="20"/>
        </w:rPr>
        <w:t>: "The acute decompensated HF workflow integrates 14 hemodynamic parameters and 6 cath lab protocols to classify shock profiles and guide escalation decisions."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Scenario 7: Post-MI Risk Management (3 minutes)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Setup:</w:t>
      </w:r>
      <w:r>
        <w:rPr>
          <w:rFonts w:ascii="Calibri" w:hAnsi="Calibri"/>
          <w:color w:val="333333"/>
          <w:sz w:val="20"/>
        </w:rPr>
        <w:t xml:space="preserve"> 55-year-old male, 48 hours post-STEMI with successful PCI to LAD.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Enter via API</w:t>
      </w:r>
      <w:r>
        <w:rPr>
          <w:rFonts w:ascii="Calibri" w:hAnsi="Calibri"/>
          <w:color w:val="333333"/>
          <w:sz w:val="20"/>
        </w:rPr>
        <w:t>: POST /v1/cardio/workflow/post-mi with post-MI context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Risk stratification</w:t>
      </w:r>
      <w:r>
        <w:rPr>
          <w:rFonts w:ascii="Calibri" w:hAnsi="Calibri"/>
          <w:color w:val="333333"/>
          <w:sz w:val="20"/>
        </w:rPr>
        <w:t>: LVEF assessment, arrhythmia risk, mechanical complications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Secondary prevention</w:t>
      </w:r>
      <w:r>
        <w:rPr>
          <w:rFonts w:ascii="Calibri" w:hAnsi="Calibri"/>
          <w:color w:val="333333"/>
          <w:sz w:val="20"/>
        </w:rPr>
        <w:t>: Dual antiplatelet, high-intensity statin, beta-blocker, ACEi/ARB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Talking point</w:t>
      </w:r>
      <w:r>
        <w:rPr>
          <w:rFonts w:ascii="Calibri" w:hAnsi="Calibri"/>
          <w:color w:val="333333"/>
          <w:sz w:val="20"/>
        </w:rPr>
        <w:t>: "The post-MI workflow generates a complete secondary prevention plan with 39 landmark trial references and specific follow-up imaging timing."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Scenario 8: Myocarditis Workup (3 minutes)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Setup:</w:t>
      </w:r>
      <w:r>
        <w:rPr>
          <w:rFonts w:ascii="Calibri" w:hAnsi="Calibri"/>
          <w:color w:val="333333"/>
          <w:sz w:val="20"/>
        </w:rPr>
        <w:t xml:space="preserve"> 28-year-old male with chest pain and troponin elevation 2 weeks after viral illness.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Enter via API</w:t>
      </w:r>
      <w:r>
        <w:rPr>
          <w:rFonts w:ascii="Calibri" w:hAnsi="Calibri"/>
          <w:color w:val="333333"/>
          <w:sz w:val="20"/>
        </w:rPr>
        <w:t>: POST /v1/cardio/workflow/myocarditis-pericarditis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Lake Louise criteria</w:t>
      </w:r>
      <w:r>
        <w:rPr>
          <w:rFonts w:ascii="Calibri" w:hAnsi="Calibri"/>
          <w:color w:val="333333"/>
          <w:sz w:val="20"/>
        </w:rPr>
        <w:t>: System evaluates CMR findings against diagnostic criteria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Activity restriction</w:t>
      </w:r>
      <w:r>
        <w:rPr>
          <w:rFonts w:ascii="Calibri" w:hAnsi="Calibri"/>
          <w:color w:val="333333"/>
          <w:sz w:val="20"/>
        </w:rPr>
        <w:t>: Evidence-based return-to-activity guidance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Talking point</w:t>
      </w:r>
      <w:r>
        <w:rPr>
          <w:rFonts w:ascii="Calibri" w:hAnsi="Calibri"/>
          <w:color w:val="333333"/>
          <w:sz w:val="20"/>
        </w:rPr>
        <w:t>: "The myocarditis workflow applies the updated Lake Louise criteria and provides structured return-to-activity protocols based on current ACC/AHA recommendations."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7. Demo Talking Points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Architecture Highlights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"13 specialized Milvus vector collections, each tuned for a specific cardiovascular data type"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"6 validated risk calculators using published coefficients -- not approximations"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"4-pillar GDMT optimizer that checks every contraindication and generates specific titration steps"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"Cross-modal triggers that bridge cardiac imaging to genomic testing"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"All running on a $3,999 DGX Spark -- no cloud dependency, no data leaving the building"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Clinical Value Propositions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"End-to-end from patient question to guideline-grounded recommendation in under 5 seconds"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"Every recommendation cites specific ACC/AHA/ESC guidelines with class and evidence level"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"Connects to the HCLS AI Factory's 3.5 million genomic variants for integrated precision medicine"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"Knowledge graph covers 45 conditions, 56 genes, 32 drug classes, 29 biomarkers"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"Open source under Apache 2.0 -- any institution can deploy and customize"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Differentiators from Existing Tools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"Unlike PubMed: semantic search across structured clinical data, not just keywords"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"Unlike UpToDate: patient-specific reasoning with computed risk scores"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"Unlike commercial CVIS: $3,999 not $500K, with genomic integration"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"Unlike general AI: validated calculators, citation provenance, no hallucination of clinical values"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8. Troubleshooting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Milvus Connection Failed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Check if Milvus is running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http://localhost:9091/healthz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If not running: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restart milvus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Wait 30 seconds, then check again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http://localhost:9091/healthz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API Not Responding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Check API logs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logs cardio-api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Restart API service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restart cardio-api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Streamlit UI Not Loading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Check Streamlit logs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logs cardio-ui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Verify port is not in use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lsof -i :8536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Restart Streamlit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compose restart cardio-ui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LLM Responses Not Working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Verify API key is set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echo $CARDIO_ANTHROPIC_API_KEY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Test Anthropic connectivity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https://api.anthropic.com/v1/messages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-H "x-api-key: $CARDIO_ANTHROPIC_API_KEY"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-H "anthropic-version: 2023-06-01"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-H "content-type: application/json"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-d '{"model": "claude-sonnet-4-6", "max_tokens": 10, "messages": [{"role": "user", "content": "Hello"}]}'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Note: Without an API key, the system operates in search-only mode -- vector search and risk calculators work, but LLM synthesis is unavailable.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Collections Not Created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Re-run setup manually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scripts/setup_collections.py --drop-existing --seed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scripts/seed_knowledge.py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Confidential — For Internal Use    |    Page </w:t>
    </w:r>
    <w:fldSimple w:instr=" PAGE \* MERGEFORMAT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666666"/>
        <w:sz w:val="16"/>
      </w:rPr>
      <w:t>HCLS AI Factory — Cardiology Intelligence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