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left"/>
      </w:pPr>
      <w:r>
        <w:rPr>
          <w:rFonts w:ascii="Calibri" w:hAnsi="Calibri"/>
          <w:b/>
          <w:color w:val="1B2333"/>
          <w:sz w:val="48"/>
        </w:rPr>
        <w:t>Cardiology Intelligence Agent -- Learning Guide: Advanced Topics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Version:</w:t>
      </w:r>
      <w:r>
        <w:rPr>
          <w:rFonts w:ascii="Calibri" w:hAnsi="Calibri"/>
          <w:color w:val="333333"/>
          <w:sz w:val="20"/>
        </w:rPr>
        <w:t xml:space="preserve"> 1.0.0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Author:</w:t>
      </w:r>
      <w:r>
        <w:rPr>
          <w:rFonts w:ascii="Calibri" w:hAnsi="Calibri"/>
          <w:color w:val="333333"/>
          <w:sz w:val="20"/>
        </w:rPr>
        <w:t xml:space="preserve"> Adam Jones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Date:</w:t>
      </w:r>
      <w:r>
        <w:rPr>
          <w:rFonts w:ascii="Calibri" w:hAnsi="Calibri"/>
          <w:color w:val="333333"/>
          <w:sz w:val="20"/>
        </w:rPr>
        <w:t xml:space="preserve"> March 2026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License:</w:t>
      </w:r>
      <w:r>
        <w:rPr>
          <w:rFonts w:ascii="Calibri" w:hAnsi="Calibri"/>
          <w:color w:val="333333"/>
          <w:sz w:val="20"/>
        </w:rPr>
        <w:t xml:space="preserve"> Apache 2.0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Advanced cardiovascular concepts for users who have completed the Foundations guide and want deeper understanding of the clinical logic embedded in the Cardiology Intelligence Agent.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Table of Contents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1AAFCC"/>
          <w:sz w:val="20"/>
        </w:rPr>
        <w:t>Cardiac MRI Tissue Characterization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1AAFCC"/>
          <w:sz w:val="20"/>
        </w:rPr>
        <w:t>Hemodynamic Assessment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1AAFCC"/>
          <w:sz w:val="20"/>
        </w:rPr>
        <w:t>Valvular Quantification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1AAFCC"/>
          <w:sz w:val="20"/>
        </w:rPr>
        <w:t>Channelopathy Genetics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color w:val="1AAFCC"/>
          <w:sz w:val="20"/>
        </w:rPr>
        <w:t>Cross-Modal Imaging-Genomics Integration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6.  </w:t>
      </w:r>
      <w:r>
        <w:rPr>
          <w:rFonts w:ascii="Calibri" w:hAnsi="Calibri"/>
          <w:color w:val="1AAFCC"/>
          <w:sz w:val="20"/>
        </w:rPr>
        <w:t>Advanced Risk Stratification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7.  </w:t>
      </w:r>
      <w:r>
        <w:rPr>
          <w:rFonts w:ascii="Calibri" w:hAnsi="Calibri"/>
          <w:color w:val="1AAFCC"/>
          <w:sz w:val="20"/>
        </w:rPr>
        <w:t>Cardio-Oncology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8.  </w:t>
      </w:r>
      <w:r>
        <w:rPr>
          <w:rFonts w:ascii="Calibri" w:hAnsi="Calibri"/>
          <w:color w:val="1AAFCC"/>
          <w:sz w:val="20"/>
        </w:rPr>
        <w:t>Multi-Collection RAG Optimization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1. Cardiac MRI Tissue Characterization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1.1 Why Cardiac MRI Is Transformative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Cardiac MRI (CMR) is the only imaging modality that provides simultaneous assessment of: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Structure</w:t>
      </w:r>
      <w:r>
        <w:rPr>
          <w:rFonts w:ascii="Calibri" w:hAnsi="Calibri"/>
          <w:color w:val="333333"/>
          <w:sz w:val="20"/>
        </w:rPr>
        <w:t>: Chamber volumes, wall thickness, mass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Function</w:t>
      </w:r>
      <w:r>
        <w:rPr>
          <w:rFonts w:ascii="Calibri" w:hAnsi="Calibri"/>
          <w:color w:val="333333"/>
          <w:sz w:val="20"/>
        </w:rPr>
        <w:t>: Ejection fraction, regional wall motion, strain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Tissue composition</w:t>
      </w:r>
      <w:r>
        <w:rPr>
          <w:rFonts w:ascii="Calibri" w:hAnsi="Calibri"/>
          <w:color w:val="333333"/>
          <w:sz w:val="20"/>
        </w:rPr>
        <w:t>: Edema (T2), fibrosis (LGE, T1, ECV), iron overload (T2*)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Perfusion</w:t>
      </w:r>
      <w:r>
        <w:rPr>
          <w:rFonts w:ascii="Calibri" w:hAnsi="Calibri"/>
          <w:color w:val="333333"/>
          <w:sz w:val="20"/>
        </w:rPr>
        <w:t>: Myocardial blood flow (stress/rest)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Flow</w:t>
      </w:r>
      <w:r>
        <w:rPr>
          <w:rFonts w:ascii="Calibri" w:hAnsi="Calibri"/>
          <w:color w:val="333333"/>
          <w:sz w:val="20"/>
        </w:rPr>
        <w:t>: 4D flow for valvular assessment and shunt quantification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1.2 Late Gadolinium Enhancement (LGE)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LGE is the gold standard for detecting myocardial fibrosis and scar. Gadolinium contrast accumulates in areas of expanded extracellular space (fibrosis, necrosis, infiltration).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LGE Patterns and Differential Diagnosis: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Agent Enum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Associated Conditions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Cross-Modal Trigger?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**Subendocardial**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`LGEPattern.SUBENDOCARDIAL`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Ischemic heart disease (coronary territory)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 (known etiology)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**Transmural**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`LGEPattern.TRANSMURAL`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Completed MI (full-thickness infarction)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**Mid-wall**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`LGEPattern.MID_WALL`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DCM (especially LMNA, TTN), myocarditis, sarcoidosis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Yes: DCM gene panel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**Epicardial**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`LGEPattern.EPICARDIAL`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Myocarditis, sarcoidosis, Chagas disease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Sometimes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**RV insertion point**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`LGEPattern.RV_INSERTION`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Pulmonary hypertension (mechanical stress), HCM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Depends on context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**Patchy**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`LGEPattern.PATCHY`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HCM, sarcoidosis, Anderson-Fabry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Yes: HCM or Fabry panel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**None**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`LGEPattern.NONE`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Normal, HFpEF, early disease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N/A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Key clinical principle:</w:t>
      </w:r>
      <w:r>
        <w:rPr>
          <w:rFonts w:ascii="Calibri" w:hAnsi="Calibri"/>
          <w:color w:val="333333"/>
          <w:sz w:val="20"/>
        </w:rPr>
        <w:t xml:space="preserve"> The LGE pattern distinguishes ischemic from non-ischemic etiologies: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Subendocardial/transmural in a coronary territory</w:t>
      </w:r>
      <w:r>
        <w:rPr>
          <w:rFonts w:ascii="Calibri" w:hAnsi="Calibri"/>
          <w:color w:val="333333"/>
          <w:sz w:val="20"/>
        </w:rPr>
        <w:t xml:space="preserve"> = ischemic (follows coronary distribution)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Mid-wall, epicardial, or patchy</w:t>
      </w:r>
      <w:r>
        <w:rPr>
          <w:rFonts w:ascii="Calibri" w:hAnsi="Calibri"/>
          <w:color w:val="333333"/>
          <w:sz w:val="20"/>
        </w:rPr>
        <w:t xml:space="preserve"> = non-ischemic (does not follow coronary distribution)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distinction is critical because non-ischemic patterns often warrant genetic testing (cross-modal trigger), while ischemic patterns warrant coronary evaluation.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1.3 T1 Mapping and Extracellular Volume (ECV)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T1 mapping quantifies the T1 relaxation time of myocardial tissue, which reflects tissue composition: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Normal (1.5T)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Elevated In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Reduced In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**Native T1**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950-1050 ms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Edema, fibrosis, amyloid, iron overload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Anderson-Fabry (lipid storage)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**Post-contrast T1**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400-500 ms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Fibrosis (shorter post-contrast T1)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**ECV**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25-30%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Diffuse fibrosis, amyloid, edema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Athletic heart (lower normal)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Why this matters for the system: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Cardiac amyloidosis</w:t>
      </w:r>
      <w:r>
        <w:rPr>
          <w:rFonts w:ascii="Calibri" w:hAnsi="Calibri"/>
          <w:color w:val="333333"/>
          <w:sz w:val="20"/>
        </w:rPr>
        <w:t>: Elevated native T1 (&gt;1100ms) + very high ECV (&gt;40%) + diffuse LGE + clinical features triggers the amyloidosis cross-modal trigger (TTR gene testing)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Anderson-Fabry disease</w:t>
      </w:r>
      <w:r>
        <w:rPr>
          <w:rFonts w:ascii="Calibri" w:hAnsi="Calibri"/>
          <w:color w:val="333333"/>
          <w:sz w:val="20"/>
        </w:rPr>
        <w:t>: Paradoxically LOW native T1 (&lt;900ms at 1.5T) due to lipid storage in myocytes, combined with LVH, triggers GLA gene testing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Myocarditis</w:t>
      </w:r>
      <w:r>
        <w:rPr>
          <w:rFonts w:ascii="Calibri" w:hAnsi="Calibri"/>
          <w:color w:val="333333"/>
          <w:sz w:val="20"/>
        </w:rPr>
        <w:t>: Elevated T2 (edema) + elevated T1/ECV + non-ischemic LGE = Lake Louise Criteria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1.4 T2 Mapping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T2 mapping detects myocardial edema (acute inflammation):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Normal (1.5T)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**T2**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~52 ms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&gt;55-60 ms suggests active edema/inflammation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Used in combination with T1 and LGE for the </w:t>
      </w:r>
      <w:r>
        <w:rPr>
          <w:rFonts w:ascii="Calibri" w:hAnsi="Calibri"/>
          <w:b/>
          <w:color w:val="333333"/>
          <w:sz w:val="20"/>
        </w:rPr>
        <w:t>2018 Updated Lake Louise Criteria</w:t>
      </w:r>
      <w:r>
        <w:rPr>
          <w:rFonts w:ascii="Calibri" w:hAnsi="Calibri"/>
          <w:color w:val="333333"/>
          <w:sz w:val="20"/>
        </w:rPr>
        <w:t xml:space="preserve"> for myocarditis diagnosis: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At least 1 T2-based criterion</w:t>
      </w:r>
      <w:r>
        <w:rPr>
          <w:rFonts w:ascii="Calibri" w:hAnsi="Calibri"/>
          <w:color w:val="333333"/>
          <w:sz w:val="20"/>
        </w:rPr>
        <w:t xml:space="preserve"> (edema): Elevated T2, T2 mapping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Plus at least 1 T1-based criterion</w:t>
      </w:r>
      <w:r>
        <w:rPr>
          <w:rFonts w:ascii="Calibri" w:hAnsi="Calibri"/>
          <w:color w:val="333333"/>
          <w:sz w:val="20"/>
        </w:rPr>
        <w:t xml:space="preserve"> (necrosis/fibrosis): Elevated T1, elevated ECV, non-ischemic LGE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Supportive:</w:t>
      </w:r>
      <w:r>
        <w:rPr>
          <w:rFonts w:ascii="Calibri" w:hAnsi="Calibri"/>
          <w:color w:val="333333"/>
          <w:sz w:val="20"/>
        </w:rPr>
        <w:t xml:space="preserve"> Pericardial effusion, LV systolic dysfunction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1.5 Parametric Mapping Clinical Decision Tree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Unexplained Cardiomyopathy on CMR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T1 elevated + ECV very high (&gt;40%) + diffuse LGE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--&gt; AMYLOIDOSIS (trigger: TTR gene, bone scan)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T1 LOW (&lt;900ms at 1.5T) + LVH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--&gt; FABRY DISEASE (trigger: GLA gene)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T2 elevated + T1 elevated + non-ischemic LGE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--&gt; MYOCARDITIS (no genetic trigger; follow Lake Louise)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Mid-wall LGE + dilated LV + reduced EF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--&gt; DCM (trigger: TTN, LMNA, RBM20 gene panel)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RV dilation + RV fatty replacement + arrhythmias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--&gt; ARVC (trigger: PKP2, DSP, DSG2 gene panel)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Patchy LGE + FDG-PET uptake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--&gt; SARCOIDOSIS (no genetic trigger; biopsy)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Asymmetric LVH + patchy LGE at RV insertion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--&gt; HCM (trigger: MYH7, MYBPC3 gene panel)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2. Hemodynamic Assessment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2.1 Right Heart Catheterization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Right heart catheterization (RHC) provides definitive hemodynamic data: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Normal Value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Clinical Significance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**RA pressure**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0-8 mmHg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Elevated in RV failure, tamponade, constrictive pericarditis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**RV pressure**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15-30/0-8 mmHg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Elevated in PH, PS, RV failure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**PA pressure**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15-30/4-12 mmHg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mPAP &gt;20 = pulmonary hypertension (2022 definition)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**PCWP**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4-12 mmHg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&gt;15 = elevated left-sided filling pressures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**Cardiac output**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4-8 L/min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&lt;4 = low output (cardiogenic shock if + hypoperfusion)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**Cardiac index**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&gt;2.2 L/min/m2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&lt;2.2 = reduced; &lt;1.8 = severely reduced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**PVR**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&lt;3 Wood units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&gt;3 WU = elevated; &gt;5 WU = severe PH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**SVR**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800-1200 dyn*s/cm5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Elevated in cardiogenic shock; reduced in septic shock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2.2 Hemodynamic Profiles in Heart Failure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hemodynamic assessment workflow classifies patients into profiles: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       PCWP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Low (&lt;15)       High (&gt;15)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+------------+----------------+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CI &gt;2.2      | "Warm-Dry" |   "Warm-Wet"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(adequate    | Profile A  |   Profile B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perfusion)  | (compensated)| (congested)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+------------+----------------+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CI &lt;2.2      | "Cold-Dry" |   "Cold-Wet"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(poor        | Profile L  |   Profile C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perfusion)  | (hypovolemic)| (most severe)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+------------+----------------+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Profile-specific management: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Warm-Dry (A):</w:t>
      </w:r>
      <w:r>
        <w:rPr>
          <w:rFonts w:ascii="Calibri" w:hAnsi="Calibri"/>
          <w:color w:val="333333"/>
          <w:sz w:val="20"/>
        </w:rPr>
        <w:t xml:space="preserve"> Optimize oral GDMT; no acute intervention needed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Warm-Wet (B):</w:t>
      </w:r>
      <w:r>
        <w:rPr>
          <w:rFonts w:ascii="Calibri" w:hAnsi="Calibri"/>
          <w:color w:val="333333"/>
          <w:sz w:val="20"/>
        </w:rPr>
        <w:t xml:space="preserve"> IV diuretics to decongest; continue/optimize GDMT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Cold-Dry (L):</w:t>
      </w:r>
      <w:r>
        <w:rPr>
          <w:rFonts w:ascii="Calibri" w:hAnsi="Calibri"/>
          <w:color w:val="333333"/>
          <w:sz w:val="20"/>
        </w:rPr>
        <w:t xml:space="preserve"> Cautious volume challenge; consider inotropes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Cold-Wet (C):</w:t>
      </w:r>
      <w:r>
        <w:rPr>
          <w:rFonts w:ascii="Calibri" w:hAnsi="Calibri"/>
          <w:color w:val="333333"/>
          <w:sz w:val="20"/>
        </w:rPr>
        <w:t xml:space="preserve"> Inotropes + diuretics; consider mechanical support (IABP, Impella)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2.3 Pulmonary Hypertension Classification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2022 ESC/ERS definition uses hemodynamic criteria: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Hemodynamic Definition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Common Causes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**Pre-capillary PH**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mPAP &gt;20, PCWP &lt;=15, PVR &gt;2 WU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PAH, CTEPH, lung disease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**Post-capillary PH**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mPAP &gt;20, PCWP &gt;15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Left heart disease (HFrEF, HFpEF, VHD)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**Combined pre+post**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mPAP &gt;20, PCWP &gt;15, PVR &gt;2 WU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Advanced HF with reactive component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3. Valvular Quantification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3.1 Aortic Stenosis Grading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Valvular Disease workflow uses ASE guidelines for severity grading: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Moderate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**Vmax**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2.0-2.9 m/s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3.0-3.9 m/s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&gt;=4.0 m/s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**Mean gradient**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&lt;20 mmHg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20-39 mmHg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&gt;=40 mmHg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**AVA**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&gt;1.5 cm2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1.0-1.5 cm2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&lt;1.0 cm2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**DVI**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&gt;0.35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0.25-0.35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&lt;0.25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Discordant grading:</w:t>
      </w:r>
      <w:r>
        <w:rPr>
          <w:rFonts w:ascii="Calibri" w:hAnsi="Calibri"/>
          <w:color w:val="333333"/>
          <w:sz w:val="20"/>
        </w:rPr>
        <w:t xml:space="preserve"> When parameters disagree (e.g., low gradient but small AVA), the system considers: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Low-flow, low-gradient severe AS:</w:t>
      </w:r>
      <w:r>
        <w:rPr>
          <w:rFonts w:ascii="Calibri" w:hAnsi="Calibri"/>
          <w:color w:val="333333"/>
          <w:sz w:val="20"/>
        </w:rPr>
        <w:t xml:space="preserve"> LVEF &lt;50% + AVA &lt;1.0 + mean gradient &lt;40 -&gt; dobutamine stress echo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Paradoxical low-flow:</w:t>
      </w:r>
      <w:r>
        <w:rPr>
          <w:rFonts w:ascii="Calibri" w:hAnsi="Calibri"/>
          <w:color w:val="333333"/>
          <w:sz w:val="20"/>
        </w:rPr>
        <w:t xml:space="preserve"> LVEF &gt;=50% but small stroke volume (stroke volume index &lt;35 mL/m2)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3.2 Mitral Regurgitation Quantification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Primary MR (degenerative):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Mild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Moderate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Severe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**Vena contracta**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&lt;0.3 cm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0.3-0.69 cm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&gt;=0.7 cm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**Regurgitant volume**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&lt;30 mL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30-59 mL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&gt;=60 mL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**Regurgitant fraction**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&lt;30%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30-49%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&gt;=50%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**ERO**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&lt;0.20 cm2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0.20-0.39 cm2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&gt;=0.40 cm2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Secondary MR (functional):</w:t>
      </w:r>
      <w:r>
        <w:rPr>
          <w:rFonts w:ascii="Calibri" w:hAnsi="Calibri"/>
          <w:color w:val="333333"/>
          <w:sz w:val="20"/>
        </w:rPr>
        <w:t xml:space="preserve"> Different thresholds apply: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Severe secondary MR: ERO &gt;=0.20 cm2, RVol &gt;=30 mL (lower thresholds than primary)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3.3 Intervention Decision Algorithms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system implements ACC/AHA 2020 VHD guideline decision logic: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Aortic Stenosis: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Severe AS (Vmax &gt;=4.0, MG &gt;=40, AVA &lt;1.0)?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Yes --&gt; Symptomatic?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Yes --&gt; AVR indicated (Class I)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       Age &gt;=65 or high surgical risk --&gt; TAVR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       Age &lt;65 and low surgical risk --&gt; SAVR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No --&gt; LVEF &lt;50%?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Yes --&gt; AVR indicated (Class I)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No --&gt; Very severe (Vmax &gt;=5.0)?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Yes --&gt; AVR reasonable (Class IIa)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        No --&gt; Surveillance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No --&gt; Not severe; surveillance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Mitral Regurgitation: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Severe Primary MR?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Yes --&gt; Symptomatic?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Yes --&gt; MV surgery indicated (Class I)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       Repair preferred over replacement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No --&gt; LVEF &lt;60% or LVESD &gt;40mm?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Yes --&gt; MV surgery indicated (Class I)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    No --&gt; Surveillance (consider if repair likelihood &gt;95%)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Severe Secondary MR?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Yes --&gt; Optimize GDMT + CRT first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Persistent symptoms? --&gt; Consider TEER (MitraClip)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4. Channelopathy Genetics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4.1 Overview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Channelopathies are inherited disorders of cardiac ion channels that predispose to life-threatening arrhythmias in structurally normal hearts. The knowledge graph contains detailed entries for 7 channelopathy genes.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4.2 Long QT Syndrome (LQTS)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Three major types, each with distinct triggers and gene-specific therapy: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Gene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72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Specific Therapy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**LQT1**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KCNQ1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IKs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Exercise, swimming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Beta-blocker (nadolol); avoid competitive sports</w:t>
            </w:r>
          </w:p>
        </w:tc>
      </w:tr>
      <w:tr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**LQT2**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KCNH2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IKr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Auditory stimuli, emotional stress, postpartum</w:t>
            </w:r>
          </w:p>
        </w:tc>
        <w:tc>
          <w:tcPr>
            <w:tcW w:type="dxa" w:w="1872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Beta-blocker; avoid QT-prolonging drugs; supplemental K+</w:t>
            </w:r>
          </w:p>
        </w:tc>
      </w:tr>
      <w:tr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**LQT3**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SCN5A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INa (gain of function)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Rest, sleep</w:t>
            </w:r>
          </w:p>
        </w:tc>
        <w:tc>
          <w:tcPr>
            <w:tcW w:type="dxa" w:w="1872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Mexiletine (sodium channel blocker); consider ICD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Why gene-specific therapy matters:</w:t>
      </w:r>
      <w:r>
        <w:rPr>
          <w:rFonts w:ascii="Calibri" w:hAnsi="Calibri"/>
          <w:color w:val="333333"/>
          <w:sz w:val="20"/>
        </w:rPr>
        <w:t xml:space="preserve"> LQT3 patients respond to mexiletine (reduces late sodium current) but not beta-blockers. The cross-modal trigger system identifies LQTS gene testing candidates from ECG findings (QTc &gt;480ms).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4.3 Brugada Syndrome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Gene:</w:t>
      </w:r>
      <w:r>
        <w:rPr>
          <w:rFonts w:ascii="Calibri" w:hAnsi="Calibri"/>
          <w:color w:val="333333"/>
          <w:sz w:val="20"/>
        </w:rPr>
        <w:t xml:space="preserve"> SCN5A (loss of function) -- only ~20% of cases are genotype-positive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ECG hallmark:</w:t>
      </w:r>
      <w:r>
        <w:rPr>
          <w:rFonts w:ascii="Calibri" w:hAnsi="Calibri"/>
          <w:color w:val="333333"/>
          <w:sz w:val="20"/>
        </w:rPr>
        <w:t xml:space="preserve"> Type 1 Brugada pattern (coved ST elevation &gt;=2mm in V1-V3)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Triggers:</w:t>
      </w:r>
      <w:r>
        <w:rPr>
          <w:rFonts w:ascii="Calibri" w:hAnsi="Calibri"/>
          <w:color w:val="333333"/>
          <w:sz w:val="20"/>
        </w:rPr>
        <w:t xml:space="preserve"> Fever, sodium channel blockers, vagal stimulation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Risk stratification:</w:t>
      </w:r>
      <w:r>
        <w:rPr>
          <w:rFonts w:ascii="Calibri" w:hAnsi="Calibri"/>
          <w:color w:val="333333"/>
          <w:sz w:val="20"/>
        </w:rPr>
        <w:t xml:space="preserve"> Prior cardiac arrest, spontaneous type 1 pattern, syncope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Treatment:</w:t>
      </w:r>
      <w:r>
        <w:rPr>
          <w:rFonts w:ascii="Calibri" w:hAnsi="Calibri"/>
          <w:color w:val="333333"/>
          <w:sz w:val="20"/>
        </w:rPr>
        <w:t xml:space="preserve"> ICD for high-risk; quinidine for recurrent VF storms; fever management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4.4 CPVT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Genes:</w:t>
      </w:r>
      <w:r>
        <w:rPr>
          <w:rFonts w:ascii="Calibri" w:hAnsi="Calibri"/>
          <w:color w:val="333333"/>
          <w:sz w:val="20"/>
        </w:rPr>
        <w:t xml:space="preserve"> RYR2 (AD, ~60%) or CASQ2 (AR)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Hallmark:</w:t>
      </w:r>
      <w:r>
        <w:rPr>
          <w:rFonts w:ascii="Calibri" w:hAnsi="Calibri"/>
          <w:color w:val="333333"/>
          <w:sz w:val="20"/>
        </w:rPr>
        <w:t xml:space="preserve"> Bidirectional or polymorphic VT with exercise/catecholamines in a structurally normal heart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Treatment:</w:t>
      </w:r>
      <w:r>
        <w:rPr>
          <w:rFonts w:ascii="Calibri" w:hAnsi="Calibri"/>
          <w:color w:val="333333"/>
          <w:sz w:val="20"/>
        </w:rPr>
        <w:t xml:space="preserve"> Nadolol (preferred beta-blocker), flecainide as add-on, strict exercise restriction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b/>
          <w:color w:val="333333"/>
          <w:sz w:val="20"/>
        </w:rPr>
        <w:t>Key point:</w:t>
      </w:r>
      <w:r>
        <w:rPr>
          <w:rFonts w:ascii="Calibri" w:hAnsi="Calibri"/>
          <w:color w:val="333333"/>
          <w:sz w:val="20"/>
        </w:rPr>
        <w:t xml:space="preserve"> Normal resting ECG; exercise stress test needed for diagnosis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4.5 Genotype-Phenotype Correlations in the Knowledge Graph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knowledge graph cross-references genes to conditions: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SCN5A --&gt; Brugada (loss of function)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--&gt; LQT3 (gain of function)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--&gt; Progressive cardiac conduction disease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--&gt; Sick sinus syndrome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--&gt; DCM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--&gt; AF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Different variant types in the SAME gene cause different diseases.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The system's cross-modal engine identifies which gene panel to recommend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based on the specific clinical phenotype.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5. Cross-Modal Imaging-Genomics Integration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5.1 The Cross-Modal Paradigm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Cardiology Intelligence Agent implements a novel approach to cardiovascular precision medicine: automated imaging-to-genomics triggers. This mirrors the clinical workflow where a cardiologist identifies an imaging finding that warrants genetic evaluation, but automates the pattern recognition.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5.2 Detailed Trigger Workflows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Trigger 1: Unexplained LVH (Wall Thickness &gt;=15mm)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Echocardiogram or CMR shows wall thickness &gt;=15mm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Exclude common causes: Hypertension? Aortic stenosis? Athletic heart?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If unexplained: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Gene panel: MYH7, MYBPC3, TNNT2, TNNI3, TPM1 (HCM sarcomeric)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GLA (Fabry disease -- X-linked, check alpha-gal A enzyme)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LAMP2 (Danon disease)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            PRKAG2 (glycogen storage with WPW)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Query genomic_evidence for known pathogenic variants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Clinical action: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 If sarcomeric gene positive: cascade family screening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 If GLA positive: enzyme replacement or chaperone therapy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 If LAMP2 positive: evaluate for transplant (aggressive course)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Trigger 2: Non-Ischemic LGE with DCM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Cardiac MRI shows mid-wall LGE + dilated LV + reduced EF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Pattern is NON-ischemic (not following coronary territory)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Gene panel: TTN, LMNA, RBM20, MYH7, DSP, FLNC, BAG3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Special attention to LMNA: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 Mid-wall septal LGE is highly specific for LMNA mutations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 LMNA cardiomyopathy has high SCD risk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 Early ICD consideration (lower LVEF threshold than standard DCM)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- Conduction disease often present (AV block, sinus node dysfunction)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If TTN truncating variant (TTNtv) in A-band: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 Most common DCM gene (~20-25%)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 Generally better prognosis than LMNA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- Standard GDMT + standard ICD criteria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Trigger 3: Aortic Root Dilation in Young Patient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Aortic root &gt;=4.0cm (or Z-score &gt;=2) in patient &lt;50 years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Gene panel: FBN1, TGFBR1, TGFBR2, SMAD3, ACTA2, MYH11, COL3A1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Gene-specific surgical thresholds: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FBN1 (Marfan): Surgery at 5.0 cm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TGFBR1/2 (Loeys-Dietz): Surgery at 4.0-4.2 cm (more aggressive)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COL3A1 (vascular EDS): Avoid elective surgery if possible (tissue fragility)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   ACTA2: Surgery at 4.5-5.0 cm depending on variant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+-- This demonstrates the clinical impact of genomic data on surgical timing: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Knowing the gene changes the surgical threshold by up to 1.5 cm.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5.3 Integration with HCLS AI Factory Genomics Pipeline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cross-modal engine queries the shared </w:t>
      </w:r>
      <w:r>
        <w:rPr>
          <w:rFonts w:ascii="Courier New" w:hAnsi="Courier New"/>
          <w:color w:val="444444"/>
          <w:sz w:val="18"/>
        </w:rPr>
        <w:t>genomic_evidence</w:t>
      </w:r>
      <w:r>
        <w:rPr>
          <w:rFonts w:ascii="Calibri" w:hAnsi="Calibri"/>
          <w:color w:val="333333"/>
          <w:sz w:val="20"/>
        </w:rPr>
        <w:t xml:space="preserve"> collection, which is populated by the HCLS AI Factory's genomics pipeline: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HCLS AI Factory Genomics Pipeline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FASTQ --&gt; BWA-MEM2 --&gt; BAM --&gt; DeepVariant --&gt; VCF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VCF --&gt; Annotation (ClinVar, AlphaMissense)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Annotated variants --&gt; BGE-small-en-v1.5 embedding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3.5M variant vectors in genomic_evidence collection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&lt;-- Queried by Cardiology Intelligence Agent cross-modal engine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This creates a seamless bridge between the genomics pipeline and the cardiology agent, enabling true precision cardiovascular medicine.</w:t>
      </w: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6. Advanced Risk Stratification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6.1 Beyond ASCVD: Risk Enhancers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2018 ACC/AHA Cholesterol Guidelines introduced "risk-enhancing factors" for patients in the borderline or intermediate risk category: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Enhancer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Agent Integration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Family history of premature ASCVD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Male &lt;55, Female &lt;65 in first-degree relative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Knowledge graph cross-reference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Persistently elevated LDL-C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&gt;=160 mg/dL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knowledge (LDL-C entry)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Elevated Lp(a)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&gt;=50 mg/dL or &gt;=125 nmol/L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knowledge + LPA gene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Elevated hsCRP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&gt;=2.0 mg/L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knowledge (hsCRP entry)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Elevated ApoB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&gt;=130 mg/dL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knowledge (ApoB entry)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Metabolic syndrome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3+ criteria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context evaluation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CKD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eGFR 15-59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Biomarker knowledge (Creatinine/eGFR)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Chronic inflammatory conditions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RA, lupus, psoriasis, HIV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history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South Asian ancestry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Demographics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Preeclampsia/premature menopause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-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history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Ankle-brachial index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&lt;0.9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 context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CAC score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&gt;=100 Agatston units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Imaging data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6.2 MAGGIC Score Deep Dive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MAGGIC score integrates 13 variables with interaction terms: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Age scoring: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Age points = (age - 55) / 5 * coefficient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Interaction: Age effect is LARGER when EF is higher (paradox)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At EF 20%: each 5-year increment adds ~2 points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- At EF 40%: each 5-year increment adds ~3 points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This reflects that in severely reduced EF, age contributes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less to incremental risk than the EF itself.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LVEF scoring: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EF points = (30 - EF) / 5 * coefficient (if EF &lt;30)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OR more gradual scoring if EF 30-40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Lower EF = dramatically more points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The relationship is non-linear: going from EF 30 to 20 adds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more risk than going from 40 to 30.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6.3 HCM Sudden Cardiac Death Risk Stratification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system evaluates HCM patients for SCD risk using ACC/AHA criteria: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Factor</w:t>
            </w:r>
          </w:p>
        </w:tc>
        <w:tc>
          <w:tcPr>
            <w:tcW w:type="dxa" w:w="468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ICD Consideration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Prior cardiac arrest or sustained VT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ICD recommended (Class I)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Family history of SCD in first-degree relative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Factor in risk discussion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Unexplained syncope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Major risk factor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Massive LVH (&gt;=30mm)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Major risk factor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NSVT on Holter monitoring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Major risk factor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Abnormal BP response to exercise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Additional factor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Extensive LGE on CMR (&gt;=15% LV mass)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Additional factor</w:t>
            </w:r>
          </w:p>
        </w:tc>
      </w:tr>
      <w:tr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LV apical aneurysm</w:t>
            </w:r>
          </w:p>
        </w:tc>
        <w:tc>
          <w:tcPr>
            <w:tcW w:type="dxa" w:w="468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Additional factor</w:t>
            </w:r>
          </w:p>
        </w:tc>
      </w:tr>
      <w:tr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LVEF &lt;50% (end-stage HCM)</w:t>
            </w:r>
          </w:p>
        </w:tc>
        <w:tc>
          <w:tcPr>
            <w:tcW w:type="dxa" w:w="468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ICD recommended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6.4 SCAI Cardiogenic Shock Classification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critically ill patients, the system references the SCAI shock classification: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Hemodynamics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Lactate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Management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A (At risk)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Normal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Normal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Monitor, optimize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B (Beginning)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SBP &lt;90 or MAP &lt;60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Normal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Vasopressors, IV fluids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C (Classic)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CI &lt;2.2, PCWP &gt;15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2-5 mmol/L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Inotropes, MCS evaluation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D (Deteriorating)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Worsening on initial interventions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Rising &gt;5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Escalate MCS (Impella, ECMO)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E (Extremis)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PEA, refractory VT, multiorgan failure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&gt;8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ECPR, emergent MCS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7. Cardio-Oncology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7.1 The Cardio-Oncology Challenge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Cancer therapies can cause cardiac damage through multiple mechanisms. The Cardio-Oncology workflow monitors for cancer therapy-related cardiac dysfunction (CTRCD).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7.2 Cardiotoxic Agent Classification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 (Agent Enum)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Monitoring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**Doxorubicin** (anthracycline)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`CardiotoxicityRisk.HIGH`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Dose-dependent myocardial cell death, ROS generation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Echo + GLS q2 cycles; troponin each cycle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**Trastuzumab** (HER2-targeted)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`CardiotoxicityRisk.MODERATE`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Type II dysfunction (reversible); no cell death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Echo + GLS q3 months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**Pembrolizumab** (ICI)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`CardiotoxicityRisk.MODERATE`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Immune-mediated myocarditis (rare but fulminant)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Troponin; ECG; echo if symptomatic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**5-FU / Capecitabine**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`CardiotoxicityRisk.MODERATE`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Coronary vasospasm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ECG; symptoms (chest pain)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**Ibrutinib** (BTK inhibitor)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`CardiotoxicityRisk.MODERATE`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AF (~10%), VT, hypertension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ECG; BP monitoring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**VEGF inhibitors**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`CardiotoxicityRisk.MODERATE`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Hypertension, arterial thromboembolism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BP monitoring q2 weeks initially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**Radiation (chest)**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`CardiotoxicityRisk.HIGH`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Pericarditis, CAD, valvular disease (delayed)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Long-term surveillance (5-10+ years post-RT)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7.3 CTRCD Definitions (ESC 2022)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system uses the ESC 2022 cardio-oncology guideline definitions: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System Response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**Symptomatic CTRCD**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New HF symptoms + LVEF decline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Flag as HIGH severity; cardiology consultation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**Asymptomatic CTRCD**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LVEF decline &gt;10% to below 50%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Flag as MODERATE; consider cardioprotection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**Subclinical CTRCD**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GLS decline &gt;15% from baseline (relative)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Flag as MODERATE; early intervention opportunity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**Biomarker CTRCD**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Persistent troponin elevation above URL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Flag as MODERATE; intensify imaging surveillance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7.4 The GLS Advantage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Global Longitudinal Strain (GLS) detects subclinical myocardial dysfunction before LVEF decline: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Timeline of Cardiotoxicity Detection: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Molecular damage  GLS decline    LVEF decline    HF symptoms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|               |           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Day 0          Week 4-8        Month 3-6        Month 6-12+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|               |           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Troponin rise   15% relative     &gt;10% absolute    Clinical HF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         GLS decline      LVEF decline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       |               |               |               |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EARLIEST -----&gt; EARLY ---------&gt; MODERATE -------&gt; LATE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  detection       detection        detection         detection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The Cardio-Oncology workflow monitors GLS as the primary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early detection biomarker, flagging a &gt;15% relative decline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as subclinical CTRCD.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7.5 Cardioprotective Strategies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system recommends cardioprotection based on risk level: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Pre-Treatment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During Treatment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Post-Treatment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**Low**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Baseline echo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Symptom-based monitoring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Follow-up echo at 12 months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**Moderate**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Baseline echo + GLS + biomarkers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Echo + GLS q3 cycles; troponin q1 cycle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Echo + GLS at 3, 12 months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**High**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Baseline echo + GLS + biomarkers; consider ACEi/BB prophylaxis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Echo + GLS q2 cycles; troponin each cycle; dexrazoxane if anthracycline dose &gt;300 mg/m2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Echo + GLS at 3, 6, 12 months; lifelong surveillance</w:t>
            </w:r>
          </w:p>
        </w:tc>
      </w:tr>
    </w:tbl>
    <w:p>
      <w:pPr>
        <w:spacing w:before="40" w:after="80"/>
      </w:pPr>
    </w:p>
    <w:p>
      <w:pPr>
        <w:spacing w:before="80" w:after="80"/>
        <w:pBdr>
          <w:bottom w:val="single" w:sz="6" w:color="1AAFCC"/>
        </w:pBdr>
      </w:pPr>
    </w:p>
    <w:p>
      <w:pPr>
        <w:pStyle w:val="Heading1"/>
        <w:spacing w:before="400" w:after="160"/>
      </w:pPr>
      <w:r>
        <w:rPr>
          <w:rFonts w:ascii="Calibri" w:hAnsi="Calibri"/>
          <w:b/>
          <w:color w:val="1B2333"/>
          <w:sz w:val="32"/>
        </w:rPr>
        <w:t>8. Multi-Collection RAG Optimization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8.1 Collection Weight Tuning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default collection weights were calibrated through iterative testing against clinical vignettes. Advanced users may need to tune weights for specific use cases: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Tuning principles: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Higher weight = more influence</w:t>
      </w:r>
      <w:r>
        <w:rPr>
          <w:rFonts w:ascii="Calibri" w:hAnsi="Calibri"/>
          <w:color w:val="333333"/>
          <w:sz w:val="20"/>
        </w:rPr>
        <w:t xml:space="preserve"> on final ranked results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Workflow-specific boosts</w:t>
      </w:r>
      <w:r>
        <w:rPr>
          <w:rFonts w:ascii="Calibri" w:hAnsi="Calibri"/>
          <w:color w:val="333333"/>
          <w:sz w:val="20"/>
        </w:rPr>
        <w:t xml:space="preserve"> are applied multiplicatively (default weights * boost factor)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Weights must sum to ~1.0</w:t>
      </w:r>
      <w:r>
        <w:rPr>
          <w:rFonts w:ascii="Calibri" w:hAnsi="Calibri"/>
          <w:color w:val="333333"/>
          <w:sz w:val="20"/>
        </w:rPr>
        <w:t xml:space="preserve"> (tolerance 0.05, enforced by settings validation)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Minimum weight = 0.02</w:t>
      </w:r>
      <w:r>
        <w:rPr>
          <w:rFonts w:ascii="Calibri" w:hAnsi="Calibri"/>
          <w:color w:val="333333"/>
          <w:sz w:val="20"/>
        </w:rPr>
        <w:t xml:space="preserve"> to prevent complete exclusion of any collection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8.2 Score Threshold Optimization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 xml:space="preserve">The </w:t>
      </w:r>
      <w:r>
        <w:rPr>
          <w:rFonts w:ascii="Courier New" w:hAnsi="Courier New"/>
          <w:color w:val="444444"/>
          <w:sz w:val="18"/>
        </w:rPr>
        <w:t>SCORE_THRESHOLD</w:t>
      </w:r>
      <w:r>
        <w:rPr>
          <w:rFonts w:ascii="Calibri" w:hAnsi="Calibri"/>
          <w:color w:val="333333"/>
          <w:sz w:val="20"/>
        </w:rPr>
        <w:t xml:space="preserve"> setting (default 0.4) controls the minimum similarity score for a result to be included: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0.3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Broad retrieval; may include less relevant results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Exploratory queries, rare conditions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0.4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Balanced (default)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General clinical queries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0.5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Precise retrieval; fewer but more relevant results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Specific guideline lookups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0.6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Very strict; may miss relevant content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When precision is critical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8.3 Query Decomposition Strategies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query expansion module selects from four search strategies: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When Selected</w:t>
            </w:r>
          </w:p>
        </w:tc>
        <w:tc>
          <w:tcPr>
            <w:tcW w:type="dxa" w:w="312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**Broad**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General questions, multi-topic queries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 all collections with default weights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**Targeted**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Specific condition or drug query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Boost relevant collections 2-3x</w:t>
            </w:r>
          </w:p>
        </w:tc>
      </w:tr>
      <w:tr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**Comparative**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"Drug A vs Drug B" or "TAVR vs SAVR"</w:t>
            </w:r>
          </w:p>
        </w:tc>
        <w:tc>
          <w:tcPr>
            <w:tcW w:type="dxa" w:w="312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Search for both entities, present side-by-side</w:t>
            </w:r>
          </w:p>
        </w:tc>
      </w:tr>
      <w:tr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**Clinical**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Patient-specific management question</w:t>
            </w:r>
          </w:p>
        </w:tc>
        <w:tc>
          <w:tcPr>
            <w:tcW w:type="dxa" w:w="312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Boost guidelines + heart_failure/relevant workflow</w:t>
            </w:r>
          </w:p>
        </w:tc>
      </w:tr>
    </w:tbl>
    <w:p>
      <w:pPr>
        <w:spacing w:before="40"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8.4 Embedding Space Analysis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All collections share the same BGE-small-en-v1.5 embedding space (384 dimensions). This creates a unified semantic space where: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Queries about "heart failure with reduced ejection fraction" are close to documents about "HFrEF GDMT"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But also close to documents about "systolic dysfunction management" (different terminology, same concept)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Entity aliases in the query expansion module bridge terminology gaps before embedding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Embedding quality considerations: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BGE-small-en-v1.5 was trained on general English text; it handles medical terminology well but may underperform on highly specialized abbreviations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The entity alias expansion step mitigates this by expanding abbreviations before embedding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>For production deployments with large collections, consider fine-tuning the embedding model on cardiovascular text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8.5 Citation Confidence Calibration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citation scoring system uses two thresholds: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Display</w:t>
            </w:r>
          </w:p>
        </w:tc>
        <w:tc>
          <w:tcPr>
            <w:tcW w:type="dxa" w:w="2340"/>
            <w:shd w:fill="1B2333"/>
            <w:tcBorders>
              <w:top w:val="single" w:sz="4" w:color="1B2333"/>
              <w:bottom w:val="single" w:sz="4" w:color="1B2333"/>
              <w:left w:val="single" w:sz="4" w:color="1B2333"/>
              <w:right w:val="single" w:sz="4" w:color="1B233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**High confidence**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 0.75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Strong recommendation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Source directly addresses the query</w:t>
            </w:r>
          </w:p>
        </w:tc>
      </w:tr>
      <w:tr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**Medium confidence**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&gt;= 0.60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Supporting evidence</w:t>
            </w:r>
          </w:p>
        </w:tc>
        <w:tc>
          <w:tcPr>
            <w:tcW w:type="dxa" w:w="2340"/>
            <w:shd w:fill="F8FAFB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Source is relevant but may not be exact match</w:t>
            </w:r>
          </w:p>
        </w:tc>
      </w:tr>
      <w:tr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AFCC"/>
                <w:sz w:val="18"/>
              </w:rPr>
              <w:t>**Standard**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0.40-0.59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Additional context</w:t>
            </w:r>
          </w:p>
        </w:tc>
        <w:tc>
          <w:tcPr>
            <w:tcW w:type="dxa" w:w="2340"/>
            <w:shd w:fill="FFFFFF"/>
            <w:tcBorders>
              <w:top w:val="single" w:sz="4" w:color="E0E0E0"/>
              <w:bottom w:val="single" w:sz="4" w:color="E0E0E0"/>
              <w:left w:val="single" w:sz="4" w:color="E0E0E0"/>
              <w:right w:val="single" w:sz="4" w:color="E0E0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color w:val="333333"/>
                <w:sz w:val="18"/>
              </w:rPr>
              <w:t>Source provides background; should not be primary citation</w:t>
            </w:r>
          </w:p>
        </w:tc>
      </w:tr>
    </w:tbl>
    <w:p>
      <w:pPr>
        <w:spacing w:before="40" w:after="80"/>
      </w:pP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Calibration guidance: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If too many results are marked "high confidence," raise </w:t>
      </w:r>
      <w:r>
        <w:rPr>
          <w:rFonts w:ascii="Courier New" w:hAnsi="Courier New"/>
          <w:color w:val="444444"/>
          <w:sz w:val="18"/>
        </w:rPr>
        <w:t>CITATION_HIGH_THRESHOLD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If too few results pass citation scoring, lower </w:t>
      </w:r>
      <w:r>
        <w:rPr>
          <w:rFonts w:ascii="Courier New" w:hAnsi="Courier New"/>
          <w:color w:val="444444"/>
          <w:sz w:val="18"/>
        </w:rPr>
        <w:t>CITATION_MEDIUM_THRESHOLD</w:t>
      </w:r>
    </w:p>
    <w:p>
      <w:pPr>
        <w:spacing w:before="40" w:after="40"/>
        <w:ind w:left="504" w:hanging="216"/>
      </w:pPr>
      <w:r>
        <w:rPr>
          <w:rFonts w:ascii="Calibri" w:hAnsi="Calibri"/>
          <w:color w:val="1AAFCC"/>
          <w:sz w:val="20"/>
        </w:rPr>
        <w:t xml:space="preserve">•  </w:t>
      </w:r>
      <w:r>
        <w:rPr>
          <w:rFonts w:ascii="Calibri" w:hAnsi="Calibri"/>
          <w:color w:val="333333"/>
          <w:sz w:val="20"/>
        </w:rPr>
        <w:t xml:space="preserve">Monitor the </w:t>
      </w:r>
      <w:r>
        <w:rPr>
          <w:rFonts w:ascii="Courier New" w:hAnsi="Courier New"/>
          <w:color w:val="444444"/>
          <w:sz w:val="18"/>
        </w:rPr>
        <w:t>cardio_queries_total</w:t>
      </w:r>
      <w:r>
        <w:rPr>
          <w:rFonts w:ascii="Calibri" w:hAnsi="Calibri"/>
          <w:color w:val="333333"/>
          <w:sz w:val="20"/>
        </w:rPr>
        <w:t xml:space="preserve"> and citation distributions via Prometheus metrics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8.6 Conversation Context Management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The sliding window of 3 conversation turns enables contextual follow-up: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Turn 1: "What GDMT does this patient need?"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Full GDMT analysis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Turn 2: "What about adding an MRA?"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System remembers patient context from Turn 1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Focuses on MRA specifically (K+, eGFR, contraindications)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Turn 3: "Are there any relevant clinical trials?"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System searches cardio_trials collection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Contextualizes results to the HFrEF + MRA context from Turns 1-2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>Turn 4: (New question)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Turn 1 falls out of the window</w:t>
      </w:r>
    </w:p>
    <w:p>
      <w:pPr>
        <w:spacing w:before="0" w:after="0" w:line="240" w:lineRule="auto"/>
        <w:ind w:left="288"/>
        <w:shd w:val="clear" w:fill="F0F0F0"/>
      </w:pPr>
      <w:r>
        <w:rPr>
          <w:rFonts w:ascii="Courier New" w:hAnsi="Courier New"/>
          <w:color w:val="444444"/>
          <w:sz w:val="18"/>
        </w:rPr>
        <w:t xml:space="preserve">  -&gt; Only Turns 2-3-4 retained</w:t>
      </w:r>
    </w:p>
    <w:p>
      <w:pPr>
        <w:spacing w:before="0" w:after="120"/>
      </w:pPr>
      <w:r>
        <w:rPr>
          <w:rFonts w:ascii="Calibri" w:hAnsi="Calibri"/>
          <w:b/>
          <w:color w:val="333333"/>
          <w:sz w:val="20"/>
        </w:rPr>
        <w:t>Configuration:</w:t>
      </w:r>
      <w:r>
        <w:rPr>
          <w:rFonts w:ascii="Calibri" w:hAnsi="Calibri"/>
          <w:color w:val="333333"/>
          <w:sz w:val="20"/>
        </w:rPr>
        <w:t xml:space="preserve"> </w:t>
      </w:r>
      <w:r>
        <w:rPr>
          <w:rFonts w:ascii="Courier New" w:hAnsi="Courier New"/>
          <w:color w:val="444444"/>
          <w:sz w:val="18"/>
        </w:rPr>
        <w:t>MAX_CONVERSATION_CONTEXT = 3</w:t>
      </w:r>
      <w:r>
        <w:rPr>
          <w:rFonts w:ascii="Calibri" w:hAnsi="Calibri"/>
          <w:color w:val="333333"/>
          <w:sz w:val="20"/>
        </w:rPr>
        <w:t xml:space="preserve"> in settings. Increase for longer conversations at the cost of larger LLM prompts. Decrease for faster responses with less context.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AAFCC"/>
          <w:sz w:val="26"/>
        </w:rPr>
        <w:t>8.7 Performance Optimization Checklist</w:t>
      </w:r>
    </w:p>
    <w:p>
      <w:pPr>
        <w:spacing w:before="0" w:after="120"/>
      </w:pPr>
      <w:r>
        <w:rPr>
          <w:rFonts w:ascii="Calibri" w:hAnsi="Calibri"/>
          <w:color w:val="333333"/>
          <w:sz w:val="20"/>
        </w:rPr>
        <w:t>For production deployments: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b/>
          <w:color w:val="333333"/>
          <w:sz w:val="20"/>
        </w:rPr>
        <w:t>Index type</w:t>
      </w:r>
      <w:r>
        <w:rPr>
          <w:rFonts w:ascii="Calibri" w:hAnsi="Calibri"/>
          <w:color w:val="333333"/>
          <w:sz w:val="20"/>
        </w:rPr>
        <w:t>: IVF_FLAT is the default; switch to HNSW for collections with &gt;500K vectors (faster search, more memory)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b/>
          <w:color w:val="333333"/>
          <w:sz w:val="20"/>
        </w:rPr>
        <w:t>Batch embedding</w:t>
      </w:r>
      <w:r>
        <w:rPr>
          <w:rFonts w:ascii="Calibri" w:hAnsi="Calibri"/>
          <w:color w:val="333333"/>
          <w:sz w:val="20"/>
        </w:rPr>
        <w:t xml:space="preserve">: Use </w:t>
      </w:r>
      <w:r>
        <w:rPr>
          <w:rFonts w:ascii="Courier New" w:hAnsi="Courier New"/>
          <w:color w:val="444444"/>
          <w:sz w:val="18"/>
        </w:rPr>
        <w:t>EMBEDDING_BATCH_SIZE=32</w:t>
      </w:r>
      <w:r>
        <w:rPr>
          <w:rFonts w:ascii="Calibri" w:hAnsi="Calibri"/>
          <w:color w:val="333333"/>
          <w:sz w:val="20"/>
        </w:rPr>
        <w:t xml:space="preserve"> (default); increase to 64 for faster bulk ingest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b/>
          <w:color w:val="333333"/>
          <w:sz w:val="20"/>
        </w:rPr>
        <w:t>Parallel search</w:t>
      </w:r>
      <w:r>
        <w:rPr>
          <w:rFonts w:ascii="Calibri" w:hAnsi="Calibri"/>
          <w:color w:val="333333"/>
          <w:sz w:val="20"/>
        </w:rPr>
        <w:t>: The RAG engine searches all 13 collections concurrently; ensure Milvus has sufficient query node capacity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b/>
          <w:color w:val="333333"/>
          <w:sz w:val="20"/>
        </w:rPr>
        <w:t>LLM caching</w:t>
      </w:r>
      <w:r>
        <w:rPr>
          <w:rFonts w:ascii="Calibri" w:hAnsi="Calibri"/>
          <w:color w:val="333333"/>
          <w:sz w:val="20"/>
        </w:rPr>
        <w:t>: Consider caching LLM responses for identical queries (risk calculator results are deterministic; LLM responses are not)</w:t>
      </w:r>
    </w:p>
    <w:p>
      <w:pPr>
        <w:spacing w:before="40" w:after="40"/>
        <w:ind w:left="504" w:hanging="288"/>
      </w:pPr>
      <w:r>
        <w:rPr>
          <w:rFonts w:ascii="Calibri" w:hAnsi="Calibri"/>
          <w:b/>
          <w:color w:val="333333"/>
          <w:sz w:val="20"/>
        </w:rPr>
        <w:t xml:space="preserve">5.  </w:t>
      </w:r>
      <w:r>
        <w:rPr>
          <w:rFonts w:ascii="Calibri" w:hAnsi="Calibri"/>
          <w:b/>
          <w:color w:val="333333"/>
          <w:sz w:val="20"/>
        </w:rPr>
        <w:t>Compaction</w:t>
      </w:r>
      <w:r>
        <w:rPr>
          <w:rFonts w:ascii="Calibri" w:hAnsi="Calibri"/>
          <w:color w:val="333333"/>
          <w:sz w:val="20"/>
        </w:rPr>
        <w:t>: Run Milvus compaction monthly on actively ingested collections to reclaim space from deleted/updated segments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Confidential — For Internal Use    |    Page </w:t>
    </w:r>
    <w:fldSimple w:instr=" PAGE \* MERGEFORMAT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666666"/>
        <w:sz w:val="16"/>
      </w:rPr>
      <w:t>HCLS AI Factory — Cardiology Intelligence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