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Cardiology Intelligence Agent -- Project Bible</w:t>
      </w:r>
    </w:p>
    <w:p>
      <w:pPr>
        <w:spacing w:before="0" w:after="120"/>
      </w:pPr>
      <w:r>
        <w:rPr>
          <w:rFonts w:ascii="Calibri" w:hAnsi="Calibri"/>
          <w:b/>
          <w:color w:val="333333"/>
          <w:sz w:val="20"/>
        </w:rPr>
        <w:t>Version:</w:t>
      </w:r>
      <w:r>
        <w:rPr>
          <w:rFonts w:ascii="Calibri" w:hAnsi="Calibri"/>
          <w:color w:val="333333"/>
          <w:sz w:val="20"/>
        </w:rPr>
        <w:t xml:space="preserve"> 1.0.0</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Date:</w:t>
      </w:r>
      <w:r>
        <w:rPr>
          <w:rFonts w:ascii="Calibri" w:hAnsi="Calibri"/>
          <w:color w:val="333333"/>
          <w:sz w:val="20"/>
        </w:rPr>
        <w:t xml:space="preserve"> March 2026</w:t>
      </w:r>
    </w:p>
    <w:p>
      <w:pPr>
        <w:spacing w:before="0" w:after="120"/>
      </w:pPr>
      <w:r>
        <w:rPr>
          <w:rFonts w:ascii="Calibri" w:hAnsi="Calibri"/>
          <w:b/>
          <w:color w:val="333333"/>
          <w:sz w:val="20"/>
        </w:rPr>
        <w:t>License:</w:t>
      </w:r>
      <w:r>
        <w:rPr>
          <w:rFonts w:ascii="Calibri" w:hAnsi="Calibri"/>
          <w:color w:val="333333"/>
          <w:sz w:val="20"/>
        </w:rPr>
        <w:t xml:space="preserve"> Apache 2.0</w:t>
      </w:r>
    </w:p>
    <w:p>
      <w:pPr>
        <w:spacing w:before="0" w:after="120"/>
      </w:pPr>
      <w:r>
        <w:rPr>
          <w:rFonts w:ascii="Calibri" w:hAnsi="Calibri"/>
          <w:b/>
          <w:color w:val="333333"/>
          <w:sz w:val="20"/>
        </w:rPr>
        <w:t>Repository:</w:t>
      </w:r>
      <w:r>
        <w:rPr>
          <w:rFonts w:ascii="Calibri" w:hAnsi="Calibri"/>
          <w:color w:val="333333"/>
          <w:sz w:val="20"/>
        </w:rPr>
        <w:t xml:space="preserve"> hcls-ai-factory/ai_agent_adds/cardiology_intelligence_agent</w:t>
      </w:r>
    </w:p>
    <w:p>
      <w:pPr>
        <w:spacing w:before="80" w:after="80"/>
        <w:pBdr>
          <w:bottom w:val="single" w:sz="6" w:color="1AAFCC"/>
        </w:pBdr>
      </w:pPr>
    </w:p>
    <w:p>
      <w:pPr>
        <w:pStyle w:val="Heading1"/>
        <w:spacing w:before="400" w:after="160"/>
      </w:pPr>
      <w:r>
        <w:rPr>
          <w:rFonts w:ascii="Calibri" w:hAnsi="Calibri"/>
          <w:b/>
          <w:color w:val="1B2333"/>
          <w:sz w:val="32"/>
        </w:rPr>
        <w:t>Table of Contents</w:t>
      </w:r>
    </w:p>
    <w:p>
      <w:pPr>
        <w:spacing w:before="40" w:after="40"/>
        <w:ind w:left="504" w:hanging="288"/>
      </w:pPr>
      <w:r>
        <w:rPr>
          <w:rFonts w:ascii="Calibri" w:hAnsi="Calibri"/>
          <w:b/>
          <w:color w:val="333333"/>
          <w:sz w:val="20"/>
        </w:rPr>
        <w:t xml:space="preserve">1.  </w:t>
      </w:r>
      <w:r>
        <w:rPr>
          <w:rFonts w:ascii="Calibri" w:hAnsi="Calibri"/>
          <w:color w:val="1AAFCC"/>
          <w:sz w:val="20"/>
        </w:rPr>
        <w:t>Executive Summary</w:t>
      </w:r>
    </w:p>
    <w:p>
      <w:pPr>
        <w:spacing w:before="40" w:after="40"/>
        <w:ind w:left="504" w:hanging="288"/>
      </w:pPr>
      <w:r>
        <w:rPr>
          <w:rFonts w:ascii="Calibri" w:hAnsi="Calibri"/>
          <w:b/>
          <w:color w:val="333333"/>
          <w:sz w:val="20"/>
        </w:rPr>
        <w:t xml:space="preserve">2.  </w:t>
      </w:r>
      <w:r>
        <w:rPr>
          <w:rFonts w:ascii="Calibri" w:hAnsi="Calibri"/>
          <w:color w:val="1AAFCC"/>
          <w:sz w:val="20"/>
        </w:rPr>
        <w:t>Vision &amp; Mission</w:t>
      </w:r>
    </w:p>
    <w:p>
      <w:pPr>
        <w:spacing w:before="40" w:after="40"/>
        <w:ind w:left="504" w:hanging="288"/>
      </w:pPr>
      <w:r>
        <w:rPr>
          <w:rFonts w:ascii="Calibri" w:hAnsi="Calibri"/>
          <w:b/>
          <w:color w:val="333333"/>
          <w:sz w:val="20"/>
        </w:rPr>
        <w:t xml:space="preserve">3.  </w:t>
      </w:r>
      <w:r>
        <w:rPr>
          <w:rFonts w:ascii="Calibri" w:hAnsi="Calibri"/>
          <w:color w:val="1AAFCC"/>
          <w:sz w:val="20"/>
        </w:rPr>
        <w:t>System Overview</w:t>
      </w:r>
    </w:p>
    <w:p>
      <w:pPr>
        <w:spacing w:before="40" w:after="40"/>
        <w:ind w:left="504" w:hanging="288"/>
      </w:pPr>
      <w:r>
        <w:rPr>
          <w:rFonts w:ascii="Calibri" w:hAnsi="Calibri"/>
          <w:b/>
          <w:color w:val="333333"/>
          <w:sz w:val="20"/>
        </w:rPr>
        <w:t xml:space="preserve">4.  </w:t>
      </w:r>
      <w:r>
        <w:rPr>
          <w:rFonts w:ascii="Calibri" w:hAnsi="Calibri"/>
          <w:color w:val="1AAFCC"/>
          <w:sz w:val="20"/>
        </w:rPr>
        <w:t>File Inventory</w:t>
      </w:r>
    </w:p>
    <w:p>
      <w:pPr>
        <w:spacing w:before="40" w:after="40"/>
        <w:ind w:left="504" w:hanging="288"/>
      </w:pPr>
      <w:r>
        <w:rPr>
          <w:rFonts w:ascii="Calibri" w:hAnsi="Calibri"/>
          <w:b/>
          <w:color w:val="333333"/>
          <w:sz w:val="20"/>
        </w:rPr>
        <w:t xml:space="preserve">5.  </w:t>
      </w:r>
      <w:r>
        <w:rPr>
          <w:rFonts w:ascii="Calibri" w:hAnsi="Calibri"/>
          <w:color w:val="1AAFCC"/>
          <w:sz w:val="20"/>
        </w:rPr>
        <w:t>Collections Catalog</w:t>
      </w:r>
    </w:p>
    <w:p>
      <w:pPr>
        <w:spacing w:before="40" w:after="40"/>
        <w:ind w:left="504" w:hanging="288"/>
      </w:pPr>
      <w:r>
        <w:rPr>
          <w:rFonts w:ascii="Calibri" w:hAnsi="Calibri"/>
          <w:b/>
          <w:color w:val="333333"/>
          <w:sz w:val="20"/>
        </w:rPr>
        <w:t xml:space="preserve">6.  </w:t>
      </w:r>
      <w:r>
        <w:rPr>
          <w:rFonts w:ascii="Calibri" w:hAnsi="Calibri"/>
          <w:color w:val="1AAFCC"/>
          <w:sz w:val="20"/>
        </w:rPr>
        <w:t>Knowledge Graph</w:t>
      </w:r>
    </w:p>
    <w:p>
      <w:pPr>
        <w:spacing w:before="40" w:after="40"/>
        <w:ind w:left="504" w:hanging="288"/>
      </w:pPr>
      <w:r>
        <w:rPr>
          <w:rFonts w:ascii="Calibri" w:hAnsi="Calibri"/>
          <w:b/>
          <w:color w:val="333333"/>
          <w:sz w:val="20"/>
        </w:rPr>
        <w:t xml:space="preserve">7.  </w:t>
      </w:r>
      <w:r>
        <w:rPr>
          <w:rFonts w:ascii="Calibri" w:hAnsi="Calibri"/>
          <w:color w:val="1AAFCC"/>
          <w:sz w:val="20"/>
        </w:rPr>
        <w:t>Clinical Workflows</w:t>
      </w:r>
    </w:p>
    <w:p>
      <w:pPr>
        <w:spacing w:before="40" w:after="40"/>
        <w:ind w:left="504" w:hanging="288"/>
      </w:pPr>
      <w:r>
        <w:rPr>
          <w:rFonts w:ascii="Calibri" w:hAnsi="Calibri"/>
          <w:b/>
          <w:color w:val="333333"/>
          <w:sz w:val="20"/>
        </w:rPr>
        <w:t xml:space="preserve">8.  </w:t>
      </w:r>
      <w:r>
        <w:rPr>
          <w:rFonts w:ascii="Calibri" w:hAnsi="Calibri"/>
          <w:color w:val="1AAFCC"/>
          <w:sz w:val="20"/>
        </w:rPr>
        <w:t>Risk Calculators</w:t>
      </w:r>
    </w:p>
    <w:p>
      <w:pPr>
        <w:spacing w:before="40" w:after="40"/>
        <w:ind w:left="504" w:hanging="288"/>
      </w:pPr>
      <w:r>
        <w:rPr>
          <w:rFonts w:ascii="Calibri" w:hAnsi="Calibri"/>
          <w:b/>
          <w:color w:val="333333"/>
          <w:sz w:val="20"/>
        </w:rPr>
        <w:t xml:space="preserve">9.  </w:t>
      </w:r>
      <w:r>
        <w:rPr>
          <w:rFonts w:ascii="Calibri" w:hAnsi="Calibri"/>
          <w:color w:val="1AAFCC"/>
          <w:sz w:val="20"/>
        </w:rPr>
        <w:t>GDMT Optimizer</w:t>
      </w:r>
    </w:p>
    <w:p>
      <w:pPr>
        <w:spacing w:before="40" w:after="40"/>
        <w:ind w:left="504" w:hanging="288"/>
      </w:pPr>
      <w:r>
        <w:rPr>
          <w:rFonts w:ascii="Calibri" w:hAnsi="Calibri"/>
          <w:b/>
          <w:color w:val="333333"/>
          <w:sz w:val="20"/>
        </w:rPr>
        <w:t xml:space="preserve">10.  </w:t>
      </w:r>
      <w:r>
        <w:rPr>
          <w:rFonts w:ascii="Calibri" w:hAnsi="Calibri"/>
          <w:color w:val="1AAFCC"/>
          <w:sz w:val="20"/>
        </w:rPr>
        <w:t>Cross-Modal Triggers</w:t>
      </w:r>
    </w:p>
    <w:p>
      <w:pPr>
        <w:spacing w:before="40" w:after="40"/>
        <w:ind w:left="504" w:hanging="288"/>
      </w:pPr>
      <w:r>
        <w:rPr>
          <w:rFonts w:ascii="Calibri" w:hAnsi="Calibri"/>
          <w:b/>
          <w:color w:val="333333"/>
          <w:sz w:val="20"/>
        </w:rPr>
        <w:t xml:space="preserve">11.  </w:t>
      </w:r>
      <w:r>
        <w:rPr>
          <w:rFonts w:ascii="Calibri" w:hAnsi="Calibri"/>
          <w:color w:val="1AAFCC"/>
          <w:sz w:val="20"/>
        </w:rPr>
        <w:t>RAG Engine</w:t>
      </w:r>
    </w:p>
    <w:p>
      <w:pPr>
        <w:spacing w:before="40" w:after="40"/>
        <w:ind w:left="504" w:hanging="288"/>
      </w:pPr>
      <w:r>
        <w:rPr>
          <w:rFonts w:ascii="Calibri" w:hAnsi="Calibri"/>
          <w:b/>
          <w:color w:val="333333"/>
          <w:sz w:val="20"/>
        </w:rPr>
        <w:t xml:space="preserve">12.  </w:t>
      </w:r>
      <w:r>
        <w:rPr>
          <w:rFonts w:ascii="Calibri" w:hAnsi="Calibri"/>
          <w:color w:val="1AAFCC"/>
          <w:sz w:val="20"/>
        </w:rPr>
        <w:t>Query Expansion</w:t>
      </w:r>
    </w:p>
    <w:p>
      <w:pPr>
        <w:spacing w:before="40" w:after="40"/>
        <w:ind w:left="504" w:hanging="288"/>
      </w:pPr>
      <w:r>
        <w:rPr>
          <w:rFonts w:ascii="Calibri" w:hAnsi="Calibri"/>
          <w:b/>
          <w:color w:val="333333"/>
          <w:sz w:val="20"/>
        </w:rPr>
        <w:t xml:space="preserve">13.  </w:t>
      </w:r>
      <w:r>
        <w:rPr>
          <w:rFonts w:ascii="Calibri" w:hAnsi="Calibri"/>
          <w:color w:val="1AAFCC"/>
          <w:sz w:val="20"/>
        </w:rPr>
        <w:t>Data Models</w:t>
      </w:r>
    </w:p>
    <w:p>
      <w:pPr>
        <w:spacing w:before="40" w:after="40"/>
        <w:ind w:left="504" w:hanging="288"/>
      </w:pPr>
      <w:r>
        <w:rPr>
          <w:rFonts w:ascii="Calibri" w:hAnsi="Calibri"/>
          <w:b/>
          <w:color w:val="333333"/>
          <w:sz w:val="20"/>
        </w:rPr>
        <w:t xml:space="preserve">14.  </w:t>
      </w:r>
      <w:r>
        <w:rPr>
          <w:rFonts w:ascii="Calibri" w:hAnsi="Calibri"/>
          <w:color w:val="1AAFCC"/>
          <w:sz w:val="20"/>
        </w:rPr>
        <w:t>Export System</w:t>
      </w:r>
    </w:p>
    <w:p>
      <w:pPr>
        <w:spacing w:before="40" w:after="40"/>
        <w:ind w:left="504" w:hanging="288"/>
      </w:pPr>
      <w:r>
        <w:rPr>
          <w:rFonts w:ascii="Calibri" w:hAnsi="Calibri"/>
          <w:b/>
          <w:color w:val="333333"/>
          <w:sz w:val="20"/>
        </w:rPr>
        <w:t xml:space="preserve">15.  </w:t>
      </w:r>
      <w:r>
        <w:rPr>
          <w:rFonts w:ascii="Calibri" w:hAnsi="Calibri"/>
          <w:color w:val="1AAFCC"/>
          <w:sz w:val="20"/>
        </w:rPr>
        <w:t>API Reference</w:t>
      </w:r>
    </w:p>
    <w:p>
      <w:pPr>
        <w:spacing w:before="40" w:after="40"/>
        <w:ind w:left="504" w:hanging="288"/>
      </w:pPr>
      <w:r>
        <w:rPr>
          <w:rFonts w:ascii="Calibri" w:hAnsi="Calibri"/>
          <w:b/>
          <w:color w:val="333333"/>
          <w:sz w:val="20"/>
        </w:rPr>
        <w:t xml:space="preserve">16.  </w:t>
      </w:r>
      <w:r>
        <w:rPr>
          <w:rFonts w:ascii="Calibri" w:hAnsi="Calibri"/>
          <w:color w:val="1AAFCC"/>
          <w:sz w:val="20"/>
        </w:rPr>
        <w:t>UI Guide</w:t>
      </w:r>
    </w:p>
    <w:p>
      <w:pPr>
        <w:spacing w:before="40" w:after="40"/>
        <w:ind w:left="504" w:hanging="288"/>
      </w:pPr>
      <w:r>
        <w:rPr>
          <w:rFonts w:ascii="Calibri" w:hAnsi="Calibri"/>
          <w:b/>
          <w:color w:val="333333"/>
          <w:sz w:val="20"/>
        </w:rPr>
        <w:t xml:space="preserve">17.  </w:t>
      </w:r>
      <w:r>
        <w:rPr>
          <w:rFonts w:ascii="Calibri" w:hAnsi="Calibri"/>
          <w:color w:val="1AAFCC"/>
          <w:sz w:val="20"/>
        </w:rPr>
        <w:t>Ingest Parsers</w:t>
      </w:r>
    </w:p>
    <w:p>
      <w:pPr>
        <w:spacing w:before="40" w:after="40"/>
        <w:ind w:left="504" w:hanging="288"/>
      </w:pPr>
      <w:r>
        <w:rPr>
          <w:rFonts w:ascii="Calibri" w:hAnsi="Calibri"/>
          <w:b/>
          <w:color w:val="333333"/>
          <w:sz w:val="20"/>
        </w:rPr>
        <w:t xml:space="preserve">18.  </w:t>
      </w:r>
      <w:r>
        <w:rPr>
          <w:rFonts w:ascii="Calibri" w:hAnsi="Calibri"/>
          <w:color w:val="1AAFCC"/>
          <w:sz w:val="20"/>
        </w:rPr>
        <w:t>Metrics &amp; Monitoring</w:t>
      </w:r>
    </w:p>
    <w:p>
      <w:pPr>
        <w:spacing w:before="40" w:after="40"/>
        <w:ind w:left="504" w:hanging="288"/>
      </w:pPr>
      <w:r>
        <w:rPr>
          <w:rFonts w:ascii="Calibri" w:hAnsi="Calibri"/>
          <w:b/>
          <w:color w:val="333333"/>
          <w:sz w:val="20"/>
        </w:rPr>
        <w:t xml:space="preserve">19.  </w:t>
      </w:r>
      <w:r>
        <w:rPr>
          <w:rFonts w:ascii="Calibri" w:hAnsi="Calibri"/>
          <w:color w:val="1AAFCC"/>
          <w:sz w:val="20"/>
        </w:rPr>
        <w:t>Scheduler</w:t>
      </w:r>
    </w:p>
    <w:p>
      <w:pPr>
        <w:spacing w:before="40" w:after="40"/>
        <w:ind w:left="504" w:hanging="288"/>
      </w:pPr>
      <w:r>
        <w:rPr>
          <w:rFonts w:ascii="Calibri" w:hAnsi="Calibri"/>
          <w:b/>
          <w:color w:val="333333"/>
          <w:sz w:val="20"/>
        </w:rPr>
        <w:t xml:space="preserve">20.  </w:t>
      </w:r>
      <w:r>
        <w:rPr>
          <w:rFonts w:ascii="Calibri" w:hAnsi="Calibri"/>
          <w:color w:val="1AAFCC"/>
          <w:sz w:val="20"/>
        </w:rPr>
        <w:t>Configuration</w:t>
      </w:r>
    </w:p>
    <w:p>
      <w:pPr>
        <w:spacing w:before="40" w:after="40"/>
        <w:ind w:left="504" w:hanging="288"/>
      </w:pPr>
      <w:r>
        <w:rPr>
          <w:rFonts w:ascii="Calibri" w:hAnsi="Calibri"/>
          <w:b/>
          <w:color w:val="333333"/>
          <w:sz w:val="20"/>
        </w:rPr>
        <w:t xml:space="preserve">21.  </w:t>
      </w:r>
      <w:r>
        <w:rPr>
          <w:rFonts w:ascii="Calibri" w:hAnsi="Calibri"/>
          <w:color w:val="1AAFCC"/>
          <w:sz w:val="20"/>
        </w:rPr>
        <w:t>Docker Deployment</w:t>
      </w:r>
    </w:p>
    <w:p>
      <w:pPr>
        <w:spacing w:before="40" w:after="40"/>
        <w:ind w:left="504" w:hanging="288"/>
      </w:pPr>
      <w:r>
        <w:rPr>
          <w:rFonts w:ascii="Calibri" w:hAnsi="Calibri"/>
          <w:b/>
          <w:color w:val="333333"/>
          <w:sz w:val="20"/>
        </w:rPr>
        <w:t xml:space="preserve">22.  </w:t>
      </w:r>
      <w:r>
        <w:rPr>
          <w:rFonts w:ascii="Calibri" w:hAnsi="Calibri"/>
          <w:color w:val="1AAFCC"/>
          <w:sz w:val="20"/>
        </w:rPr>
        <w:t>Port Map</w:t>
      </w:r>
    </w:p>
    <w:p>
      <w:pPr>
        <w:spacing w:before="40" w:after="40"/>
        <w:ind w:left="504" w:hanging="288"/>
      </w:pPr>
      <w:r>
        <w:rPr>
          <w:rFonts w:ascii="Calibri" w:hAnsi="Calibri"/>
          <w:b/>
          <w:color w:val="333333"/>
          <w:sz w:val="20"/>
        </w:rPr>
        <w:t xml:space="preserve">23.  </w:t>
      </w:r>
      <w:r>
        <w:rPr>
          <w:rFonts w:ascii="Calibri" w:hAnsi="Calibri"/>
          <w:color w:val="1AAFCC"/>
          <w:sz w:val="20"/>
        </w:rPr>
        <w:t>Tech Stack</w:t>
      </w:r>
    </w:p>
    <w:p>
      <w:pPr>
        <w:spacing w:before="40" w:after="40"/>
        <w:ind w:left="504" w:hanging="288"/>
      </w:pPr>
      <w:r>
        <w:rPr>
          <w:rFonts w:ascii="Calibri" w:hAnsi="Calibri"/>
          <w:b/>
          <w:color w:val="333333"/>
          <w:sz w:val="20"/>
        </w:rPr>
        <w:t xml:space="preserve">24.  </w:t>
      </w:r>
      <w:r>
        <w:rPr>
          <w:rFonts w:ascii="Calibri" w:hAnsi="Calibri"/>
          <w:color w:val="1AAFCC"/>
          <w:sz w:val="20"/>
        </w:rPr>
        <w:t>Future Roadmap</w:t>
      </w:r>
    </w:p>
    <w:p>
      <w:pPr>
        <w:spacing w:before="80" w:after="80"/>
        <w:pBdr>
          <w:bottom w:val="single" w:sz="6" w:color="1AAFCC"/>
        </w:pBdr>
      </w:pPr>
    </w:p>
    <w:p>
      <w:pPr>
        <w:pStyle w:val="Heading1"/>
        <w:spacing w:before="400" w:after="160"/>
      </w:pPr>
      <w:r>
        <w:rPr>
          <w:rFonts w:ascii="Calibri" w:hAnsi="Calibri"/>
          <w:b/>
          <w:color w:val="1B2333"/>
          <w:sz w:val="32"/>
        </w:rPr>
        <w:t>1. Executive Summary</w:t>
      </w:r>
    </w:p>
    <w:p>
      <w:pPr>
        <w:spacing w:before="0" w:after="120"/>
      </w:pPr>
      <w:r>
        <w:rPr>
          <w:rFonts w:ascii="Calibri" w:hAnsi="Calibri"/>
          <w:color w:val="333333"/>
          <w:sz w:val="20"/>
        </w:rPr>
        <w:t xml:space="preserve">The </w:t>
      </w:r>
      <w:r>
        <w:rPr>
          <w:rFonts w:ascii="Calibri" w:hAnsi="Calibri"/>
          <w:b/>
          <w:color w:val="333333"/>
          <w:sz w:val="20"/>
        </w:rPr>
        <w:t>Cardiology Intelligence Agent</w:t>
      </w:r>
      <w:r>
        <w:rPr>
          <w:rFonts w:ascii="Calibri" w:hAnsi="Calibri"/>
          <w:color w:val="333333"/>
          <w:sz w:val="20"/>
        </w:rPr>
        <w:t xml:space="preserve"> is a domain-specialized retrieval-augmented generation (RAG) system that synthesizes cardiac imaging, electrophysiology, hemodynamics, heart failure management, valvular disease, preventive cardiology, interventional data, and cardio-oncology surveillance into guideline-aligned clinical recommendations using ACC/AHA/ESC evidence.</w:t>
      </w:r>
    </w:p>
    <w:p>
      <w:pPr>
        <w:spacing w:before="0" w:after="120"/>
      </w:pPr>
      <w:r>
        <w:rPr>
          <w:rFonts w:ascii="Calibri" w:hAnsi="Calibri"/>
          <w:color w:val="333333"/>
          <w:sz w:val="20"/>
        </w:rPr>
        <w:t>The system searches 12 cardiology-specific Milvus vector collections plus 1 shared genomic_evidence collection (3.5M variant vectors), implements 6 validated cardiovascular risk calculators (ASCVD, HEART, CHA2DS2-VASc, HAS-BLED, MAGGIC, EuroSCORE II), optimizes guideline-directed medical therapy (GDMT) for heart failure (7 therapy classes including finerenone, omecamtiv, and sotagliflozin), and provides 11 clinical workflows covering the highest-impact cardiovascular use cases.</w:t>
      </w:r>
    </w:p>
    <w:p>
      <w:pPr>
        <w:spacing w:before="0" w:after="120"/>
      </w:pPr>
      <w:r>
        <w:rPr>
          <w:rFonts w:ascii="Calibri" w:hAnsi="Calibri"/>
          <w:color w:val="333333"/>
          <w:sz w:val="20"/>
        </w:rPr>
        <w:t>The Cardiology Intelligence Agent is built as part of the HCLS AI Factory, a three-stage precision medicine platform (Genomics, RAG/Chat, Drug Discovery) designed to run end-to-end on a single NVIDIA DGX Spark.</w:t>
      </w:r>
    </w:p>
    <w:p>
      <w:pPr>
        <w:pStyle w:val="Heading2"/>
        <w:spacing w:before="280" w:after="120"/>
      </w:pPr>
      <w:r>
        <w:rPr>
          <w:rFonts w:ascii="Calibri" w:hAnsi="Calibri"/>
          <w:b/>
          <w:color w:val="1AAFCC"/>
          <w:sz w:val="26"/>
        </w:rPr>
        <w:t>Codebase at a Glance</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Python LOC</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28,189</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files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43 (37 Python, 1 TOML, 1 YAML, 2 Markdown, 1 requirements.txt, 1 .env template)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 collections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(12 cardiology-specific + 1 shared genomic_evidence)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 conditions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 cardiovascular conditions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 biomarkers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 cardiac biomarkers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 drug classes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 drug classes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 genes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56 cardiovascular genes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 imaging modalities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 imaging protocols (12 echo, 7 CMR, 5 nuclear, 3 CT)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documents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 guideline documents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recommendations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63 structured ACC/AHA/ESC recommendations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Entity aliases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167 abbreviation mappings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validated scoring systems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 workflows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imaging triggers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genomic trigger patterns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 parsers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 (PubMed, trials, imaging, ECG, guideline, device, hemodynamics)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Enums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Pydantic models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Dataclasses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 (SearchPlan)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Claude Sonnet 4.6 (claude-sonnet-4-6)</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 model</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(384-dim)</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 Vision &amp; Mission</w:t>
      </w:r>
    </w:p>
    <w:p>
      <w:pPr>
        <w:pStyle w:val="Heading2"/>
        <w:spacing w:before="280" w:after="120"/>
      </w:pPr>
      <w:r>
        <w:rPr>
          <w:rFonts w:ascii="Calibri" w:hAnsi="Calibri"/>
          <w:b/>
          <w:color w:val="1AAFCC"/>
          <w:sz w:val="26"/>
        </w:rPr>
        <w:t>The Problem</w:t>
      </w:r>
    </w:p>
    <w:p>
      <w:pPr>
        <w:spacing w:before="0" w:after="120"/>
      </w:pPr>
      <w:r>
        <w:rPr>
          <w:rFonts w:ascii="Calibri" w:hAnsi="Calibri"/>
          <w:color w:val="333333"/>
          <w:sz w:val="20"/>
        </w:rPr>
        <w:t>Cardiovascular disease (CVD) remains the leading cause of death globally, claiming approximately 17.9 million lives annually -- 32% of all deaths worldwide. Despite exponential growth in cardiovascular AI research (over 4,500 publications in 2025 alone), critical barriers persist in clinical translation: fragmented evidence across modalities, siloed data systems, lack of integrated genomic-imaging correlation, and prohibitive infrastructure costs that limit advanced cardiac AI to elite academic centers.</w:t>
      </w:r>
    </w:p>
    <w:p>
      <w:pPr>
        <w:spacing w:before="0" w:after="120"/>
      </w:pPr>
      <w:r>
        <w:rPr>
          <w:rFonts w:ascii="Calibri" w:hAnsi="Calibri"/>
          <w:color w:val="333333"/>
          <w:sz w:val="20"/>
        </w:rPr>
        <w:t>Current tools fall short:</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Approach</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Limitation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 search</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Keyword-based; no cross-modal integration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UpToDate / DynaMed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Expert-curated but static; no patient-specific reasoning</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Commercial CVIS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Vendor-locked; $500K-$2M+ implementation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EHR-integrated CDS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Rule-based; cannot synthesize unstructured evidence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General AI assistants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citation provenance; hallucination risk</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Imaging-only AI</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Single-modality; no genomic integration; cloud-dependent</w:t>
            </w:r>
          </w:p>
        </w:tc>
      </w:tr>
    </w:tbl>
    <w:p>
      <w:pPr>
        <w:spacing w:before="40" w:after="80"/>
      </w:pPr>
    </w:p>
    <w:p>
      <w:pPr>
        <w:pStyle w:val="Heading2"/>
        <w:spacing w:before="280" w:after="120"/>
      </w:pPr>
      <w:r>
        <w:rPr>
          <w:rFonts w:ascii="Calibri" w:hAnsi="Calibri"/>
          <w:b/>
          <w:color w:val="1AAFCC"/>
          <w:sz w:val="26"/>
        </w:rPr>
        <w:t>Mission Statement</w:t>
      </w:r>
    </w:p>
    <w:p>
      <w:pPr>
        <w:spacing w:before="0" w:after="120"/>
      </w:pPr>
      <w:r>
        <w:rPr>
          <w:rFonts w:ascii="Calibri" w:hAnsi="Calibri"/>
          <w:color w:val="333333"/>
          <w:sz w:val="20"/>
        </w:rPr>
        <w:t>Democratize cardiovascular clinical decision support by providing unified, evidence-grounded intelligence across the entire cardiology landscape -- from imaging interpretation through risk stratification through GDMT optimization -- on hardware that any clinic or research lab can afford.</w:t>
      </w:r>
    </w:p>
    <w:p>
      <w:pPr>
        <w:pStyle w:val="Heading2"/>
        <w:spacing w:before="280" w:after="120"/>
      </w:pPr>
      <w:r>
        <w:rPr>
          <w:rFonts w:ascii="Calibri" w:hAnsi="Calibri"/>
          <w:b/>
          <w:color w:val="1AAFCC"/>
          <w:sz w:val="26"/>
        </w:rPr>
        <w:t>Design Principles</w:t>
      </w:r>
    </w:p>
    <w:p>
      <w:pPr>
        <w:spacing w:before="40" w:after="40"/>
        <w:ind w:left="504" w:hanging="288"/>
      </w:pPr>
      <w:r>
        <w:rPr>
          <w:rFonts w:ascii="Calibri" w:hAnsi="Calibri"/>
          <w:b/>
          <w:color w:val="333333"/>
          <w:sz w:val="20"/>
        </w:rPr>
        <w:t xml:space="preserve">1.  </w:t>
      </w:r>
      <w:r>
        <w:rPr>
          <w:rFonts w:ascii="Calibri" w:hAnsi="Calibri"/>
          <w:b/>
          <w:color w:val="333333"/>
          <w:sz w:val="20"/>
        </w:rPr>
        <w:t>Guideline-Aligned</w:t>
      </w:r>
      <w:r>
        <w:rPr>
          <w:rFonts w:ascii="Calibri" w:hAnsi="Calibri"/>
          <w:color w:val="333333"/>
          <w:sz w:val="20"/>
        </w:rPr>
        <w:t>: Every recommendation traces to ACC/AHA/ESC guidelines with recommendation class and evidence level.</w:t>
      </w:r>
    </w:p>
    <w:p>
      <w:pPr>
        <w:spacing w:before="40" w:after="40"/>
        <w:ind w:left="504" w:hanging="288"/>
      </w:pPr>
      <w:r>
        <w:rPr>
          <w:rFonts w:ascii="Calibri" w:hAnsi="Calibri"/>
          <w:b/>
          <w:color w:val="333333"/>
          <w:sz w:val="20"/>
        </w:rPr>
        <w:t xml:space="preserve">2.  </w:t>
      </w:r>
      <w:r>
        <w:rPr>
          <w:rFonts w:ascii="Calibri" w:hAnsi="Calibri"/>
          <w:b/>
          <w:color w:val="333333"/>
          <w:sz w:val="20"/>
        </w:rPr>
        <w:t>Multi-Modal</w:t>
      </w:r>
      <w:r>
        <w:rPr>
          <w:rFonts w:ascii="Calibri" w:hAnsi="Calibri"/>
          <w:color w:val="333333"/>
          <w:sz w:val="20"/>
        </w:rPr>
        <w:t>: Integrates imaging, electrophysiology, hemodynamics, genomics, biomarkers, and clinical data.</w:t>
      </w:r>
    </w:p>
    <w:p>
      <w:pPr>
        <w:spacing w:before="40" w:after="40"/>
        <w:ind w:left="504" w:hanging="288"/>
      </w:pPr>
      <w:r>
        <w:rPr>
          <w:rFonts w:ascii="Calibri" w:hAnsi="Calibri"/>
          <w:b/>
          <w:color w:val="333333"/>
          <w:sz w:val="20"/>
        </w:rPr>
        <w:t xml:space="preserve">3.  </w:t>
      </w:r>
      <w:r>
        <w:rPr>
          <w:rFonts w:ascii="Calibri" w:hAnsi="Calibri"/>
          <w:b/>
          <w:color w:val="333333"/>
          <w:sz w:val="20"/>
        </w:rPr>
        <w:t>Quantitative</w:t>
      </w:r>
      <w:r>
        <w:rPr>
          <w:rFonts w:ascii="Calibri" w:hAnsi="Calibri"/>
          <w:color w:val="333333"/>
          <w:sz w:val="20"/>
        </w:rPr>
        <w:t>: Risk calculators produce specific scores, not vague guidance. GDMT optimizer recommends specific doses.</w:t>
      </w:r>
    </w:p>
    <w:p>
      <w:pPr>
        <w:spacing w:before="40" w:after="40"/>
        <w:ind w:left="504" w:hanging="288"/>
      </w:pPr>
      <w:r>
        <w:rPr>
          <w:rFonts w:ascii="Calibri" w:hAnsi="Calibri"/>
          <w:b/>
          <w:color w:val="333333"/>
          <w:sz w:val="20"/>
        </w:rPr>
        <w:t xml:space="preserve">4.  </w:t>
      </w:r>
      <w:r>
        <w:rPr>
          <w:rFonts w:ascii="Calibri" w:hAnsi="Calibri"/>
          <w:b/>
          <w:color w:val="333333"/>
          <w:sz w:val="20"/>
        </w:rPr>
        <w:t>Cross-Modal</w:t>
      </w:r>
      <w:r>
        <w:rPr>
          <w:rFonts w:ascii="Calibri" w:hAnsi="Calibri"/>
          <w:color w:val="333333"/>
          <w:sz w:val="20"/>
        </w:rPr>
        <w:t>: Imaging findings automatically trigger appropriate genomic workup panels.</w:t>
      </w:r>
    </w:p>
    <w:p>
      <w:pPr>
        <w:spacing w:before="40" w:after="40"/>
        <w:ind w:left="504" w:hanging="288"/>
      </w:pPr>
      <w:r>
        <w:rPr>
          <w:rFonts w:ascii="Calibri" w:hAnsi="Calibri"/>
          <w:b/>
          <w:color w:val="333333"/>
          <w:sz w:val="20"/>
        </w:rPr>
        <w:t xml:space="preserve">5.  </w:t>
      </w:r>
      <w:r>
        <w:rPr>
          <w:rFonts w:ascii="Calibri" w:hAnsi="Calibri"/>
          <w:b/>
          <w:color w:val="333333"/>
          <w:sz w:val="20"/>
        </w:rPr>
        <w:t>Transparent</w:t>
      </w:r>
      <w:r>
        <w:rPr>
          <w:rFonts w:ascii="Calibri" w:hAnsi="Calibri"/>
          <w:color w:val="333333"/>
          <w:sz w:val="20"/>
        </w:rPr>
        <w:t>: All responses cite source collections, similarity scores, and guideline references.</w:t>
      </w:r>
    </w:p>
    <w:p>
      <w:pPr>
        <w:spacing w:before="80" w:after="80"/>
        <w:pBdr>
          <w:bottom w:val="single" w:sz="6" w:color="1AAFCC"/>
        </w:pBdr>
      </w:pPr>
    </w:p>
    <w:p>
      <w:pPr>
        <w:pStyle w:val="Heading1"/>
        <w:spacing w:before="400" w:after="160"/>
      </w:pPr>
      <w:r>
        <w:rPr>
          <w:rFonts w:ascii="Calibri" w:hAnsi="Calibri"/>
          <w:b/>
          <w:color w:val="1B2333"/>
          <w:sz w:val="32"/>
        </w:rPr>
        <w:t>3. System Overview</w:t>
      </w:r>
    </w:p>
    <w:p>
      <w:pPr>
        <w:pStyle w:val="Heading2"/>
        <w:spacing w:before="280" w:after="120"/>
      </w:pPr>
      <w:r>
        <w:rPr>
          <w:rFonts w:ascii="Calibri" w:hAnsi="Calibri"/>
          <w:b/>
          <w:color w:val="1AAFCC"/>
          <w:sz w:val="26"/>
        </w:rPr>
        <w:t>High-Level Architecture</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STREAMLIT UI (8536)                             |</w:t>
      </w:r>
    </w:p>
    <w:p>
      <w:pPr>
        <w:spacing w:before="0" w:after="0" w:line="240" w:lineRule="auto"/>
        <w:ind w:left="288"/>
        <w:shd w:val="clear" w:fill="F0F0F0"/>
      </w:pPr>
      <w:r>
        <w:rPr>
          <w:rFonts w:ascii="Courier New" w:hAnsi="Courier New"/>
          <w:color w:val="444444"/>
          <w:sz w:val="18"/>
        </w:rPr>
        <w:t>|  [Dashboard] [CAD] [Heart Failure] [Valvular] [Arrhythmia]       |</w:t>
      </w:r>
    </w:p>
    <w:p>
      <w:pPr>
        <w:spacing w:before="0" w:after="0" w:line="240" w:lineRule="auto"/>
        <w:ind w:left="288"/>
        <w:shd w:val="clear" w:fill="F0F0F0"/>
      </w:pPr>
      <w:r>
        <w:rPr>
          <w:rFonts w:ascii="Courier New" w:hAnsi="Courier New"/>
          <w:color w:val="444444"/>
          <w:sz w:val="18"/>
        </w:rPr>
        <w:t>|  [Cardiac MRI] [Stress Test] [Prevention] [Cardio-Onc] [Reports] |</w:t>
      </w:r>
    </w:p>
    <w:p>
      <w:pPr>
        <w:spacing w:before="0" w:after="0" w:line="240" w:lineRule="auto"/>
        <w:ind w:left="288"/>
        <w:shd w:val="clear" w:fill="F0F0F0"/>
      </w:pPr>
      <w:r>
        <w:rPr>
          <w:rFonts w:ascii="Courier New" w:hAnsi="Courier New"/>
          <w:color w:val="444444"/>
          <w:sz w:val="18"/>
        </w:rPr>
        <w:t>|  Sidebar: Workflow filter, Collection stats, Risk calc, Export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v                                          v</w:t>
      </w:r>
    </w:p>
    <w:p>
      <w:pPr>
        <w:spacing w:before="0" w:after="0" w:line="240" w:lineRule="auto"/>
        <w:ind w:left="288"/>
        <w:shd w:val="clear" w:fill="F0F0F0"/>
      </w:pPr>
      <w:r>
        <w:rPr>
          <w:rFonts w:ascii="Courier New" w:hAnsi="Courier New"/>
          <w:color w:val="444444"/>
          <w:sz w:val="18"/>
        </w:rPr>
        <w:t>+------------------+                    +---------------------+</w:t>
      </w:r>
    </w:p>
    <w:p>
      <w:pPr>
        <w:spacing w:before="0" w:after="0" w:line="240" w:lineRule="auto"/>
        <w:ind w:left="288"/>
        <w:shd w:val="clear" w:fill="F0F0F0"/>
      </w:pPr>
      <w:r>
        <w:rPr>
          <w:rFonts w:ascii="Courier New" w:hAnsi="Courier New"/>
          <w:color w:val="444444"/>
          <w:sz w:val="18"/>
        </w:rPr>
        <w:t>|  FastAPI Server  |                    |  Clinical Engines   |</w:t>
      </w:r>
    </w:p>
    <w:p>
      <w:pPr>
        <w:spacing w:before="0" w:after="0" w:line="240" w:lineRule="auto"/>
        <w:ind w:left="288"/>
        <w:shd w:val="clear" w:fill="F0F0F0"/>
      </w:pPr>
      <w:r>
        <w:rPr>
          <w:rFonts w:ascii="Courier New" w:hAnsi="Courier New"/>
          <w:color w:val="444444"/>
          <w:sz w:val="18"/>
        </w:rPr>
        <w:t>|  :8126           |                    |  - Risk Calculators |</w:t>
      </w:r>
    </w:p>
    <w:p>
      <w:pPr>
        <w:spacing w:before="0" w:after="0" w:line="240" w:lineRule="auto"/>
        <w:ind w:left="288"/>
        <w:shd w:val="clear" w:fill="F0F0F0"/>
      </w:pPr>
      <w:r>
        <w:rPr>
          <w:rFonts w:ascii="Courier New" w:hAnsi="Courier New"/>
          <w:color w:val="444444"/>
          <w:sz w:val="18"/>
        </w:rPr>
        <w:t>|  POST /v1/cardio |                    |  - GDMT Optimizer   |</w:t>
      </w:r>
    </w:p>
    <w:p>
      <w:pPr>
        <w:spacing w:before="0" w:after="0" w:line="240" w:lineRule="auto"/>
        <w:ind w:left="288"/>
        <w:shd w:val="clear" w:fill="F0F0F0"/>
      </w:pPr>
      <w:r>
        <w:rPr>
          <w:rFonts w:ascii="Courier New" w:hAnsi="Courier New"/>
          <w:color w:val="444444"/>
          <w:sz w:val="18"/>
        </w:rPr>
        <w:t>|  GET  /health    |                    |  - Cross-Modal      |</w:t>
      </w:r>
    </w:p>
    <w:p>
      <w:pPr>
        <w:spacing w:before="0" w:after="0" w:line="240" w:lineRule="auto"/>
        <w:ind w:left="288"/>
        <w:shd w:val="clear" w:fill="F0F0F0"/>
      </w:pPr>
      <w:r>
        <w:rPr>
          <w:rFonts w:ascii="Courier New" w:hAnsi="Courier New"/>
          <w:color w:val="444444"/>
          <w:sz w:val="18"/>
        </w:rPr>
        <w:t>+------------------+                    |  - Workflows        |</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v                                          |</w:t>
      </w:r>
    </w:p>
    <w:p>
      <w:pPr>
        <w:spacing w:before="0" w:after="0" w:line="240" w:lineRule="auto"/>
        <w:ind w:left="288"/>
        <w:shd w:val="clear" w:fill="F0F0F0"/>
      </w:pPr>
      <w:r>
        <w:rPr>
          <w:rFonts w:ascii="Courier New" w:hAnsi="Courier New"/>
          <w:color w:val="444444"/>
          <w:sz w:val="18"/>
        </w:rPr>
        <w:t>+------------------+                                |</w:t>
      </w:r>
    </w:p>
    <w:p>
      <w:pPr>
        <w:spacing w:before="0" w:after="0" w:line="240" w:lineRule="auto"/>
        <w:ind w:left="288"/>
        <w:shd w:val="clear" w:fill="F0F0F0"/>
      </w:pPr>
      <w:r>
        <w:rPr>
          <w:rFonts w:ascii="Courier New" w:hAnsi="Courier New"/>
          <w:color w:val="444444"/>
          <w:sz w:val="18"/>
        </w:rPr>
        <w:t>|  RAG Engine      |&lt;-------------------------------+</w:t>
      </w:r>
    </w:p>
    <w:p>
      <w:pPr>
        <w:spacing w:before="0" w:after="0" w:line="240" w:lineRule="auto"/>
        <w:ind w:left="288"/>
        <w:shd w:val="clear" w:fill="F0F0F0"/>
      </w:pPr>
      <w:r>
        <w:rPr>
          <w:rFonts w:ascii="Courier New" w:hAnsi="Courier New"/>
          <w:color w:val="444444"/>
          <w:sz w:val="18"/>
        </w:rPr>
        <w:t>|  - Query Expand  |</w:t>
      </w:r>
    </w:p>
    <w:p>
      <w:pPr>
        <w:spacing w:before="0" w:after="0" w:line="240" w:lineRule="auto"/>
        <w:ind w:left="288"/>
        <w:shd w:val="clear" w:fill="F0F0F0"/>
      </w:pPr>
      <w:r>
        <w:rPr>
          <w:rFonts w:ascii="Courier New" w:hAnsi="Courier New"/>
          <w:color w:val="444444"/>
          <w:sz w:val="18"/>
        </w:rPr>
        <w:t>|  - Multi-Collect |</w:t>
      </w:r>
    </w:p>
    <w:p>
      <w:pPr>
        <w:spacing w:before="0" w:after="0" w:line="240" w:lineRule="auto"/>
        <w:ind w:left="288"/>
        <w:shd w:val="clear" w:fill="F0F0F0"/>
      </w:pPr>
      <w:r>
        <w:rPr>
          <w:rFonts w:ascii="Courier New" w:hAnsi="Courier New"/>
          <w:color w:val="444444"/>
          <w:sz w:val="18"/>
        </w:rPr>
        <w:t>|  - Citation Score|</w:t>
      </w:r>
    </w:p>
    <w:p>
      <w:pPr>
        <w:spacing w:before="0" w:after="0" w:line="240" w:lineRule="auto"/>
        <w:ind w:left="288"/>
        <w:shd w:val="clear" w:fill="F0F0F0"/>
      </w:pPr>
      <w:r>
        <w:rPr>
          <w:rFonts w:ascii="Courier New" w:hAnsi="Courier New"/>
          <w:color w:val="444444"/>
          <w:sz w:val="18"/>
        </w:rPr>
        <w:t>|  - LLM Synthesis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Milvus Vector DB (:19530)            |</w:t>
      </w:r>
    </w:p>
    <w:p>
      <w:pPr>
        <w:spacing w:before="0" w:after="0" w:line="240" w:lineRule="auto"/>
        <w:ind w:left="288"/>
        <w:shd w:val="clear" w:fill="F0F0F0"/>
      </w:pPr>
      <w:r>
        <w:rPr>
          <w:rFonts w:ascii="Courier New" w:hAnsi="Courier New"/>
          <w:color w:val="444444"/>
          <w:sz w:val="18"/>
        </w:rPr>
        <w:t>|  12 cardio collections + genomic_evidence         |</w:t>
      </w:r>
    </w:p>
    <w:p>
      <w:pPr>
        <w:spacing w:before="0" w:after="0" w:line="240" w:lineRule="auto"/>
        <w:ind w:left="288"/>
        <w:shd w:val="clear" w:fill="F0F0F0"/>
      </w:pPr>
      <w:r>
        <w:rPr>
          <w:rFonts w:ascii="Courier New" w:hAnsi="Courier New"/>
          <w:color w:val="444444"/>
          <w:sz w:val="18"/>
        </w:rPr>
        <w:t>|  384-dim BGE-small-en-v1.5 / IVF_FLAT / COSINE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etcd (:2379)  |  MinIO (:9000)                  |</w:t>
      </w:r>
    </w:p>
    <w:p>
      <w:pPr>
        <w:spacing w:before="0" w:after="0" w:line="240" w:lineRule="auto"/>
        <w:ind w:left="288"/>
        <w:shd w:val="clear" w:fill="F0F0F0"/>
      </w:pPr>
      <w:r>
        <w:rPr>
          <w:rFonts w:ascii="Courier New" w:hAnsi="Courier New"/>
          <w:color w:val="444444"/>
          <w:sz w:val="18"/>
        </w:rPr>
        <w:t>+--------------------------------------------------+</w:t>
      </w:r>
    </w:p>
    <w:p>
      <w:pPr>
        <w:pStyle w:val="Heading2"/>
        <w:spacing w:before="280" w:after="120"/>
      </w:pPr>
      <w:r>
        <w:rPr>
          <w:rFonts w:ascii="Calibri" w:hAnsi="Calibri"/>
          <w:b/>
          <w:color w:val="1AAFCC"/>
          <w:sz w:val="26"/>
        </w:rPr>
        <w:t>Component Interaction Flow</w:t>
      </w:r>
    </w:p>
    <w:p>
      <w:pPr>
        <w:spacing w:before="40" w:after="40"/>
        <w:ind w:left="504" w:hanging="288"/>
      </w:pPr>
      <w:r>
        <w:rPr>
          <w:rFonts w:ascii="Calibri" w:hAnsi="Calibri"/>
          <w:b/>
          <w:color w:val="333333"/>
          <w:sz w:val="20"/>
        </w:rPr>
        <w:t xml:space="preserve">1.  </w:t>
      </w:r>
      <w:r>
        <w:rPr>
          <w:rFonts w:ascii="Calibri" w:hAnsi="Calibri"/>
          <w:b/>
          <w:color w:val="333333"/>
          <w:sz w:val="20"/>
        </w:rPr>
        <w:t>Query arrives</w:t>
      </w:r>
      <w:r>
        <w:rPr>
          <w:rFonts w:ascii="Calibri" w:hAnsi="Calibri"/>
          <w:color w:val="333333"/>
          <w:sz w:val="20"/>
        </w:rPr>
        <w:t xml:space="preserve"> via Streamlit UI or FastAPI endpoint</w:t>
      </w:r>
    </w:p>
    <w:p>
      <w:pPr>
        <w:spacing w:before="40" w:after="40"/>
        <w:ind w:left="504" w:hanging="288"/>
      </w:pPr>
      <w:r>
        <w:rPr>
          <w:rFonts w:ascii="Calibri" w:hAnsi="Calibri"/>
          <w:b/>
          <w:color w:val="333333"/>
          <w:sz w:val="20"/>
        </w:rPr>
        <w:t xml:space="preserve">2.  </w:t>
      </w:r>
      <w:r>
        <w:rPr>
          <w:rFonts w:ascii="Calibri" w:hAnsi="Calibri"/>
          <w:b/>
          <w:color w:val="333333"/>
          <w:sz w:val="20"/>
        </w:rPr>
        <w:t>Query expansion</w:t>
      </w:r>
      <w:r>
        <w:rPr>
          <w:rFonts w:ascii="Calibri" w:hAnsi="Calibri"/>
          <w:color w:val="333333"/>
          <w:sz w:val="20"/>
        </w:rPr>
        <w:t xml:space="preserve"> decomposes into sub-questions, identifies conditions/drugs/modalities</w:t>
      </w:r>
    </w:p>
    <w:p>
      <w:pPr>
        <w:spacing w:before="40" w:after="40"/>
        <w:ind w:left="504" w:hanging="288"/>
      </w:pPr>
      <w:r>
        <w:rPr>
          <w:rFonts w:ascii="Calibri" w:hAnsi="Calibri"/>
          <w:b/>
          <w:color w:val="333333"/>
          <w:sz w:val="20"/>
        </w:rPr>
        <w:t xml:space="preserve">3.  </w:t>
      </w:r>
      <w:r>
        <w:rPr>
          <w:rFonts w:ascii="Calibri" w:hAnsi="Calibri"/>
          <w:b/>
          <w:color w:val="333333"/>
          <w:sz w:val="20"/>
        </w:rPr>
        <w:t>Workflow routing</w:t>
      </w:r>
      <w:r>
        <w:rPr>
          <w:rFonts w:ascii="Calibri" w:hAnsi="Calibri"/>
          <w:color w:val="333333"/>
          <w:sz w:val="20"/>
        </w:rPr>
        <w:t xml:space="preserve"> selects applicable clinical workflows (CAD, HF, valvular, etc.)</w:t>
      </w:r>
    </w:p>
    <w:p>
      <w:pPr>
        <w:spacing w:before="40" w:after="40"/>
        <w:ind w:left="504" w:hanging="288"/>
      </w:pPr>
      <w:r>
        <w:rPr>
          <w:rFonts w:ascii="Calibri" w:hAnsi="Calibri"/>
          <w:b/>
          <w:color w:val="333333"/>
          <w:sz w:val="20"/>
        </w:rPr>
        <w:t xml:space="preserve">4.  </w:t>
      </w:r>
      <w:r>
        <w:rPr>
          <w:rFonts w:ascii="Calibri" w:hAnsi="Calibri"/>
          <w:b/>
          <w:color w:val="333333"/>
          <w:sz w:val="20"/>
        </w:rPr>
        <w:t>Multi-collection search</w:t>
      </w:r>
      <w:r>
        <w:rPr>
          <w:rFonts w:ascii="Calibri" w:hAnsi="Calibri"/>
          <w:color w:val="333333"/>
          <w:sz w:val="20"/>
        </w:rPr>
        <w:t xml:space="preserve"> queries relevant Milvus collections with weighted scoring</w:t>
      </w:r>
    </w:p>
    <w:p>
      <w:pPr>
        <w:spacing w:before="40" w:after="40"/>
        <w:ind w:left="504" w:hanging="288"/>
      </w:pPr>
      <w:r>
        <w:rPr>
          <w:rFonts w:ascii="Calibri" w:hAnsi="Calibri"/>
          <w:b/>
          <w:color w:val="333333"/>
          <w:sz w:val="20"/>
        </w:rPr>
        <w:t xml:space="preserve">5.  </w:t>
      </w:r>
      <w:r>
        <w:rPr>
          <w:rFonts w:ascii="Calibri" w:hAnsi="Calibri"/>
          <w:b/>
          <w:color w:val="333333"/>
          <w:sz w:val="20"/>
        </w:rPr>
        <w:t>Risk calculators</w:t>
      </w:r>
      <w:r>
        <w:rPr>
          <w:rFonts w:ascii="Calibri" w:hAnsi="Calibri"/>
          <w:color w:val="333333"/>
          <w:sz w:val="20"/>
        </w:rPr>
        <w:t xml:space="preserve"> compute applicable scores (ASCVD, CHA2DS2-VASc, etc.)</w:t>
      </w:r>
    </w:p>
    <w:p>
      <w:pPr>
        <w:spacing w:before="40" w:after="40"/>
        <w:ind w:left="504" w:hanging="288"/>
      </w:pPr>
      <w:r>
        <w:rPr>
          <w:rFonts w:ascii="Calibri" w:hAnsi="Calibri"/>
          <w:b/>
          <w:color w:val="333333"/>
          <w:sz w:val="20"/>
        </w:rPr>
        <w:t xml:space="preserve">6.  </w:t>
      </w:r>
      <w:r>
        <w:rPr>
          <w:rFonts w:ascii="Calibri" w:hAnsi="Calibri"/>
          <w:b/>
          <w:color w:val="333333"/>
          <w:sz w:val="20"/>
        </w:rPr>
        <w:t>GDMT optimizer</w:t>
      </w:r>
      <w:r>
        <w:rPr>
          <w:rFonts w:ascii="Calibri" w:hAnsi="Calibri"/>
          <w:color w:val="333333"/>
          <w:sz w:val="20"/>
        </w:rPr>
        <w:t xml:space="preserve"> evaluates heart failure medication status and recommends titration</w:t>
      </w:r>
    </w:p>
    <w:p>
      <w:pPr>
        <w:spacing w:before="40" w:after="40"/>
        <w:ind w:left="504" w:hanging="288"/>
      </w:pPr>
      <w:r>
        <w:rPr>
          <w:rFonts w:ascii="Calibri" w:hAnsi="Calibri"/>
          <w:b/>
          <w:color w:val="333333"/>
          <w:sz w:val="20"/>
        </w:rPr>
        <w:t xml:space="preserve">7.  </w:t>
      </w:r>
      <w:r>
        <w:rPr>
          <w:rFonts w:ascii="Calibri" w:hAnsi="Calibri"/>
          <w:b/>
          <w:color w:val="333333"/>
          <w:sz w:val="20"/>
        </w:rPr>
        <w:t>Cross-modal engine</w:t>
      </w:r>
      <w:r>
        <w:rPr>
          <w:rFonts w:ascii="Calibri" w:hAnsi="Calibri"/>
          <w:color w:val="333333"/>
          <w:sz w:val="20"/>
        </w:rPr>
        <w:t xml:space="preserve"> identifies genomic workup triggers from imaging findings</w:t>
      </w:r>
    </w:p>
    <w:p>
      <w:pPr>
        <w:spacing w:before="40" w:after="40"/>
        <w:ind w:left="504" w:hanging="288"/>
      </w:pPr>
      <w:r>
        <w:rPr>
          <w:rFonts w:ascii="Calibri" w:hAnsi="Calibri"/>
          <w:b/>
          <w:color w:val="333333"/>
          <w:sz w:val="20"/>
        </w:rPr>
        <w:t xml:space="preserve">8.  </w:t>
      </w:r>
      <w:r>
        <w:rPr>
          <w:rFonts w:ascii="Calibri" w:hAnsi="Calibri"/>
          <w:b/>
          <w:color w:val="333333"/>
          <w:sz w:val="20"/>
        </w:rPr>
        <w:t>LLM synthesis</w:t>
      </w:r>
      <w:r>
        <w:rPr>
          <w:rFonts w:ascii="Calibri" w:hAnsi="Calibri"/>
          <w:color w:val="333333"/>
          <w:sz w:val="20"/>
        </w:rPr>
        <w:t xml:space="preserve"> (Claude Sonnet 4.6) generates evidence-grounded clinical response</w:t>
      </w:r>
    </w:p>
    <w:p>
      <w:pPr>
        <w:spacing w:before="40" w:after="40"/>
        <w:ind w:left="504" w:hanging="288"/>
      </w:pPr>
      <w:r>
        <w:rPr>
          <w:rFonts w:ascii="Calibri" w:hAnsi="Calibri"/>
          <w:b/>
          <w:color w:val="333333"/>
          <w:sz w:val="20"/>
        </w:rPr>
        <w:t xml:space="preserve">9.  </w:t>
      </w:r>
      <w:r>
        <w:rPr>
          <w:rFonts w:ascii="Calibri" w:hAnsi="Calibri"/>
          <w:b/>
          <w:color w:val="333333"/>
          <w:sz w:val="20"/>
        </w:rPr>
        <w:t>Citation scoring</w:t>
      </w:r>
      <w:r>
        <w:rPr>
          <w:rFonts w:ascii="Calibri" w:hAnsi="Calibri"/>
          <w:color w:val="333333"/>
          <w:sz w:val="20"/>
        </w:rPr>
        <w:t xml:space="preserve"> ranks and formats source citations</w:t>
      </w:r>
    </w:p>
    <w:p>
      <w:pPr>
        <w:spacing w:before="40" w:after="40"/>
        <w:ind w:left="504" w:hanging="288"/>
      </w:pPr>
      <w:r>
        <w:rPr>
          <w:rFonts w:ascii="Calibri" w:hAnsi="Calibri"/>
          <w:b/>
          <w:color w:val="333333"/>
          <w:sz w:val="20"/>
        </w:rPr>
        <w:t xml:space="preserve">10.  </w:t>
      </w:r>
      <w:r>
        <w:rPr>
          <w:rFonts w:ascii="Calibri" w:hAnsi="Calibri"/>
          <w:b/>
          <w:color w:val="333333"/>
          <w:sz w:val="20"/>
        </w:rPr>
        <w:t>Response assembly</w:t>
      </w:r>
      <w:r>
        <w:rPr>
          <w:rFonts w:ascii="Calibri" w:hAnsi="Calibri"/>
          <w:color w:val="333333"/>
          <w:sz w:val="20"/>
        </w:rPr>
        <w:t xml:space="preserve"> packages answer, citations, risk scores, workflow results, triggers</w:t>
      </w:r>
    </w:p>
    <w:p>
      <w:pPr>
        <w:spacing w:before="80" w:after="80"/>
        <w:pBdr>
          <w:bottom w:val="single" w:sz="6" w:color="1AAFCC"/>
        </w:pBdr>
      </w:pPr>
    </w:p>
    <w:p>
      <w:pPr>
        <w:pStyle w:val="Heading1"/>
        <w:spacing w:before="400" w:after="160"/>
      </w:pPr>
      <w:r>
        <w:rPr>
          <w:rFonts w:ascii="Calibri" w:hAnsi="Calibri"/>
          <w:b/>
          <w:color w:val="1B2333"/>
          <w:sz w:val="32"/>
        </w:rPr>
        <w:t>4. File Inventory</w:t>
      </w:r>
    </w:p>
    <w:p>
      <w:pPr>
        <w:pStyle w:val="Heading2"/>
        <w:spacing w:before="280" w:after="120"/>
      </w:pPr>
      <w:r>
        <w:rPr>
          <w:rFonts w:ascii="Calibri" w:hAnsi="Calibri"/>
          <w:b/>
          <w:color w:val="1AAFCC"/>
          <w:sz w:val="26"/>
        </w:rPr>
        <w:t>Source Files (`src/`)</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`agent.py`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1,658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Main agent orchestrator; coordinates all engines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`clinical_workflows.py`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2,445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 clinical workflow implementations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`collections.py`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1,226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collection CRUD and schema definitions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`cross_modal.py`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1,734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Imaging-genomics cross-modal trigger engine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`export.py`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1,379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PDF/CSV/FHIR export system</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`gdmt_optimizer.py`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2,457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4-pillar GDMT optimization engine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1,431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graph (conditions, biomarkers, drugs, genes, imaging, guidelines)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`metrics.py`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537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 metrics instrumentation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`models.py`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717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 enums, 13 Pydantic models, 1 dataclass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`query_expansion.py`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 decomposition, synonym expansion, entity extraction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`rag_engine.py`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1,589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RAG retrieval and synthesis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`risk_calculators.py`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2,397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validated risk calculator implementations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`scheduler.py`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APScheduler-based periodic ingest scheduler</w:t>
            </w:r>
          </w:p>
        </w:tc>
      </w:tr>
    </w:tbl>
    <w:p>
      <w:pPr>
        <w:spacing w:before="40" w:after="80"/>
      </w:pPr>
    </w:p>
    <w:p>
      <w:pPr>
        <w:pStyle w:val="Heading2"/>
        <w:spacing w:before="280" w:after="120"/>
      </w:pPr>
      <w:r>
        <w:rPr>
          <w:rFonts w:ascii="Calibri" w:hAnsi="Calibri"/>
          <w:b/>
          <w:color w:val="1AAFCC"/>
          <w:sz w:val="26"/>
        </w:rPr>
        <w:t>Ingest Parsers (`src/ingest/`)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`base.py`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Abstract base parser class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`pubmed_parser.py`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477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 cardiovascular literature via NCBI E-utilities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`clinical_trials_parser.py`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713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 cardiovascular trials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`imaging_parser.py`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519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imaging reports and protocols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`ecg_parser.py`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interpretation data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`guideline_parser.py`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555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ACC/AHA/ESC guideline documents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`device_parser.py`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FDA-cleared cardiovascular devices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`hemodynamics_parser.py`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Catheterization and hemodynamic data</w:t>
            </w:r>
          </w:p>
        </w:tc>
      </w:tr>
    </w:tbl>
    <w:p>
      <w:pPr>
        <w:spacing w:before="40" w:after="80"/>
      </w:pPr>
    </w:p>
    <w:p>
      <w:pPr>
        <w:pStyle w:val="Heading2"/>
        <w:spacing w:before="280" w:after="120"/>
      </w:pPr>
      <w:r>
        <w:rPr>
          <w:rFonts w:ascii="Calibri" w:hAnsi="Calibri"/>
          <w:b/>
          <w:color w:val="1AAFCC"/>
          <w:sz w:val="26"/>
        </w:rPr>
        <w:t>API Layer (`api/`)</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`main.py`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433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application with CORS, error handling, lifespan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`routes/cardio_clinical.py`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query, risk calc, GDMT, workflow endpoints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`routes/reports.py`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 generation and export endpoints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`routes/events.py`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SSE event streaming</w:t>
            </w:r>
          </w:p>
        </w:tc>
      </w:tr>
    </w:tbl>
    <w:p>
      <w:pPr>
        <w:spacing w:before="40" w:after="80"/>
      </w:pPr>
    </w:p>
    <w:p>
      <w:pPr>
        <w:pStyle w:val="Heading2"/>
        <w:spacing w:before="280" w:after="120"/>
      </w:pPr>
      <w:r>
        <w:rPr>
          <w:rFonts w:ascii="Calibri" w:hAnsi="Calibri"/>
          <w:b/>
          <w:color w:val="1AAFCC"/>
          <w:sz w:val="26"/>
        </w:rPr>
        <w:t>Application (`app/`)</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`cardio_ui.py`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1,182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10-tab cardiovascular UI</w:t>
            </w:r>
          </w:p>
        </w:tc>
      </w:tr>
    </w:tbl>
    <w:p>
      <w:pPr>
        <w:spacing w:before="40" w:after="80"/>
      </w:pPr>
    </w:p>
    <w:p>
      <w:pPr>
        <w:pStyle w:val="Heading2"/>
        <w:spacing w:before="280" w:after="120"/>
      </w:pPr>
      <w:r>
        <w:rPr>
          <w:rFonts w:ascii="Calibri" w:hAnsi="Calibri"/>
          <w:b/>
          <w:color w:val="1AAFCC"/>
          <w:sz w:val="26"/>
        </w:rPr>
        <w:t>Configuration (`config/`)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`settings.py`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Pydantic BaseSettings with validation</w:t>
            </w:r>
          </w:p>
        </w:tc>
      </w:tr>
    </w:tbl>
    <w:p>
      <w:pPr>
        <w:spacing w:before="40" w:after="80"/>
      </w:pPr>
    </w:p>
    <w:p>
      <w:pPr>
        <w:pStyle w:val="Heading2"/>
        <w:spacing w:before="280" w:after="120"/>
      </w:pPr>
      <w:r>
        <w:rPr>
          <w:rFonts w:ascii="Calibri" w:hAnsi="Calibri"/>
          <w:b/>
          <w:color w:val="1AAFCC"/>
          <w:sz w:val="26"/>
        </w:rPr>
        <w:t>Scripts (`scripts/`)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`setup_collections.py`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Create/drop Milvus collections and seed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`seed_knowledge.py`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412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 knowledge graph into collections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`run_ingest.py`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Execute all ingest parsers</w:t>
            </w:r>
          </w:p>
        </w:tc>
      </w:tr>
    </w:tbl>
    <w:p>
      <w:pPr>
        <w:spacing w:before="40" w:after="80"/>
      </w:pPr>
    </w:p>
    <w:p>
      <w:pPr>
        <w:pStyle w:val="Heading2"/>
        <w:spacing w:before="280" w:after="120"/>
      </w:pPr>
      <w:r>
        <w:rPr>
          <w:rFonts w:ascii="Calibri" w:hAnsi="Calibri"/>
          <w:b/>
          <w:color w:val="1AAFCC"/>
          <w:sz w:val="26"/>
        </w:rPr>
        <w:t>Tests (`tests/`)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`conftest.py`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Pytest configuration and fixtures</w:t>
            </w:r>
          </w:p>
        </w:tc>
      </w:tr>
    </w:tbl>
    <w:p>
      <w:pPr>
        <w:spacing w:before="40" w:after="80"/>
      </w:pPr>
    </w:p>
    <w:p>
      <w:pPr>
        <w:pStyle w:val="Heading2"/>
        <w:spacing w:before="280" w:after="120"/>
      </w:pPr>
      <w:r>
        <w:rPr>
          <w:rFonts w:ascii="Calibri" w:hAnsi="Calibri"/>
          <w:b/>
          <w:color w:val="1AAFCC"/>
          <w:sz w:val="26"/>
        </w:rPr>
        <w:t>Infrastructure</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`docker-compose.yml`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Full stack: etcd, MinIO, Milvus, Streamlit, API, setup</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`requirements.txt`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Python dependencies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`.streamlit/config.toml`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theme and server configuration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`README.md`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Project overview and quickstart</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5. Collections Catalog</w:t>
      </w:r>
    </w:p>
    <w:p>
      <w:pPr>
        <w:pStyle w:val="Heading2"/>
        <w:spacing w:before="280" w:after="120"/>
      </w:pPr>
      <w:r>
        <w:rPr>
          <w:rFonts w:ascii="Calibri" w:hAnsi="Calibri"/>
          <w:b/>
          <w:color w:val="1AAFCC"/>
          <w:sz w:val="26"/>
        </w:rPr>
        <w:t>12 Cardiology-Specific Collections + 1 Shared</w:t>
      </w:r>
    </w:p>
    <w:p>
      <w:pPr>
        <w:spacing w:before="0" w:after="120"/>
      </w:pPr>
      <w:r>
        <w:rPr>
          <w:rFonts w:ascii="Calibri" w:hAnsi="Calibri"/>
          <w:color w:val="333333"/>
          <w:sz w:val="20"/>
        </w:rPr>
        <w:t>All collections use BGE-small-en-v1.5 embeddings (384-dim), IVF_FLAT index, COSINE similarity.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 Name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Search Weight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`cardio_literature`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Published cardiovascular research, reviews, meta-analyses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`cardio_trials`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Cardiovascular clinical trials and landmark trial results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`cardio_imaging`</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imaging protocols, findings, measurements (echo, CT, MRI, nuclear)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`cardio_electrophysiology`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interpretation, arrhythmia classification, EP data</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`cardio_heart_failure`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classification, GDMT protocols, management algorithms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`cardio_valvular`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 heart disease assessment and intervention criteria</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`cardio_prevention`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 cardiology: risk stratification, lipid management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`cardio_interventional`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Interventional procedures, techniques, outcomes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`cardio_oncology`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 surveillance, cardiotoxicity detection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`cardio_devices`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FDA-cleared cardiovascular AI devices, implantable devices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0.04</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`cardio_guidelines`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ACC/AHA/ESC/HRS clinical practice guidelines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`cardio_hemodynamics`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Catheterization data, pressure tracings, derived calculations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`genomic_evidence`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Shared genomic evidence (read-only, 3.5M variants)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0.03</w:t>
            </w:r>
          </w:p>
        </w:tc>
      </w:tr>
    </w:tbl>
    <w:p>
      <w:pPr>
        <w:spacing w:before="40" w:after="80"/>
      </w:pPr>
    </w:p>
    <w:p>
      <w:pPr>
        <w:spacing w:before="0" w:after="120"/>
      </w:pPr>
      <w:r>
        <w:rPr>
          <w:rFonts w:ascii="Calibri" w:hAnsi="Calibri"/>
          <w:b/>
          <w:color w:val="333333"/>
          <w:sz w:val="20"/>
        </w:rPr>
        <w:t>Total weights:</w:t>
      </w:r>
      <w:r>
        <w:rPr>
          <w:rFonts w:ascii="Calibri" w:hAnsi="Calibri"/>
          <w:color w:val="333333"/>
          <w:sz w:val="20"/>
        </w:rPr>
        <w:t xml:space="preserve"> 1.00</w:t>
      </w:r>
    </w:p>
    <w:p>
      <w:pPr>
        <w:pStyle w:val="Heading2"/>
        <w:spacing w:before="280" w:after="120"/>
      </w:pPr>
      <w:r>
        <w:rPr>
          <w:rFonts w:ascii="Calibri" w:hAnsi="Calibri"/>
          <w:b/>
          <w:color w:val="1AAFCC"/>
          <w:sz w:val="26"/>
        </w:rPr>
        <w:t>Collection Schema</w:t>
      </w:r>
    </w:p>
    <w:p>
      <w:pPr>
        <w:spacing w:before="0" w:after="120"/>
      </w:pPr>
      <w:r>
        <w:rPr>
          <w:rFonts w:ascii="Calibri" w:hAnsi="Calibri"/>
          <w:color w:val="333333"/>
          <w:sz w:val="20"/>
        </w:rPr>
        <w:t>Each collection follows a consistent schema:</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INT64 (PK, auto)</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VARCHAR(65535)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Source text content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`source`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VARCHAR(512)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Source identifier (DOI, URL, guideline ID)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`title`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VARCHAR(1024)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Document title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`metadata`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JSON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Additional structured metadata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`created_at`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Ingestion timestamp</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6. Knowledge Graph</w:t>
      </w:r>
    </w:p>
    <w:p>
      <w:pPr>
        <w:spacing w:before="0" w:after="120"/>
      </w:pPr>
      <w:r>
        <w:rPr>
          <w:rFonts w:ascii="Calibri" w:hAnsi="Calibri"/>
          <w:color w:val="333333"/>
          <w:sz w:val="20"/>
        </w:rPr>
        <w:t>The knowledge graph (</w:t>
      </w:r>
      <w:r>
        <w:rPr>
          <w:rFonts w:ascii="Courier New" w:hAnsi="Courier New"/>
          <w:color w:val="444444"/>
          <w:sz w:val="18"/>
        </w:rPr>
        <w:t>src/knowledge.py</w:t>
      </w:r>
      <w:r>
        <w:rPr>
          <w:rFonts w:ascii="Calibri" w:hAnsi="Calibri"/>
          <w:color w:val="333333"/>
          <w:sz w:val="20"/>
        </w:rPr>
        <w:t>, 1,431 lines) provides structured domain data across 7 categories:</w:t>
      </w:r>
    </w:p>
    <w:p>
      <w:pPr>
        <w:pStyle w:val="Heading2"/>
        <w:spacing w:before="280" w:after="120"/>
      </w:pPr>
      <w:r>
        <w:rPr>
          <w:rFonts w:ascii="Calibri" w:hAnsi="Calibri"/>
          <w:b/>
          <w:color w:val="1AAFCC"/>
          <w:sz w:val="26"/>
        </w:rPr>
        <w:t>6.1 Cardiovascular Conditions (45 entries)</w:t>
      </w:r>
    </w:p>
    <w:p>
      <w:pPr>
        <w:spacing w:before="0" w:after="120"/>
      </w:pPr>
      <w:r>
        <w:rPr>
          <w:rFonts w:ascii="Calibri" w:hAnsi="Calibri"/>
          <w:color w:val="333333"/>
          <w:sz w:val="20"/>
        </w:rPr>
        <w:t>Each condition includes: aliases, ICD-10 code, prevalence, diagnostic criteria, risk factors, imaging modalities, treatment options, associated genes, guideline references, and cross-modal trigger flag.</w:t>
      </w:r>
    </w:p>
    <w:p>
      <w:pPr>
        <w:spacing w:before="0" w:after="120"/>
      </w:pPr>
      <w:r>
        <w:rPr>
          <w:rFonts w:ascii="Calibri" w:hAnsi="Calibri"/>
          <w:b/>
          <w:color w:val="333333"/>
          <w:sz w:val="20"/>
        </w:rPr>
        <w:t>Conditions by category:</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Conditions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Cardiomyopathies (7)</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DCM, ARVC, Takotsubo, Restrictive CM, Cardiac Amyloidosis, Cardiac Sarcoidosis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Coronary Disease (3)</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ACS, Stable Angina</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 Failure (2)</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HFpEF</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Arrhythmias (7)</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 Atrial Flutter, VT, LQTS, Brugada, CPVT, WPW</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Valvular Disease (5)</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Aortic Stenosis, Aortic Regurgitation, Mitral Regurgitation, Mitral Stenosis, Tricuspid Regurgitation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Vascular (3)</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Pulmonary Hypertension, Aortic Dissection, Thoracic Aortic Aneurysm</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Inflammatory (3)</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Myocarditis, Pericarditis, Infective Endocarditis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Metabolic/Other (2)</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Familial Hypercholesterolemia, Cardiac Tamponade</w:t>
            </w:r>
          </w:p>
        </w:tc>
      </w:tr>
    </w:tbl>
    <w:p>
      <w:pPr>
        <w:spacing w:before="40" w:after="80"/>
      </w:pPr>
    </w:p>
    <w:p>
      <w:pPr>
        <w:pStyle w:val="Heading2"/>
        <w:spacing w:before="280" w:after="120"/>
      </w:pPr>
      <w:r>
        <w:rPr>
          <w:rFonts w:ascii="Calibri" w:hAnsi="Calibri"/>
          <w:b/>
          <w:color w:val="1AAFCC"/>
          <w:sz w:val="26"/>
        </w:rPr>
        <w:t>6.2 Cardiac Biomarkers (29 entries)</w:t>
      </w:r>
    </w:p>
    <w:p>
      <w:pPr>
        <w:spacing w:before="0" w:after="120"/>
      </w:pPr>
      <w:r>
        <w:rPr>
          <w:rFonts w:ascii="Calibri" w:hAnsi="Calibri"/>
          <w:color w:val="333333"/>
          <w:sz w:val="20"/>
        </w:rPr>
        <w:t>Each biomarker includes: full name, LOINC code, reference ranges (age/sex stratified where applicable), clinical use, kinetics, confounders, and guideline thresholds.</w:t>
      </w:r>
    </w:p>
    <w:p>
      <w:pPr>
        <w:spacing w:before="0" w:after="120"/>
      </w:pPr>
      <w:r>
        <w:rPr>
          <w:rFonts w:ascii="Calibri" w:hAnsi="Calibri"/>
          <w:b/>
          <w:color w:val="333333"/>
          <w:sz w:val="20"/>
        </w:rPr>
        <w:t>Biomarkers:</w:t>
      </w:r>
      <w:r>
        <w:rPr>
          <w:rFonts w:ascii="Calibri" w:hAnsi="Calibri"/>
          <w:color w:val="333333"/>
          <w:sz w:val="20"/>
        </w:rPr>
        <w:t xml:space="preserve"> hs-cTnI, hs-cTnT, NT-proBNP, BNP, CK-MB, D-dimer, hsCRP, LDL-C, HDL-C, Total Cholesterol, Triglycerides, Lp(a), ApoB, HbA1c, Creatinine/eGFR, Potassium, Magnesium, Ferritin/Iron/TSAT, Lactate, Procalcitonin, IL-6</w:t>
      </w:r>
    </w:p>
    <w:p>
      <w:pPr>
        <w:pStyle w:val="Heading2"/>
        <w:spacing w:before="280" w:after="120"/>
      </w:pPr>
      <w:r>
        <w:rPr>
          <w:rFonts w:ascii="Calibri" w:hAnsi="Calibri"/>
          <w:b/>
          <w:color w:val="1AAFCC"/>
          <w:sz w:val="26"/>
        </w:rPr>
        <w:t>6.3 Cardiac Drug Classes (32 entries)</w:t>
      </w:r>
    </w:p>
    <w:p>
      <w:pPr>
        <w:spacing w:before="0" w:after="120"/>
      </w:pPr>
      <w:r>
        <w:rPr>
          <w:rFonts w:ascii="Calibri" w:hAnsi="Calibri"/>
          <w:color w:val="333333"/>
          <w:sz w:val="20"/>
        </w:rPr>
        <w:t>Each drug class includes: specific drugs, mechanism, indications, contraindications, key trials, target doses, and monitoring parameters.</w:t>
      </w:r>
    </w:p>
    <w:p>
      <w:pPr>
        <w:spacing w:before="0" w:after="120"/>
      </w:pPr>
      <w:r>
        <w:rPr>
          <w:rFonts w:ascii="Calibri" w:hAnsi="Calibri"/>
          <w:b/>
          <w:color w:val="333333"/>
          <w:sz w:val="20"/>
        </w:rPr>
        <w:t>Drug classes:</w:t>
      </w:r>
      <w:r>
        <w:rPr>
          <w:rFonts w:ascii="Calibri" w:hAnsi="Calibri"/>
          <w:color w:val="333333"/>
          <w:sz w:val="20"/>
        </w:rPr>
        <w:t xml:space="preserve"> Beta-blockers, ACE inhibitors, ARBs, ARNI, SGLT2 inhibitors, MRA, Loop diuretics, Thiazide diuretics, DHP CCBs, Non-DHP CCBs, Statins, PCSK9 inhibitors, Ezetimibe, Antiplatelets, DOACs, Warfarin, Heparin/LMWH, Class I antiarrhythmics, Class III antiarrhythmics, Digoxin, Nitrates, Hydralazine/ISDN, Ivabradine, Mavacamten, GLP-1 receptor agonists, Inotropes</w:t>
      </w:r>
    </w:p>
    <w:p>
      <w:pPr>
        <w:pStyle w:val="Heading2"/>
        <w:spacing w:before="280" w:after="120"/>
      </w:pPr>
      <w:r>
        <w:rPr>
          <w:rFonts w:ascii="Calibri" w:hAnsi="Calibri"/>
          <w:b/>
          <w:color w:val="1AAFCC"/>
          <w:sz w:val="26"/>
        </w:rPr>
        <w:t>6.4 Cardiovascular Genes (56 entries)</w:t>
      </w:r>
    </w:p>
    <w:p>
      <w:pPr>
        <w:spacing w:before="0" w:after="120"/>
      </w:pPr>
      <w:r>
        <w:rPr>
          <w:rFonts w:ascii="Calibri" w:hAnsi="Calibri"/>
          <w:color w:val="333333"/>
          <w:sz w:val="20"/>
        </w:rPr>
        <w:t>Each gene includes: full name, chromosome locus, function, associated conditions, inheritance pattern, key variants, clinical significance, and genetic testing indication.</w:t>
      </w:r>
    </w:p>
    <w:p>
      <w:pPr>
        <w:spacing w:before="0" w:after="120"/>
      </w:pPr>
      <w:r>
        <w:rPr>
          <w:rFonts w:ascii="Calibri" w:hAnsi="Calibri"/>
          <w:b/>
          <w:color w:val="333333"/>
          <w:sz w:val="20"/>
        </w:rPr>
        <w:t>Gene categories:</w:t>
      </w:r>
    </w:p>
    <w:p>
      <w:pPr>
        <w:spacing w:before="40" w:after="40"/>
        <w:ind w:left="504" w:hanging="216"/>
      </w:pPr>
      <w:r>
        <w:rPr>
          <w:rFonts w:ascii="Calibri" w:hAnsi="Calibri"/>
          <w:color w:val="1AAFCC"/>
          <w:sz w:val="20"/>
        </w:rPr>
        <w:t xml:space="preserve">•  </w:t>
      </w:r>
      <w:r>
        <w:rPr>
          <w:rFonts w:ascii="Calibri" w:hAnsi="Calibri"/>
          <w:b/>
          <w:color w:val="333333"/>
          <w:sz w:val="20"/>
        </w:rPr>
        <w:t>Cardiomyopathy (11):</w:t>
      </w:r>
      <w:r>
        <w:rPr>
          <w:rFonts w:ascii="Calibri" w:hAnsi="Calibri"/>
          <w:color w:val="333333"/>
          <w:sz w:val="20"/>
        </w:rPr>
        <w:t xml:space="preserve"> MYH7, MYBPC3, TNNT2, TNNI3, TPM1, ACTC1, MYL2, MYL3, TTN, LMNA, RBM20</w:t>
      </w:r>
    </w:p>
    <w:p>
      <w:pPr>
        <w:spacing w:before="40" w:after="40"/>
        <w:ind w:left="504" w:hanging="216"/>
      </w:pPr>
      <w:r>
        <w:rPr>
          <w:rFonts w:ascii="Calibri" w:hAnsi="Calibri"/>
          <w:color w:val="1AAFCC"/>
          <w:sz w:val="20"/>
        </w:rPr>
        <w:t xml:space="preserve">•  </w:t>
      </w:r>
      <w:r>
        <w:rPr>
          <w:rFonts w:ascii="Calibri" w:hAnsi="Calibri"/>
          <w:b/>
          <w:color w:val="333333"/>
          <w:sz w:val="20"/>
        </w:rPr>
        <w:t>Desmosomal/ARVC (6):</w:t>
      </w:r>
      <w:r>
        <w:rPr>
          <w:rFonts w:ascii="Calibri" w:hAnsi="Calibri"/>
          <w:color w:val="333333"/>
          <w:sz w:val="20"/>
        </w:rPr>
        <w:t xml:space="preserve"> PKP2, DSP, DSG2, DSC2, JUP, TMEM43</w:t>
      </w:r>
    </w:p>
    <w:p>
      <w:pPr>
        <w:spacing w:before="40" w:after="40"/>
        <w:ind w:left="504" w:hanging="216"/>
      </w:pPr>
      <w:r>
        <w:rPr>
          <w:rFonts w:ascii="Calibri" w:hAnsi="Calibri"/>
          <w:color w:val="1AAFCC"/>
          <w:sz w:val="20"/>
        </w:rPr>
        <w:t xml:space="preserve">•  </w:t>
      </w:r>
      <w:r>
        <w:rPr>
          <w:rFonts w:ascii="Calibri" w:hAnsi="Calibri"/>
          <w:b/>
          <w:color w:val="333333"/>
          <w:sz w:val="20"/>
        </w:rPr>
        <w:t>Channelopathy (7):</w:t>
      </w:r>
      <w:r>
        <w:rPr>
          <w:rFonts w:ascii="Calibri" w:hAnsi="Calibri"/>
          <w:color w:val="333333"/>
          <w:sz w:val="20"/>
        </w:rPr>
        <w:t xml:space="preserve"> SCN5A, KCNQ1, KCNH2, KCNJ2, RYR2, CASQ2, CALM1, ANK2</w:t>
      </w:r>
    </w:p>
    <w:p>
      <w:pPr>
        <w:spacing w:before="40" w:after="40"/>
        <w:ind w:left="504" w:hanging="216"/>
      </w:pPr>
      <w:r>
        <w:rPr>
          <w:rFonts w:ascii="Calibri" w:hAnsi="Calibri"/>
          <w:color w:val="1AAFCC"/>
          <w:sz w:val="20"/>
        </w:rPr>
        <w:t xml:space="preserve">•  </w:t>
      </w:r>
      <w:r>
        <w:rPr>
          <w:rFonts w:ascii="Calibri" w:hAnsi="Calibri"/>
          <w:b/>
          <w:color w:val="333333"/>
          <w:sz w:val="20"/>
        </w:rPr>
        <w:t>Aortopathy (7):</w:t>
      </w:r>
      <w:r>
        <w:rPr>
          <w:rFonts w:ascii="Calibri" w:hAnsi="Calibri"/>
          <w:color w:val="333333"/>
          <w:sz w:val="20"/>
        </w:rPr>
        <w:t xml:space="preserve"> FBN1, TGFBR1, TGFBR2, SMAD3, ACTA2, MYH11, COL3A1</w:t>
      </w:r>
    </w:p>
    <w:p>
      <w:pPr>
        <w:spacing w:before="40" w:after="40"/>
        <w:ind w:left="504" w:hanging="216"/>
      </w:pPr>
      <w:r>
        <w:rPr>
          <w:rFonts w:ascii="Calibri" w:hAnsi="Calibri"/>
          <w:color w:val="1AAFCC"/>
          <w:sz w:val="20"/>
        </w:rPr>
        <w:t xml:space="preserve">•  </w:t>
      </w:r>
      <w:r>
        <w:rPr>
          <w:rFonts w:ascii="Calibri" w:hAnsi="Calibri"/>
          <w:b/>
          <w:color w:val="333333"/>
          <w:sz w:val="20"/>
        </w:rPr>
        <w:t>Lipid/Metabolic (5):</w:t>
      </w:r>
      <w:r>
        <w:rPr>
          <w:rFonts w:ascii="Calibri" w:hAnsi="Calibri"/>
          <w:color w:val="333333"/>
          <w:sz w:val="20"/>
        </w:rPr>
        <w:t xml:space="preserve"> LDLR, PCSK9, APOB, APOE, LPA</w:t>
      </w:r>
    </w:p>
    <w:p>
      <w:pPr>
        <w:spacing w:before="40" w:after="40"/>
        <w:ind w:left="504" w:hanging="216"/>
      </w:pPr>
      <w:r>
        <w:rPr>
          <w:rFonts w:ascii="Calibri" w:hAnsi="Calibri"/>
          <w:color w:val="1AAFCC"/>
          <w:sz w:val="20"/>
        </w:rPr>
        <w:t xml:space="preserve">•  </w:t>
      </w:r>
      <w:r>
        <w:rPr>
          <w:rFonts w:ascii="Calibri" w:hAnsi="Calibri"/>
          <w:b/>
          <w:color w:val="333333"/>
          <w:sz w:val="20"/>
        </w:rPr>
        <w:t>Congenital/Other (4):</w:t>
      </w:r>
      <w:r>
        <w:rPr>
          <w:rFonts w:ascii="Calibri" w:hAnsi="Calibri"/>
          <w:color w:val="333333"/>
          <w:sz w:val="20"/>
        </w:rPr>
        <w:t xml:space="preserve"> NKX2-5, GATA4, TBX5, GLA</w:t>
      </w:r>
    </w:p>
    <w:p>
      <w:pPr>
        <w:pStyle w:val="Heading2"/>
        <w:spacing w:before="280" w:after="120"/>
      </w:pPr>
      <w:r>
        <w:rPr>
          <w:rFonts w:ascii="Calibri" w:hAnsi="Calibri"/>
          <w:b/>
          <w:color w:val="1AAFCC"/>
          <w:sz w:val="26"/>
        </w:rPr>
        <w:t>6.5 Imaging Modalities (27 protocols: 12 echo, 7 CMR, 5 nuclear, 3 CT)</w:t>
      </w:r>
    </w:p>
    <w:p>
      <w:pPr>
        <w:spacing w:before="0" w:after="120"/>
      </w:pPr>
      <w:r>
        <w:rPr>
          <w:rFonts w:ascii="Calibri" w:hAnsi="Calibri"/>
          <w:color w:val="333333"/>
          <w:sz w:val="20"/>
        </w:rPr>
        <w:t>Each modality includes: full name, protocols, key measurements with reference values, indications, contraindications, and guideline society.</w:t>
      </w:r>
    </w:p>
    <w:p>
      <w:pPr>
        <w:spacing w:before="0" w:after="120"/>
      </w:pPr>
      <w:r>
        <w:rPr>
          <w:rFonts w:ascii="Calibri" w:hAnsi="Calibri"/>
          <w:b/>
          <w:color w:val="333333"/>
          <w:sz w:val="20"/>
        </w:rPr>
        <w:t>Modalities:</w:t>
      </w:r>
      <w:r>
        <w:rPr>
          <w:rFonts w:ascii="Calibri" w:hAnsi="Calibri"/>
          <w:color w:val="333333"/>
          <w:sz w:val="20"/>
        </w:rPr>
        <w:t xml:space="preserve"> TTE, TEE, Stress Echo, Cardiac CT Calcium Score, Coronary CTA, Cardiac MRI, Cardiac PET, SPECT MPI, MUGA, Right Heart Catheterization, Coronary Angiography, 12-Lead ECG, Holter Monitor, Event Monitor/ILR, Device Interrogation</w:t>
      </w:r>
    </w:p>
    <w:p>
      <w:pPr>
        <w:pStyle w:val="Heading2"/>
        <w:spacing w:before="280" w:after="120"/>
      </w:pPr>
      <w:r>
        <w:rPr>
          <w:rFonts w:ascii="Calibri" w:hAnsi="Calibri"/>
          <w:b/>
          <w:color w:val="1AAFCC"/>
          <w:sz w:val="26"/>
        </w:rPr>
        <w:t>6.6 Guideline Recommendations (63 entries across 20 guideline documents)</w:t>
      </w:r>
    </w:p>
    <w:p>
      <w:pPr>
        <w:spacing w:before="0" w:after="120"/>
      </w:pPr>
      <w:r>
        <w:rPr>
          <w:rFonts w:ascii="Calibri" w:hAnsi="Calibri"/>
          <w:color w:val="333333"/>
          <w:sz w:val="20"/>
        </w:rPr>
        <w:t>Structured guideline entries with: society, year, recommendation text, class (I/IIa/IIb/III), evidence level (A/B/C), condition, and source citation.</w:t>
      </w:r>
    </w:p>
    <w:p>
      <w:pPr>
        <w:spacing w:before="0" w:after="120"/>
      </w:pPr>
      <w:r>
        <w:rPr>
          <w:rFonts w:ascii="Calibri" w:hAnsi="Calibri"/>
          <w:b/>
          <w:color w:val="333333"/>
          <w:sz w:val="20"/>
        </w:rPr>
        <w:t>Guideline coverage:</w:t>
      </w:r>
    </w:p>
    <w:p>
      <w:pPr>
        <w:spacing w:before="40" w:after="40"/>
        <w:ind w:left="504" w:hanging="216"/>
      </w:pPr>
      <w:r>
        <w:rPr>
          <w:rFonts w:ascii="Calibri" w:hAnsi="Calibri"/>
          <w:color w:val="1AAFCC"/>
          <w:sz w:val="20"/>
        </w:rPr>
        <w:t xml:space="preserve">•  </w:t>
      </w:r>
      <w:r>
        <w:rPr>
          <w:rFonts w:ascii="Calibri" w:hAnsi="Calibri"/>
          <w:color w:val="333333"/>
          <w:sz w:val="20"/>
        </w:rPr>
        <w:t>ACC/AHA 2022 Heart Failure (8 recommendations)</w:t>
      </w:r>
    </w:p>
    <w:p>
      <w:pPr>
        <w:spacing w:before="40" w:after="40"/>
        <w:ind w:left="504" w:hanging="216"/>
      </w:pPr>
      <w:r>
        <w:rPr>
          <w:rFonts w:ascii="Calibri" w:hAnsi="Calibri"/>
          <w:color w:val="1AAFCC"/>
          <w:sz w:val="20"/>
        </w:rPr>
        <w:t xml:space="preserve">•  </w:t>
      </w:r>
      <w:r>
        <w:rPr>
          <w:rFonts w:ascii="Calibri" w:hAnsi="Calibri"/>
          <w:color w:val="333333"/>
          <w:sz w:val="20"/>
        </w:rPr>
        <w:t>ACC/AHA 2020 Valvular Heart Disease (6 recommendations)</w:t>
      </w:r>
    </w:p>
    <w:p>
      <w:pPr>
        <w:spacing w:before="40" w:after="40"/>
        <w:ind w:left="504" w:hanging="216"/>
      </w:pPr>
      <w:r>
        <w:rPr>
          <w:rFonts w:ascii="Calibri" w:hAnsi="Calibri"/>
          <w:color w:val="1AAFCC"/>
          <w:sz w:val="20"/>
        </w:rPr>
        <w:t xml:space="preserve">•  </w:t>
      </w:r>
      <w:r>
        <w:rPr>
          <w:rFonts w:ascii="Calibri" w:hAnsi="Calibri"/>
          <w:color w:val="333333"/>
          <w:sz w:val="20"/>
        </w:rPr>
        <w:t>ACC/AHA 2018 Cholesterol (6 recommendations)</w:t>
      </w:r>
    </w:p>
    <w:p>
      <w:pPr>
        <w:spacing w:before="40" w:after="40"/>
        <w:ind w:left="504" w:hanging="216"/>
      </w:pPr>
      <w:r>
        <w:rPr>
          <w:rFonts w:ascii="Calibri" w:hAnsi="Calibri"/>
          <w:color w:val="1AAFCC"/>
          <w:sz w:val="20"/>
        </w:rPr>
        <w:t xml:space="preserve">•  </w:t>
      </w:r>
      <w:r>
        <w:rPr>
          <w:rFonts w:ascii="Calibri" w:hAnsi="Calibri"/>
          <w:color w:val="333333"/>
          <w:sz w:val="20"/>
        </w:rPr>
        <w:t>ACC/AHA 2019 Primary Prevention (3 recommendations)</w:t>
      </w:r>
    </w:p>
    <w:p>
      <w:pPr>
        <w:spacing w:before="40" w:after="40"/>
        <w:ind w:left="504" w:hanging="216"/>
      </w:pPr>
      <w:r>
        <w:rPr>
          <w:rFonts w:ascii="Calibri" w:hAnsi="Calibri"/>
          <w:color w:val="1AAFCC"/>
          <w:sz w:val="20"/>
        </w:rPr>
        <w:t xml:space="preserve">•  </w:t>
      </w:r>
      <w:r>
        <w:rPr>
          <w:rFonts w:ascii="Calibri" w:hAnsi="Calibri"/>
          <w:color w:val="333333"/>
          <w:sz w:val="20"/>
        </w:rPr>
        <w:t>ACC/AHA/HRS 2023 Atrial Fibrillation (5 recommendations)</w:t>
      </w:r>
    </w:p>
    <w:p>
      <w:pPr>
        <w:spacing w:before="40" w:after="40"/>
        <w:ind w:left="504" w:hanging="216"/>
      </w:pPr>
      <w:r>
        <w:rPr>
          <w:rFonts w:ascii="Calibri" w:hAnsi="Calibri"/>
          <w:color w:val="1AAFCC"/>
          <w:sz w:val="20"/>
        </w:rPr>
        <w:t xml:space="preserve">•  </w:t>
      </w:r>
      <w:r>
        <w:rPr>
          <w:rFonts w:ascii="Calibri" w:hAnsi="Calibri"/>
          <w:color w:val="333333"/>
          <w:sz w:val="20"/>
        </w:rPr>
        <w:t>ACC/AHA 2024 HCM (6 recommendations)</w:t>
      </w:r>
    </w:p>
    <w:p>
      <w:pPr>
        <w:spacing w:before="40" w:after="40"/>
        <w:ind w:left="504" w:hanging="216"/>
      </w:pPr>
      <w:r>
        <w:rPr>
          <w:rFonts w:ascii="Calibri" w:hAnsi="Calibri"/>
          <w:color w:val="1AAFCC"/>
          <w:sz w:val="20"/>
        </w:rPr>
        <w:t xml:space="preserve">•  </w:t>
      </w:r>
      <w:r>
        <w:rPr>
          <w:rFonts w:ascii="Calibri" w:hAnsi="Calibri"/>
          <w:color w:val="333333"/>
          <w:sz w:val="20"/>
        </w:rPr>
        <w:t>ESC 2023 ACS (4 recommendations)</w:t>
      </w:r>
    </w:p>
    <w:p>
      <w:pPr>
        <w:spacing w:before="40" w:after="40"/>
        <w:ind w:left="504" w:hanging="216"/>
      </w:pPr>
      <w:r>
        <w:rPr>
          <w:rFonts w:ascii="Calibri" w:hAnsi="Calibri"/>
          <w:color w:val="1AAFCC"/>
          <w:sz w:val="20"/>
        </w:rPr>
        <w:t xml:space="preserve">•  </w:t>
      </w:r>
      <w:r>
        <w:rPr>
          <w:rFonts w:ascii="Calibri" w:hAnsi="Calibri"/>
          <w:color w:val="333333"/>
          <w:sz w:val="20"/>
        </w:rPr>
        <w:t>ESC 2022 Cardio-Oncology (4 recommendations)</w:t>
      </w:r>
    </w:p>
    <w:p>
      <w:pPr>
        <w:spacing w:before="40" w:after="40"/>
        <w:ind w:left="504" w:hanging="216"/>
      </w:pPr>
      <w:r>
        <w:rPr>
          <w:rFonts w:ascii="Calibri" w:hAnsi="Calibri"/>
          <w:color w:val="1AAFCC"/>
          <w:sz w:val="20"/>
        </w:rPr>
        <w:t xml:space="preserve">•  </w:t>
      </w:r>
      <w:r>
        <w:rPr>
          <w:rFonts w:ascii="Calibri" w:hAnsi="Calibri"/>
          <w:color w:val="333333"/>
          <w:sz w:val="20"/>
        </w:rPr>
        <w:t>Additional key recommendations (10)</w:t>
      </w:r>
    </w:p>
    <w:p>
      <w:pPr>
        <w:pStyle w:val="Heading2"/>
        <w:spacing w:before="280" w:after="120"/>
      </w:pPr>
      <w:r>
        <w:rPr>
          <w:rFonts w:ascii="Calibri" w:hAnsi="Calibri"/>
          <w:b/>
          <w:color w:val="1AAFCC"/>
          <w:sz w:val="26"/>
        </w:rPr>
        <w:t>6.7 Entity Aliases (167 entries)</w:t>
      </w:r>
    </w:p>
    <w:p>
      <w:pPr>
        <w:spacing w:before="0" w:after="120"/>
      </w:pPr>
      <w:r>
        <w:rPr>
          <w:rFonts w:ascii="Calibri" w:hAnsi="Calibri"/>
          <w:color w:val="333333"/>
          <w:sz w:val="20"/>
        </w:rPr>
        <w:t>Bidirectional abbreviation-to-full-name mapping for cardiovascular terminology, enabling query expansion and entity recognition via 18 synonym maps. Covers abbreviations for conditions, procedures, medications, imaging modalities, biomarkers, professional societies, and clinical measurements.</w:t>
      </w:r>
    </w:p>
    <w:p>
      <w:pPr>
        <w:pStyle w:val="Heading2"/>
        <w:spacing w:before="280" w:after="120"/>
      </w:pPr>
      <w:r>
        <w:rPr>
          <w:rFonts w:ascii="Calibri" w:hAnsi="Calibri"/>
          <w:b/>
          <w:color w:val="1AAFCC"/>
          <w:sz w:val="26"/>
        </w:rPr>
        <w:t>6.8 Condition-Drug Map (11 entries)</w:t>
      </w:r>
    </w:p>
    <w:p>
      <w:pPr>
        <w:spacing w:before="0" w:after="120"/>
      </w:pPr>
      <w:r>
        <w:rPr>
          <w:rFonts w:ascii="Calibri" w:hAnsi="Calibri"/>
          <w:color w:val="333333"/>
          <w:sz w:val="20"/>
        </w:rPr>
        <w:t>Direct mapping from conditions to applicable drug classes for treatment recommendation generation.</w:t>
      </w:r>
    </w:p>
    <w:p>
      <w:pPr>
        <w:pStyle w:val="Heading2"/>
        <w:spacing w:before="280" w:after="120"/>
      </w:pPr>
      <w:r>
        <w:rPr>
          <w:rFonts w:ascii="Calibri" w:hAnsi="Calibri"/>
          <w:b/>
          <w:color w:val="1AAFCC"/>
          <w:sz w:val="26"/>
        </w:rPr>
        <w:t>6.9 Imaging Trigger Map (18 entries)</w:t>
      </w:r>
    </w:p>
    <w:p>
      <w:pPr>
        <w:spacing w:before="0" w:after="120"/>
      </w:pPr>
      <w:r>
        <w:rPr>
          <w:rFonts w:ascii="Calibri" w:hAnsi="Calibri"/>
          <w:color w:val="333333"/>
          <w:sz w:val="20"/>
        </w:rPr>
        <w:t>Maps imaging findings to recommended genetic testing panels. Expanded from 6 to 18 genomic trigger patterns, including:</w:t>
      </w:r>
    </w:p>
    <w:p>
      <w:pPr>
        <w:spacing w:before="40" w:after="40"/>
        <w:ind w:left="504" w:hanging="216"/>
      </w:pPr>
      <w:r>
        <w:rPr>
          <w:rFonts w:ascii="Calibri" w:hAnsi="Calibri"/>
          <w:color w:val="1AAFCC"/>
          <w:sz w:val="20"/>
        </w:rPr>
        <w:t xml:space="preserve">•  </w:t>
      </w:r>
      <w:r>
        <w:rPr>
          <w:rFonts w:ascii="Calibri" w:hAnsi="Calibri"/>
          <w:color w:val="333333"/>
          <w:sz w:val="20"/>
        </w:rPr>
        <w:t>Unexplained LVH &gt;=15mm --&gt; HCM/Fabry/Danon gene panel</w:t>
      </w:r>
    </w:p>
    <w:p>
      <w:pPr>
        <w:spacing w:before="40" w:after="40"/>
        <w:ind w:left="504" w:hanging="216"/>
      </w:pPr>
      <w:r>
        <w:rPr>
          <w:rFonts w:ascii="Calibri" w:hAnsi="Calibri"/>
          <w:color w:val="1AAFCC"/>
          <w:sz w:val="20"/>
        </w:rPr>
        <w:t xml:space="preserve">•  </w:t>
      </w:r>
      <w:r>
        <w:rPr>
          <w:rFonts w:ascii="Calibri" w:hAnsi="Calibri"/>
          <w:color w:val="333333"/>
          <w:sz w:val="20"/>
        </w:rPr>
        <w:t>Non-ischemic LGE with DCM --&gt; DCM gene panel</w:t>
      </w:r>
    </w:p>
    <w:p>
      <w:pPr>
        <w:spacing w:before="40" w:after="40"/>
        <w:ind w:left="504" w:hanging="216"/>
      </w:pPr>
      <w:r>
        <w:rPr>
          <w:rFonts w:ascii="Calibri" w:hAnsi="Calibri"/>
          <w:color w:val="1AAFCC"/>
          <w:sz w:val="20"/>
        </w:rPr>
        <w:t xml:space="preserve">•  </w:t>
      </w:r>
      <w:r>
        <w:rPr>
          <w:rFonts w:ascii="Calibri" w:hAnsi="Calibri"/>
          <w:color w:val="333333"/>
          <w:sz w:val="20"/>
        </w:rPr>
        <w:t>RV dilation with arrhythmia --&gt; ARVC desmosomal panel</w:t>
      </w:r>
    </w:p>
    <w:p>
      <w:pPr>
        <w:spacing w:before="40" w:after="40"/>
        <w:ind w:left="504" w:hanging="216"/>
      </w:pPr>
      <w:r>
        <w:rPr>
          <w:rFonts w:ascii="Calibri" w:hAnsi="Calibri"/>
          <w:color w:val="1AAFCC"/>
          <w:sz w:val="20"/>
        </w:rPr>
        <w:t xml:space="preserve">•  </w:t>
      </w:r>
      <w:r>
        <w:rPr>
          <w:rFonts w:ascii="Calibri" w:hAnsi="Calibri"/>
          <w:color w:val="333333"/>
          <w:sz w:val="20"/>
        </w:rPr>
        <w:t>Diffuse LGE + low voltage --&gt; TTR (amyloidosis)</w:t>
      </w:r>
    </w:p>
    <w:p>
      <w:pPr>
        <w:spacing w:before="40" w:after="40"/>
        <w:ind w:left="504" w:hanging="216"/>
      </w:pPr>
      <w:r>
        <w:rPr>
          <w:rFonts w:ascii="Calibri" w:hAnsi="Calibri"/>
          <w:color w:val="1AAFCC"/>
          <w:sz w:val="20"/>
        </w:rPr>
        <w:t xml:space="preserve">•  </w:t>
      </w:r>
      <w:r>
        <w:rPr>
          <w:rFonts w:ascii="Calibri" w:hAnsi="Calibri"/>
          <w:color w:val="333333"/>
          <w:sz w:val="20"/>
        </w:rPr>
        <w:t>Aortic root dilation --&gt; Aortopathy panel</w:t>
      </w:r>
    </w:p>
    <w:p>
      <w:pPr>
        <w:spacing w:before="40" w:after="40"/>
        <w:ind w:left="504" w:hanging="216"/>
      </w:pPr>
      <w:r>
        <w:rPr>
          <w:rFonts w:ascii="Calibri" w:hAnsi="Calibri"/>
          <w:color w:val="1AAFCC"/>
          <w:sz w:val="20"/>
        </w:rPr>
        <w:t xml:space="preserve">•  </w:t>
      </w:r>
      <w:r>
        <w:rPr>
          <w:rFonts w:ascii="Calibri" w:hAnsi="Calibri"/>
          <w:color w:val="333333"/>
          <w:sz w:val="20"/>
        </w:rPr>
        <w:t>Premature coronary calcification --&gt; FH panel</w:t>
      </w:r>
    </w:p>
    <w:p>
      <w:pPr>
        <w:spacing w:before="40" w:after="40"/>
        <w:ind w:left="504" w:hanging="216"/>
      </w:pPr>
      <w:r>
        <w:rPr>
          <w:rFonts w:ascii="Calibri" w:hAnsi="Calibri"/>
          <w:color w:val="1AAFCC"/>
          <w:sz w:val="20"/>
        </w:rPr>
        <w:t xml:space="preserve">•  </w:t>
      </w:r>
      <w:r>
        <w:rPr>
          <w:rFonts w:ascii="Calibri" w:hAnsi="Calibri"/>
          <w:color w:val="333333"/>
          <w:sz w:val="20"/>
        </w:rPr>
        <w:t>Plus 12 additional trigger patterns for channelopathies, congenital disease, and infiltrative cardiomyopathies</w:t>
      </w:r>
    </w:p>
    <w:p>
      <w:pPr>
        <w:spacing w:before="80" w:after="80"/>
        <w:pBdr>
          <w:bottom w:val="single" w:sz="6" w:color="1AAFCC"/>
        </w:pBdr>
      </w:pPr>
    </w:p>
    <w:p>
      <w:pPr>
        <w:pStyle w:val="Heading1"/>
        <w:spacing w:before="400" w:after="160"/>
      </w:pPr>
      <w:r>
        <w:rPr>
          <w:rFonts w:ascii="Calibri" w:hAnsi="Calibri"/>
          <w:b/>
          <w:color w:val="1B2333"/>
          <w:sz w:val="32"/>
        </w:rPr>
        <w:t>7. Clinical Workflows</w:t>
      </w:r>
    </w:p>
    <w:p>
      <w:pPr>
        <w:spacing w:before="0" w:after="120"/>
      </w:pPr>
      <w:r>
        <w:rPr>
          <w:rFonts w:ascii="Calibri" w:hAnsi="Calibri"/>
          <w:color w:val="333333"/>
          <w:sz w:val="20"/>
        </w:rPr>
        <w:t>Eleven clinical workflows (</w:t>
      </w:r>
      <w:r>
        <w:rPr>
          <w:rFonts w:ascii="Courier New" w:hAnsi="Courier New"/>
          <w:color w:val="444444"/>
          <w:sz w:val="18"/>
        </w:rPr>
        <w:t>src/clinical_workflows.py</w:t>
      </w:r>
      <w:r>
        <w:rPr>
          <w:rFonts w:ascii="Calibri" w:hAnsi="Calibri"/>
          <w:color w:val="333333"/>
          <w:sz w:val="20"/>
        </w:rPr>
        <w:t>) cover the highest-impact cardiovascular use cases: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Workflow</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Actions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Assessment**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Calcium scoring interpretation, CAD-RADS classification, plaque characterization, FFR/iFR correlation, revascularization criteria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 Classification &amp; GDMT**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NYHA/ACC staging, EF categorization (HFrEF/HFmrEF/HFpEF/HFimpEF), 4-pillar GDMT optimization, device eligibility (ICD/CRT)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 Heart Disease Quantification**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Severity grading per ASE criteria, intervention threshold assessment, TAVR vs SAVR decision support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 Detection &amp; Management**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interpretation (15 criteria, 10 arrhythmia protocols), CHA2DS2-VASc scoring, anticoagulation recommendation, rhythm vs rate control strategy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MRI Tissue Characterization**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LGE pattern analysis (ischemic vs non-ischemic), T1/T2 mapping interpretation, ECV quantification, parametric analysis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 Test Interpretation**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Duke Treadmill Score, SPECT/PET MPI defect analysis, stress echo wall motion, ischemic burden quantification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 Risk Stratification**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calculation, statin eligibility algorithm, CAC reclassification, risk enhancer assessment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 Surveillance**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Cardiotoxicity risk stratification, CTRCD detection (LVEF decline, GLS decline), biomarker monitoring, cardioprotection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**Acute Decompensated Heart Failure**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Hemodynamic profiling (14 parameters, 6 cath lab protocols), diuretic strategy, inotrope selection, mechanical support evaluation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**Post-Myocardial Infarction**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Post-MI risk stratification, secondary prevention, cardiac rehabilitation, follow-up imaging timing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**Myocarditis/Pericarditis**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Lake Louise criteria, inflammatory biomarker tracking, activity restriction guidance, colchicine/NSAID protocols</w:t>
            </w:r>
          </w:p>
        </w:tc>
      </w:tr>
    </w:tbl>
    <w:p>
      <w:pPr>
        <w:spacing w:before="40" w:after="80"/>
      </w:pPr>
    </w:p>
    <w:p>
      <w:pPr>
        <w:spacing w:before="0" w:after="120"/>
      </w:pPr>
      <w:r>
        <w:rPr>
          <w:rFonts w:ascii="Calibri" w:hAnsi="Calibri"/>
          <w:color w:val="333333"/>
          <w:sz w:val="20"/>
        </w:rPr>
        <w:t>Each workflow:</w:t>
      </w:r>
    </w:p>
    <w:p>
      <w:pPr>
        <w:spacing w:before="40" w:after="40"/>
        <w:ind w:left="504" w:hanging="216"/>
      </w:pPr>
      <w:r>
        <w:rPr>
          <w:rFonts w:ascii="Calibri" w:hAnsi="Calibri"/>
          <w:color w:val="1AAFCC"/>
          <w:sz w:val="20"/>
        </w:rPr>
        <w:t xml:space="preserve">•  </w:t>
      </w:r>
      <w:r>
        <w:rPr>
          <w:rFonts w:ascii="Calibri" w:hAnsi="Calibri"/>
          <w:color w:val="333333"/>
          <w:sz w:val="20"/>
        </w:rPr>
        <w:t xml:space="preserve">Receives a </w:t>
      </w:r>
      <w:r>
        <w:rPr>
          <w:rFonts w:ascii="Courier New" w:hAnsi="Courier New"/>
          <w:color w:val="444444"/>
          <w:sz w:val="18"/>
        </w:rPr>
        <w:t>CardioQuery</w:t>
      </w:r>
      <w:r>
        <w:rPr>
          <w:rFonts w:ascii="Calibri" w:hAnsi="Calibri"/>
          <w:color w:val="333333"/>
          <w:sz w:val="20"/>
        </w:rPr>
        <w:t xml:space="preserve"> with patient context</w:t>
      </w:r>
    </w:p>
    <w:p>
      <w:pPr>
        <w:spacing w:before="40" w:after="40"/>
        <w:ind w:left="504" w:hanging="216"/>
      </w:pPr>
      <w:r>
        <w:rPr>
          <w:rFonts w:ascii="Calibri" w:hAnsi="Calibri"/>
          <w:color w:val="1AAFCC"/>
          <w:sz w:val="20"/>
        </w:rPr>
        <w:t xml:space="preserve">•  </w:t>
      </w:r>
      <w:r>
        <w:rPr>
          <w:rFonts w:ascii="Calibri" w:hAnsi="Calibri"/>
          <w:color w:val="333333"/>
          <w:sz w:val="20"/>
        </w:rPr>
        <w:t>Queries relevant Milvus collections with workflow-specific weights</w:t>
      </w:r>
    </w:p>
    <w:p>
      <w:pPr>
        <w:spacing w:before="40" w:after="40"/>
        <w:ind w:left="504" w:hanging="216"/>
      </w:pPr>
      <w:r>
        <w:rPr>
          <w:rFonts w:ascii="Calibri" w:hAnsi="Calibri"/>
          <w:color w:val="1AAFCC"/>
          <w:sz w:val="20"/>
        </w:rPr>
        <w:t xml:space="preserve">•  </w:t>
      </w:r>
      <w:r>
        <w:rPr>
          <w:rFonts w:ascii="Calibri" w:hAnsi="Calibri"/>
          <w:color w:val="333333"/>
          <w:sz w:val="20"/>
        </w:rPr>
        <w:t>Executes applicable risk calculators</w:t>
      </w:r>
    </w:p>
    <w:p>
      <w:pPr>
        <w:spacing w:before="40" w:after="40"/>
        <w:ind w:left="504" w:hanging="216"/>
      </w:pPr>
      <w:r>
        <w:rPr>
          <w:rFonts w:ascii="Calibri" w:hAnsi="Calibri"/>
          <w:color w:val="1AAFCC"/>
          <w:sz w:val="20"/>
        </w:rPr>
        <w:t xml:space="preserve">•  </w:t>
      </w:r>
      <w:r>
        <w:rPr>
          <w:rFonts w:ascii="Calibri" w:hAnsi="Calibri"/>
          <w:color w:val="333333"/>
          <w:sz w:val="20"/>
        </w:rPr>
        <w:t xml:space="preserve">Generates </w:t>
      </w:r>
      <w:r>
        <w:rPr>
          <w:rFonts w:ascii="Courier New" w:hAnsi="Courier New"/>
          <w:color w:val="444444"/>
          <w:sz w:val="18"/>
        </w:rPr>
        <w:t>WorkflowResult</w:t>
      </w:r>
      <w:r>
        <w:rPr>
          <w:rFonts w:ascii="Calibri" w:hAnsi="Calibri"/>
          <w:color w:val="333333"/>
          <w:sz w:val="20"/>
        </w:rPr>
        <w:t xml:space="preserve"> with findings, recommendations, guideline references, severity, and cross-modal triggers</w:t>
      </w:r>
    </w:p>
    <w:p>
      <w:pPr>
        <w:spacing w:before="80" w:after="80"/>
        <w:pBdr>
          <w:bottom w:val="single" w:sz="6" w:color="1AAFCC"/>
        </w:pBdr>
      </w:pPr>
    </w:p>
    <w:p>
      <w:pPr>
        <w:pStyle w:val="Heading1"/>
        <w:spacing w:before="400" w:after="160"/>
      </w:pPr>
      <w:r>
        <w:rPr>
          <w:rFonts w:ascii="Calibri" w:hAnsi="Calibri"/>
          <w:b/>
          <w:color w:val="1B2333"/>
          <w:sz w:val="32"/>
        </w:rPr>
        <w:t>8. Risk Calculators</w:t>
      </w:r>
    </w:p>
    <w:p>
      <w:pPr>
        <w:spacing w:before="0" w:after="120"/>
      </w:pPr>
      <w:r>
        <w:rPr>
          <w:rFonts w:ascii="Calibri" w:hAnsi="Calibri"/>
          <w:color w:val="333333"/>
          <w:sz w:val="20"/>
        </w:rPr>
        <w:t>Six validated cardiovascular risk calculators (</w:t>
      </w:r>
      <w:r>
        <w:rPr>
          <w:rFonts w:ascii="Courier New" w:hAnsi="Courier New"/>
          <w:color w:val="444444"/>
          <w:sz w:val="18"/>
        </w:rPr>
        <w:t>src/risk_calculators.py</w:t>
      </w:r>
      <w:r>
        <w:rPr>
          <w:rFonts w:ascii="Calibri" w:hAnsi="Calibri"/>
          <w:color w:val="333333"/>
          <w:sz w:val="20"/>
        </w:rPr>
        <w:t>, 2,397 lines):</w:t>
      </w:r>
    </w:p>
    <w:p>
      <w:pPr>
        <w:pStyle w:val="Heading2"/>
        <w:spacing w:before="280" w:after="120"/>
      </w:pPr>
      <w:r>
        <w:rPr>
          <w:rFonts w:ascii="Calibri" w:hAnsi="Calibri"/>
          <w:b/>
          <w:color w:val="1AAFCC"/>
          <w:sz w:val="26"/>
        </w:rPr>
        <w:t>8.1 ASCVD Pooled Cohort Equations (Goff 2013)</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10-year atherosclerotic cardiovascular disease risk</w:t>
      </w:r>
    </w:p>
    <w:p>
      <w:pPr>
        <w:spacing w:before="40" w:after="40"/>
        <w:ind w:left="504" w:hanging="216"/>
      </w:pPr>
      <w:r>
        <w:rPr>
          <w:rFonts w:ascii="Calibri" w:hAnsi="Calibri"/>
          <w:color w:val="1AAFCC"/>
          <w:sz w:val="20"/>
        </w:rPr>
        <w:t xml:space="preserve">•  </w:t>
      </w:r>
      <w:r>
        <w:rPr>
          <w:rFonts w:ascii="Calibri" w:hAnsi="Calibri"/>
          <w:b/>
          <w:color w:val="333333"/>
          <w:sz w:val="20"/>
        </w:rPr>
        <w:t>Inputs:</w:t>
      </w:r>
      <w:r>
        <w:rPr>
          <w:rFonts w:ascii="Calibri" w:hAnsi="Calibri"/>
          <w:color w:val="333333"/>
          <w:sz w:val="20"/>
        </w:rPr>
        <w:t xml:space="preserve"> Age, sex, race, total cholesterol, HDL, systolic BP, BP treatment status, diabetes, smoking</w:t>
      </w:r>
    </w:p>
    <w:p>
      <w:pPr>
        <w:spacing w:before="40" w:after="40"/>
        <w:ind w:left="504" w:hanging="216"/>
      </w:pPr>
      <w:r>
        <w:rPr>
          <w:rFonts w:ascii="Calibri" w:hAnsi="Calibri"/>
          <w:color w:val="1AAFCC"/>
          <w:sz w:val="20"/>
        </w:rPr>
        <w:t xml:space="preserve">•  </w:t>
      </w:r>
      <w:r>
        <w:rPr>
          <w:rFonts w:ascii="Calibri" w:hAnsi="Calibri"/>
          <w:b/>
          <w:color w:val="333333"/>
          <w:sz w:val="20"/>
        </w:rPr>
        <w:t>Coefficients:</w:t>
      </w:r>
      <w:r>
        <w:rPr>
          <w:rFonts w:ascii="Calibri" w:hAnsi="Calibri"/>
          <w:color w:val="333333"/>
          <w:sz w:val="20"/>
        </w:rPr>
        <w:t xml:space="preserve"> 4 sex/race cohorts (white female, African American female, white male, African American male)</w:t>
      </w:r>
    </w:p>
    <w:p>
      <w:pPr>
        <w:spacing w:before="40" w:after="40"/>
        <w:ind w:left="504" w:hanging="216"/>
      </w:pPr>
      <w:r>
        <w:rPr>
          <w:rFonts w:ascii="Calibri" w:hAnsi="Calibri"/>
          <w:color w:val="1AAFCC"/>
          <w:sz w:val="20"/>
        </w:rPr>
        <w:t xml:space="preserve">•  </w:t>
      </w:r>
      <w:r>
        <w:rPr>
          <w:rFonts w:ascii="Calibri" w:hAnsi="Calibri"/>
          <w:b/>
          <w:color w:val="333333"/>
          <w:sz w:val="20"/>
        </w:rPr>
        <w:t>Output:</w:t>
      </w:r>
      <w:r>
        <w:rPr>
          <w:rFonts w:ascii="Calibri" w:hAnsi="Calibri"/>
          <w:color w:val="333333"/>
          <w:sz w:val="20"/>
        </w:rPr>
        <w:t xml:space="preserve"> 10-year risk percentage + risk category (low &lt;5%, borderline 5-7.5%, intermediate 7.5-20%, high &gt;=20%)</w:t>
      </w:r>
    </w:p>
    <w:p>
      <w:pPr>
        <w:spacing w:before="40" w:after="40"/>
        <w:ind w:left="504" w:hanging="216"/>
      </w:pPr>
      <w:r>
        <w:rPr>
          <w:rFonts w:ascii="Calibri" w:hAnsi="Calibri"/>
          <w:color w:val="1AAFCC"/>
          <w:sz w:val="20"/>
        </w:rPr>
        <w:t xml:space="preserve">•  </w:t>
      </w:r>
      <w:r>
        <w:rPr>
          <w:rFonts w:ascii="Calibri" w:hAnsi="Calibri"/>
          <w:b/>
          <w:color w:val="333333"/>
          <w:sz w:val="20"/>
        </w:rPr>
        <w:t>Source:</w:t>
      </w:r>
      <w:r>
        <w:rPr>
          <w:rFonts w:ascii="Calibri" w:hAnsi="Calibri"/>
          <w:color w:val="333333"/>
          <w:sz w:val="20"/>
        </w:rPr>
        <w:t xml:space="preserve"> Goff DC Jr, et al. J Am Coll Cardiol. 2014;63(25 Pt B):2935-2959</w:t>
      </w:r>
    </w:p>
    <w:p>
      <w:pPr>
        <w:pStyle w:val="Heading2"/>
        <w:spacing w:before="280" w:after="120"/>
      </w:pPr>
      <w:r>
        <w:rPr>
          <w:rFonts w:ascii="Calibri" w:hAnsi="Calibri"/>
          <w:b/>
          <w:color w:val="1AAFCC"/>
          <w:sz w:val="26"/>
        </w:rPr>
        <w:t>8.2 HEART Score</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Chest pain risk stratification in the emergency department</w:t>
      </w:r>
    </w:p>
    <w:p>
      <w:pPr>
        <w:spacing w:before="40" w:after="40"/>
        <w:ind w:left="504" w:hanging="216"/>
      </w:pPr>
      <w:r>
        <w:rPr>
          <w:rFonts w:ascii="Calibri" w:hAnsi="Calibri"/>
          <w:color w:val="1AAFCC"/>
          <w:sz w:val="20"/>
        </w:rPr>
        <w:t xml:space="preserve">•  </w:t>
      </w:r>
      <w:r>
        <w:rPr>
          <w:rFonts w:ascii="Calibri" w:hAnsi="Calibri"/>
          <w:b/>
          <w:color w:val="333333"/>
          <w:sz w:val="20"/>
        </w:rPr>
        <w:t>Inputs:</w:t>
      </w:r>
      <w:r>
        <w:rPr>
          <w:rFonts w:ascii="Calibri" w:hAnsi="Calibri"/>
          <w:color w:val="333333"/>
          <w:sz w:val="20"/>
        </w:rPr>
        <w:t xml:space="preserve"> History, ECG, Age, Risk factors, Troponin (0-2 points each)</w:t>
      </w:r>
    </w:p>
    <w:p>
      <w:pPr>
        <w:spacing w:before="40" w:after="40"/>
        <w:ind w:left="504" w:hanging="216"/>
      </w:pPr>
      <w:r>
        <w:rPr>
          <w:rFonts w:ascii="Calibri" w:hAnsi="Calibri"/>
          <w:color w:val="1AAFCC"/>
          <w:sz w:val="20"/>
        </w:rPr>
        <w:t xml:space="preserve">•  </w:t>
      </w:r>
      <w:r>
        <w:rPr>
          <w:rFonts w:ascii="Calibri" w:hAnsi="Calibri"/>
          <w:b/>
          <w:color w:val="333333"/>
          <w:sz w:val="20"/>
        </w:rPr>
        <w:t>Output:</w:t>
      </w:r>
      <w:r>
        <w:rPr>
          <w:rFonts w:ascii="Calibri" w:hAnsi="Calibri"/>
          <w:color w:val="333333"/>
          <w:sz w:val="20"/>
        </w:rPr>
        <w:t xml:space="preserve"> Score 0-10; Low (0-3, 1.7% MACE), Moderate (4-6, 16.6% MACE), High (7-10, 50.1% MACE)</w:t>
      </w:r>
    </w:p>
    <w:p>
      <w:pPr>
        <w:spacing w:before="40" w:after="40"/>
        <w:ind w:left="504" w:hanging="216"/>
      </w:pPr>
      <w:r>
        <w:rPr>
          <w:rFonts w:ascii="Calibri" w:hAnsi="Calibri"/>
          <w:color w:val="1AAFCC"/>
          <w:sz w:val="20"/>
        </w:rPr>
        <w:t xml:space="preserve">•  </w:t>
      </w:r>
      <w:r>
        <w:rPr>
          <w:rFonts w:ascii="Calibri" w:hAnsi="Calibri"/>
          <w:b/>
          <w:color w:val="333333"/>
          <w:sz w:val="20"/>
        </w:rPr>
        <w:t>Source:</w:t>
      </w:r>
      <w:r>
        <w:rPr>
          <w:rFonts w:ascii="Calibri" w:hAnsi="Calibri"/>
          <w:color w:val="333333"/>
          <w:sz w:val="20"/>
        </w:rPr>
        <w:t xml:space="preserve"> Six AJ, et al. Neth Heart J. 2008;16(6):191-196</w:t>
      </w:r>
    </w:p>
    <w:p>
      <w:pPr>
        <w:pStyle w:val="Heading2"/>
        <w:spacing w:before="280" w:after="120"/>
      </w:pPr>
      <w:r>
        <w:rPr>
          <w:rFonts w:ascii="Calibri" w:hAnsi="Calibri"/>
          <w:b/>
          <w:color w:val="1AAFCC"/>
          <w:sz w:val="26"/>
        </w:rPr>
        <w:t>8.3 CHA2DS2-VASc</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Atrial fibrillation stroke risk assessment</w:t>
      </w:r>
    </w:p>
    <w:p>
      <w:pPr>
        <w:spacing w:before="40" w:after="40"/>
        <w:ind w:left="504" w:hanging="216"/>
      </w:pPr>
      <w:r>
        <w:rPr>
          <w:rFonts w:ascii="Calibri" w:hAnsi="Calibri"/>
          <w:color w:val="1AAFCC"/>
          <w:sz w:val="20"/>
        </w:rPr>
        <w:t xml:space="preserve">•  </w:t>
      </w:r>
      <w:r>
        <w:rPr>
          <w:rFonts w:ascii="Calibri" w:hAnsi="Calibri"/>
          <w:b/>
          <w:color w:val="333333"/>
          <w:sz w:val="20"/>
        </w:rPr>
        <w:t>Inputs:</w:t>
      </w:r>
      <w:r>
        <w:rPr>
          <w:rFonts w:ascii="Calibri" w:hAnsi="Calibri"/>
          <w:color w:val="333333"/>
          <w:sz w:val="20"/>
        </w:rPr>
        <w:t xml:space="preserve"> CHF, Hypertension, Age (&gt;=75 = 2 pts, 65-74 = 1 pt), Diabetes, Stroke/TIA history (2 pts), Vascular disease, Sex (female = 1 pt)</w:t>
      </w:r>
    </w:p>
    <w:p>
      <w:pPr>
        <w:spacing w:before="40" w:after="40"/>
        <w:ind w:left="504" w:hanging="216"/>
      </w:pPr>
      <w:r>
        <w:rPr>
          <w:rFonts w:ascii="Calibri" w:hAnsi="Calibri"/>
          <w:color w:val="1AAFCC"/>
          <w:sz w:val="20"/>
        </w:rPr>
        <w:t xml:space="preserve">•  </w:t>
      </w:r>
      <w:r>
        <w:rPr>
          <w:rFonts w:ascii="Calibri" w:hAnsi="Calibri"/>
          <w:b/>
          <w:color w:val="333333"/>
          <w:sz w:val="20"/>
        </w:rPr>
        <w:t>Output:</w:t>
      </w:r>
      <w:r>
        <w:rPr>
          <w:rFonts w:ascii="Calibri" w:hAnsi="Calibri"/>
          <w:color w:val="333333"/>
          <w:sz w:val="20"/>
        </w:rPr>
        <w:t xml:space="preserve"> Score 0-9 with annual stroke rate lookup</w:t>
      </w:r>
    </w:p>
    <w:p>
      <w:pPr>
        <w:spacing w:before="40" w:after="40"/>
        <w:ind w:left="504" w:hanging="216"/>
      </w:pPr>
      <w:r>
        <w:rPr>
          <w:rFonts w:ascii="Calibri" w:hAnsi="Calibri"/>
          <w:color w:val="1AAFCC"/>
          <w:sz w:val="20"/>
        </w:rPr>
        <w:t xml:space="preserve">•  </w:t>
      </w:r>
      <w:r>
        <w:rPr>
          <w:rFonts w:ascii="Calibri" w:hAnsi="Calibri"/>
          <w:b/>
          <w:color w:val="333333"/>
          <w:sz w:val="20"/>
        </w:rPr>
        <w:t>Source:</w:t>
      </w:r>
      <w:r>
        <w:rPr>
          <w:rFonts w:ascii="Calibri" w:hAnsi="Calibri"/>
          <w:color w:val="333333"/>
          <w:sz w:val="20"/>
        </w:rPr>
        <w:t xml:space="preserve"> Lip GYH, et al. Chest 2010;137(2):263-272</w:t>
      </w:r>
    </w:p>
    <w:p>
      <w:pPr>
        <w:pStyle w:val="Heading2"/>
        <w:spacing w:before="280" w:after="120"/>
      </w:pPr>
      <w:r>
        <w:rPr>
          <w:rFonts w:ascii="Calibri" w:hAnsi="Calibri"/>
          <w:b/>
          <w:color w:val="1AAFCC"/>
          <w:sz w:val="26"/>
        </w:rPr>
        <w:t>8.4 HAS-BLED</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Bleeding risk assessment on anticoagulation</w:t>
      </w:r>
    </w:p>
    <w:p>
      <w:pPr>
        <w:spacing w:before="40" w:after="40"/>
        <w:ind w:left="504" w:hanging="216"/>
      </w:pPr>
      <w:r>
        <w:rPr>
          <w:rFonts w:ascii="Calibri" w:hAnsi="Calibri"/>
          <w:color w:val="1AAFCC"/>
          <w:sz w:val="20"/>
        </w:rPr>
        <w:t xml:space="preserve">•  </w:t>
      </w:r>
      <w:r>
        <w:rPr>
          <w:rFonts w:ascii="Calibri" w:hAnsi="Calibri"/>
          <w:b/>
          <w:color w:val="333333"/>
          <w:sz w:val="20"/>
        </w:rPr>
        <w:t>Inputs:</w:t>
      </w:r>
      <w:r>
        <w:rPr>
          <w:rFonts w:ascii="Calibri" w:hAnsi="Calibri"/>
          <w:color w:val="333333"/>
          <w:sz w:val="20"/>
        </w:rPr>
        <w:t xml:space="preserve"> Hypertension, Abnormal renal/liver function, Stroke, Bleeding history, Labile INR, Elderly (&gt;65), Drugs/alcohol</w:t>
      </w:r>
    </w:p>
    <w:p>
      <w:pPr>
        <w:spacing w:before="40" w:after="40"/>
        <w:ind w:left="504" w:hanging="216"/>
      </w:pPr>
      <w:r>
        <w:rPr>
          <w:rFonts w:ascii="Calibri" w:hAnsi="Calibri"/>
          <w:color w:val="1AAFCC"/>
          <w:sz w:val="20"/>
        </w:rPr>
        <w:t xml:space="preserve">•  </w:t>
      </w:r>
      <w:r>
        <w:rPr>
          <w:rFonts w:ascii="Calibri" w:hAnsi="Calibri"/>
          <w:b/>
          <w:color w:val="333333"/>
          <w:sz w:val="20"/>
        </w:rPr>
        <w:t>Output:</w:t>
      </w:r>
      <w:r>
        <w:rPr>
          <w:rFonts w:ascii="Calibri" w:hAnsi="Calibri"/>
          <w:color w:val="333333"/>
          <w:sz w:val="20"/>
        </w:rPr>
        <w:t xml:space="preserve"> Score 0-9; Low (0-1), Moderate (2), High (&gt;=3)</w:t>
      </w:r>
    </w:p>
    <w:p>
      <w:pPr>
        <w:spacing w:before="40" w:after="40"/>
        <w:ind w:left="504" w:hanging="216"/>
      </w:pPr>
      <w:r>
        <w:rPr>
          <w:rFonts w:ascii="Calibri" w:hAnsi="Calibri"/>
          <w:color w:val="1AAFCC"/>
          <w:sz w:val="20"/>
        </w:rPr>
        <w:t xml:space="preserve">•  </w:t>
      </w:r>
      <w:r>
        <w:rPr>
          <w:rFonts w:ascii="Calibri" w:hAnsi="Calibri"/>
          <w:b/>
          <w:color w:val="333333"/>
          <w:sz w:val="20"/>
        </w:rPr>
        <w:t>Source:</w:t>
      </w:r>
      <w:r>
        <w:rPr>
          <w:rFonts w:ascii="Calibri" w:hAnsi="Calibri"/>
          <w:color w:val="333333"/>
          <w:sz w:val="20"/>
        </w:rPr>
        <w:t xml:space="preserve"> Pisters R, et al. Chest 2010;138(5):1093-1100</w:t>
      </w:r>
    </w:p>
    <w:p>
      <w:pPr>
        <w:pStyle w:val="Heading2"/>
        <w:spacing w:before="280" w:after="120"/>
      </w:pPr>
      <w:r>
        <w:rPr>
          <w:rFonts w:ascii="Calibri" w:hAnsi="Calibri"/>
          <w:b/>
          <w:color w:val="1AAFCC"/>
          <w:sz w:val="26"/>
        </w:rPr>
        <w:t>8.5 MAGGIC Heart Failure Risk Score</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Heart failure 1-year and 3-year mortality prediction</w:t>
      </w:r>
    </w:p>
    <w:p>
      <w:pPr>
        <w:spacing w:before="40" w:after="40"/>
        <w:ind w:left="504" w:hanging="216"/>
      </w:pPr>
      <w:r>
        <w:rPr>
          <w:rFonts w:ascii="Calibri" w:hAnsi="Calibri"/>
          <w:color w:val="1AAFCC"/>
          <w:sz w:val="20"/>
        </w:rPr>
        <w:t xml:space="preserve">•  </w:t>
      </w:r>
      <w:r>
        <w:rPr>
          <w:rFonts w:ascii="Calibri" w:hAnsi="Calibri"/>
          <w:b/>
          <w:color w:val="333333"/>
          <w:sz w:val="20"/>
        </w:rPr>
        <w:t>Inputs:</w:t>
      </w:r>
      <w:r>
        <w:rPr>
          <w:rFonts w:ascii="Calibri" w:hAnsi="Calibri"/>
          <w:color w:val="333333"/>
          <w:sz w:val="20"/>
        </w:rPr>
        <w:t xml:space="preserve"> Age, sex, LVEF, NYHA class, systolic BP, BMI, creatinine, diabetes, beta-blocker use, ACEi/ARB use, COPD, HF duration, smoking</w:t>
      </w:r>
    </w:p>
    <w:p>
      <w:pPr>
        <w:spacing w:before="40" w:after="40"/>
        <w:ind w:left="504" w:hanging="216"/>
      </w:pPr>
      <w:r>
        <w:rPr>
          <w:rFonts w:ascii="Calibri" w:hAnsi="Calibri"/>
          <w:color w:val="1AAFCC"/>
          <w:sz w:val="20"/>
        </w:rPr>
        <w:t xml:space="preserve">•  </w:t>
      </w:r>
      <w:r>
        <w:rPr>
          <w:rFonts w:ascii="Calibri" w:hAnsi="Calibri"/>
          <w:b/>
          <w:color w:val="333333"/>
          <w:sz w:val="20"/>
        </w:rPr>
        <w:t>Output:</w:t>
      </w:r>
      <w:r>
        <w:rPr>
          <w:rFonts w:ascii="Calibri" w:hAnsi="Calibri"/>
          <w:color w:val="333333"/>
          <w:sz w:val="20"/>
        </w:rPr>
        <w:t xml:space="preserve"> Integer score with mortality percentage lookup (51 tiers for 1-year and 3-year)</w:t>
      </w:r>
    </w:p>
    <w:p>
      <w:pPr>
        <w:spacing w:before="40" w:after="40"/>
        <w:ind w:left="504" w:hanging="216"/>
      </w:pPr>
      <w:r>
        <w:rPr>
          <w:rFonts w:ascii="Calibri" w:hAnsi="Calibri"/>
          <w:color w:val="1AAFCC"/>
          <w:sz w:val="20"/>
        </w:rPr>
        <w:t xml:space="preserve">•  </w:t>
      </w:r>
      <w:r>
        <w:rPr>
          <w:rFonts w:ascii="Calibri" w:hAnsi="Calibri"/>
          <w:b/>
          <w:color w:val="333333"/>
          <w:sz w:val="20"/>
        </w:rPr>
        <w:t>Source:</w:t>
      </w:r>
      <w:r>
        <w:rPr>
          <w:rFonts w:ascii="Calibri" w:hAnsi="Calibri"/>
          <w:color w:val="333333"/>
          <w:sz w:val="20"/>
        </w:rPr>
        <w:t xml:space="preserve"> Pocock SJ, et al. Eur Heart J. 2013;34(19):1404-1413</w:t>
      </w:r>
    </w:p>
    <w:p>
      <w:pPr>
        <w:pStyle w:val="Heading2"/>
        <w:spacing w:before="280" w:after="120"/>
      </w:pPr>
      <w:r>
        <w:rPr>
          <w:rFonts w:ascii="Calibri" w:hAnsi="Calibri"/>
          <w:b/>
          <w:color w:val="1AAFCC"/>
          <w:sz w:val="26"/>
        </w:rPr>
        <w:t>8.6 EuroSCORE II</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Cardiac surgical mortality risk prediction</w:t>
      </w:r>
    </w:p>
    <w:p>
      <w:pPr>
        <w:spacing w:before="40" w:after="40"/>
        <w:ind w:left="504" w:hanging="216"/>
      </w:pPr>
      <w:r>
        <w:rPr>
          <w:rFonts w:ascii="Calibri" w:hAnsi="Calibri"/>
          <w:color w:val="1AAFCC"/>
          <w:sz w:val="20"/>
        </w:rPr>
        <w:t xml:space="preserve">•  </w:t>
      </w:r>
      <w:r>
        <w:rPr>
          <w:rFonts w:ascii="Calibri" w:hAnsi="Calibri"/>
          <w:b/>
          <w:color w:val="333333"/>
          <w:sz w:val="20"/>
        </w:rPr>
        <w:t>Inputs:</w:t>
      </w:r>
      <w:r>
        <w:rPr>
          <w:rFonts w:ascii="Calibri" w:hAnsi="Calibri"/>
          <w:color w:val="333333"/>
          <w:sz w:val="20"/>
        </w:rPr>
        <w:t xml:space="preserve"> Patient factors (age, sex, renal function, mobility, prior surgery, lung disease, endocarditis, critical state, diabetes), cardiac factors (NYHA, angina, LVEF, recent MI, pulmonary hypertension), operation factors (urgency, procedure weight, thoracic aorta)</w:t>
      </w:r>
    </w:p>
    <w:p>
      <w:pPr>
        <w:spacing w:before="40" w:after="40"/>
        <w:ind w:left="504" w:hanging="216"/>
      </w:pPr>
      <w:r>
        <w:rPr>
          <w:rFonts w:ascii="Calibri" w:hAnsi="Calibri"/>
          <w:color w:val="1AAFCC"/>
          <w:sz w:val="20"/>
        </w:rPr>
        <w:t xml:space="preserve">•  </w:t>
      </w:r>
      <w:r>
        <w:rPr>
          <w:rFonts w:ascii="Calibri" w:hAnsi="Calibri"/>
          <w:b/>
          <w:color w:val="333333"/>
          <w:sz w:val="20"/>
        </w:rPr>
        <w:t>Coefficients:</w:t>
      </w:r>
      <w:r>
        <w:rPr>
          <w:rFonts w:ascii="Calibri" w:hAnsi="Calibri"/>
          <w:color w:val="333333"/>
          <w:sz w:val="20"/>
        </w:rPr>
        <w:t xml:space="preserve"> Logistic regression with 28 beta coefficients</w:t>
      </w:r>
    </w:p>
    <w:p>
      <w:pPr>
        <w:spacing w:before="40" w:after="40"/>
        <w:ind w:left="504" w:hanging="216"/>
      </w:pPr>
      <w:r>
        <w:rPr>
          <w:rFonts w:ascii="Calibri" w:hAnsi="Calibri"/>
          <w:color w:val="1AAFCC"/>
          <w:sz w:val="20"/>
        </w:rPr>
        <w:t xml:space="preserve">•  </w:t>
      </w:r>
      <w:r>
        <w:rPr>
          <w:rFonts w:ascii="Calibri" w:hAnsi="Calibri"/>
          <w:b/>
          <w:color w:val="333333"/>
          <w:sz w:val="20"/>
        </w:rPr>
        <w:t>Output:</w:t>
      </w:r>
      <w:r>
        <w:rPr>
          <w:rFonts w:ascii="Calibri" w:hAnsi="Calibri"/>
          <w:color w:val="333333"/>
          <w:sz w:val="20"/>
        </w:rPr>
        <w:t xml:space="preserve"> Predicted operative mortality percentage</w:t>
      </w:r>
    </w:p>
    <w:p>
      <w:pPr>
        <w:spacing w:before="40" w:after="40"/>
        <w:ind w:left="504" w:hanging="216"/>
      </w:pPr>
      <w:r>
        <w:rPr>
          <w:rFonts w:ascii="Calibri" w:hAnsi="Calibri"/>
          <w:color w:val="1AAFCC"/>
          <w:sz w:val="20"/>
        </w:rPr>
        <w:t xml:space="preserve">•  </w:t>
      </w:r>
      <w:r>
        <w:rPr>
          <w:rFonts w:ascii="Calibri" w:hAnsi="Calibri"/>
          <w:b/>
          <w:color w:val="333333"/>
          <w:sz w:val="20"/>
        </w:rPr>
        <w:t>Source:</w:t>
      </w:r>
      <w:r>
        <w:rPr>
          <w:rFonts w:ascii="Calibri" w:hAnsi="Calibri"/>
          <w:color w:val="333333"/>
          <w:sz w:val="20"/>
        </w:rPr>
        <w:t xml:space="preserve"> Nashef SA, et al. Eur J Cardiothorac Surg. 2012;41(4):734-745</w:t>
      </w:r>
    </w:p>
    <w:p>
      <w:pPr>
        <w:pStyle w:val="Heading2"/>
        <w:spacing w:before="280" w:after="120"/>
      </w:pPr>
      <w:r>
        <w:rPr>
          <w:rFonts w:ascii="Calibri" w:hAnsi="Calibri"/>
          <w:b/>
          <w:color w:val="1AAFCC"/>
          <w:sz w:val="26"/>
        </w:rPr>
        <w:t>Risk Calculator Engine</w:t>
      </w:r>
    </w:p>
    <w:p>
      <w:pPr>
        <w:spacing w:before="0" w:after="120"/>
      </w:pPr>
      <w:r>
        <w:rPr>
          <w:rFonts w:ascii="Calibri" w:hAnsi="Calibri"/>
          <w:color w:val="333333"/>
          <w:sz w:val="20"/>
        </w:rPr>
        <w:t xml:space="preserve">The </w:t>
      </w:r>
      <w:r>
        <w:rPr>
          <w:rFonts w:ascii="Courier New" w:hAnsi="Courier New"/>
          <w:color w:val="444444"/>
          <w:sz w:val="18"/>
        </w:rPr>
        <w:t>RiskCalculatorEngine</w:t>
      </w:r>
      <w:r>
        <w:rPr>
          <w:rFonts w:ascii="Calibri" w:hAnsi="Calibri"/>
          <w:color w:val="333333"/>
          <w:sz w:val="20"/>
        </w:rPr>
        <w:t xml:space="preserve"> class provides:</w:t>
      </w:r>
    </w:p>
    <w:p>
      <w:pPr>
        <w:spacing w:before="40" w:after="40"/>
        <w:ind w:left="504" w:hanging="216"/>
      </w:pPr>
      <w:r>
        <w:rPr>
          <w:rFonts w:ascii="Calibri" w:hAnsi="Calibri"/>
          <w:color w:val="1AAFCC"/>
          <w:sz w:val="20"/>
        </w:rPr>
        <w:t xml:space="preserve">•  </w:t>
      </w:r>
      <w:r>
        <w:rPr>
          <w:rFonts w:ascii="Courier New" w:hAnsi="Courier New"/>
          <w:color w:val="444444"/>
          <w:sz w:val="18"/>
        </w:rPr>
        <w:t>calculate(score_type, input, extra)</w:t>
      </w:r>
      <w:r>
        <w:rPr>
          <w:rFonts w:ascii="Calibri" w:hAnsi="Calibri"/>
          <w:color w:val="333333"/>
          <w:sz w:val="20"/>
        </w:rPr>
        <w:t xml:space="preserve"> -- compute a single score</w:t>
      </w:r>
    </w:p>
    <w:p>
      <w:pPr>
        <w:spacing w:before="40" w:after="40"/>
        <w:ind w:left="504" w:hanging="216"/>
      </w:pPr>
      <w:r>
        <w:rPr>
          <w:rFonts w:ascii="Calibri" w:hAnsi="Calibri"/>
          <w:color w:val="1AAFCC"/>
          <w:sz w:val="20"/>
        </w:rPr>
        <w:t xml:space="preserve">•  </w:t>
      </w:r>
      <w:r>
        <w:rPr>
          <w:rFonts w:ascii="Courier New" w:hAnsi="Courier New"/>
          <w:color w:val="444444"/>
          <w:sz w:val="18"/>
        </w:rPr>
        <w:t>calculate_all_applicable(input, extra)</w:t>
      </w:r>
      <w:r>
        <w:rPr>
          <w:rFonts w:ascii="Calibri" w:hAnsi="Calibri"/>
          <w:color w:val="333333"/>
          <w:sz w:val="20"/>
        </w:rPr>
        <w:t xml:space="preserve"> -- compute all scores for which sufficient data exists</w:t>
      </w:r>
    </w:p>
    <w:p>
      <w:pPr>
        <w:spacing w:before="40" w:after="40"/>
        <w:ind w:left="504" w:hanging="216"/>
      </w:pPr>
      <w:r>
        <w:rPr>
          <w:rFonts w:ascii="Calibri" w:hAnsi="Calibri"/>
          <w:color w:val="1AAFCC"/>
          <w:sz w:val="20"/>
        </w:rPr>
        <w:t xml:space="preserve">•  </w:t>
      </w:r>
      <w:r>
        <w:rPr>
          <w:rFonts w:ascii="Calibri" w:hAnsi="Calibri"/>
          <w:color w:val="333333"/>
          <w:sz w:val="20"/>
        </w:rPr>
        <w:t xml:space="preserve">Input validation with descriptive error messages via </w:t>
      </w:r>
      <w:r>
        <w:rPr>
          <w:rFonts w:ascii="Courier New" w:hAnsi="Courier New"/>
          <w:color w:val="444444"/>
          <w:sz w:val="18"/>
        </w:rPr>
        <w:t>RiskCalculatorError</w:t>
      </w:r>
    </w:p>
    <w:p>
      <w:pPr>
        <w:spacing w:before="40" w:after="40"/>
        <w:ind w:left="504" w:hanging="216"/>
      </w:pPr>
      <w:r>
        <w:rPr>
          <w:rFonts w:ascii="Calibri" w:hAnsi="Calibri"/>
          <w:color w:val="1AAFCC"/>
          <w:sz w:val="20"/>
        </w:rPr>
        <w:t xml:space="preserve">•  </w:t>
      </w:r>
      <w:r>
        <w:rPr>
          <w:rFonts w:ascii="Calibri" w:hAnsi="Calibri"/>
          <w:color w:val="333333"/>
          <w:sz w:val="20"/>
        </w:rPr>
        <w:t xml:space="preserve">Each calculator returns </w:t>
      </w:r>
      <w:r>
        <w:rPr>
          <w:rFonts w:ascii="Courier New" w:hAnsi="Courier New"/>
          <w:color w:val="444444"/>
          <w:sz w:val="18"/>
        </w:rPr>
        <w:t>RiskScoreResult</w:t>
      </w:r>
      <w:r>
        <w:rPr>
          <w:rFonts w:ascii="Calibri" w:hAnsi="Calibri"/>
          <w:color w:val="333333"/>
          <w:sz w:val="20"/>
        </w:rPr>
        <w:t xml:space="preserve"> with score value, risk category, interpretation, recommendations, and guideline reference</w:t>
      </w:r>
    </w:p>
    <w:p>
      <w:pPr>
        <w:spacing w:before="80" w:after="80"/>
        <w:pBdr>
          <w:bottom w:val="single" w:sz="6" w:color="1AAFCC"/>
        </w:pBdr>
      </w:pPr>
    </w:p>
    <w:p>
      <w:pPr>
        <w:pStyle w:val="Heading1"/>
        <w:spacing w:before="400" w:after="160"/>
      </w:pPr>
      <w:r>
        <w:rPr>
          <w:rFonts w:ascii="Calibri" w:hAnsi="Calibri"/>
          <w:b/>
          <w:color w:val="1B2333"/>
          <w:sz w:val="32"/>
        </w:rPr>
        <w:t>9. GDMT Optimizer</w:t>
      </w:r>
    </w:p>
    <w:p>
      <w:pPr>
        <w:spacing w:before="0" w:after="120"/>
      </w:pPr>
      <w:r>
        <w:rPr>
          <w:rFonts w:ascii="Calibri" w:hAnsi="Calibri"/>
          <w:color w:val="333333"/>
          <w:sz w:val="20"/>
        </w:rPr>
        <w:t>The GDMT optimizer (</w:t>
      </w:r>
      <w:r>
        <w:rPr>
          <w:rFonts w:ascii="Courier New" w:hAnsi="Courier New"/>
          <w:color w:val="444444"/>
          <w:sz w:val="18"/>
        </w:rPr>
        <w:t>src/gdmt_optimizer.py</w:t>
      </w:r>
      <w:r>
        <w:rPr>
          <w:rFonts w:ascii="Calibri" w:hAnsi="Calibri"/>
          <w:color w:val="333333"/>
          <w:sz w:val="20"/>
        </w:rPr>
        <w:t>, 2,457 lines) implements evidence-based guideline-directed medical therapy optimization for heart failure with reduced ejection fraction (HFrEF).</w:t>
      </w:r>
    </w:p>
    <w:p>
      <w:pPr>
        <w:pStyle w:val="Heading2"/>
        <w:spacing w:before="280" w:after="120"/>
      </w:pPr>
      <w:r>
        <w:rPr>
          <w:rFonts w:ascii="Calibri" w:hAnsi="Calibri"/>
          <w:b/>
          <w:color w:val="1AAFCC"/>
          <w:sz w:val="26"/>
        </w:rPr>
        <w:t>Four Pillars of GDMT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Pillar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Drug Class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 Dose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Trials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 Beta-Blocker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Carvedilol, Metoprolol Succinate, Bisoprolol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Carvedilol 25mg BID, Metoprolol 200mg QD, Bisoprolol 10mg QD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MERIT-HF, COPERNICUS, CIBIS-II</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 ARNI/ACEi/ARB</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Sacubitril/Valsartan (preferred), Enalapril, Valsartan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Sacubitril/Valsartan 97/103mg BID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PARADIGM-HF, PARAGON-HF</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 MRA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Spironolactone, Eplerenone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Spironolactone 25-50mg QD, Eplerenone 50mg QD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RALES, EMPHASIS-HF</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 SGLT2i</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Dapagliflozin, Empagliflozin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10mg QD (both)</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DAPA-HF, EMPEROR-Reduced</w:t>
            </w:r>
          </w:p>
        </w:tc>
      </w:tr>
    </w:tbl>
    <w:p>
      <w:pPr>
        <w:spacing w:before="40" w:after="80"/>
      </w:pPr>
    </w:p>
    <w:p>
      <w:pPr>
        <w:pStyle w:val="Heading2"/>
        <w:spacing w:before="280" w:after="120"/>
      </w:pPr>
      <w:r>
        <w:rPr>
          <w:rFonts w:ascii="Calibri" w:hAnsi="Calibri"/>
          <w:b/>
          <w:color w:val="1AAFCC"/>
          <w:sz w:val="26"/>
        </w:rPr>
        <w:t>Optimizer Features</w:t>
      </w:r>
    </w:p>
    <w:p>
      <w:pPr>
        <w:spacing w:before="40" w:after="40"/>
        <w:ind w:left="504" w:hanging="216"/>
      </w:pPr>
      <w:r>
        <w:rPr>
          <w:rFonts w:ascii="Calibri" w:hAnsi="Calibri"/>
          <w:color w:val="1AAFCC"/>
          <w:sz w:val="20"/>
        </w:rPr>
        <w:t xml:space="preserve">•  </w:t>
      </w:r>
      <w:r>
        <w:rPr>
          <w:rFonts w:ascii="Calibri" w:hAnsi="Calibri"/>
          <w:b/>
          <w:color w:val="333333"/>
          <w:sz w:val="20"/>
        </w:rPr>
        <w:t>EF-stratified recommendations:</w:t>
      </w:r>
      <w:r>
        <w:rPr>
          <w:rFonts w:ascii="Calibri" w:hAnsi="Calibri"/>
          <w:color w:val="333333"/>
          <w:sz w:val="20"/>
        </w:rPr>
        <w:t xml:space="preserve"> Different GDMT algorithms for HFrEF, HFmrEF, HFpEF, and HFimpEF</w:t>
      </w:r>
    </w:p>
    <w:p>
      <w:pPr>
        <w:spacing w:before="40" w:after="40"/>
        <w:ind w:left="504" w:hanging="216"/>
      </w:pPr>
      <w:r>
        <w:rPr>
          <w:rFonts w:ascii="Calibri" w:hAnsi="Calibri"/>
          <w:color w:val="1AAFCC"/>
          <w:sz w:val="20"/>
        </w:rPr>
        <w:t xml:space="preserve">•  </w:t>
      </w:r>
      <w:r>
        <w:rPr>
          <w:rFonts w:ascii="Calibri" w:hAnsi="Calibri"/>
          <w:b/>
          <w:color w:val="333333"/>
          <w:sz w:val="20"/>
        </w:rPr>
        <w:t>Titration sequencing:</w:t>
      </w:r>
      <w:r>
        <w:rPr>
          <w:rFonts w:ascii="Calibri" w:hAnsi="Calibri"/>
          <w:color w:val="333333"/>
          <w:sz w:val="20"/>
        </w:rPr>
        <w:t xml:space="preserve"> Recommends initiation order and uptitration steps</w:t>
      </w:r>
    </w:p>
    <w:p>
      <w:pPr>
        <w:spacing w:before="40" w:after="40"/>
        <w:ind w:left="504" w:hanging="216"/>
      </w:pPr>
      <w:r>
        <w:rPr>
          <w:rFonts w:ascii="Calibri" w:hAnsi="Calibri"/>
          <w:color w:val="1AAFCC"/>
          <w:sz w:val="20"/>
        </w:rPr>
        <w:t xml:space="preserve">•  </w:t>
      </w:r>
      <w:r>
        <w:rPr>
          <w:rFonts w:ascii="Calibri" w:hAnsi="Calibri"/>
          <w:b/>
          <w:color w:val="333333"/>
          <w:sz w:val="20"/>
        </w:rPr>
        <w:t>Contraindication checking:</w:t>
      </w:r>
      <w:r>
        <w:rPr>
          <w:rFonts w:ascii="Calibri" w:hAnsi="Calibri"/>
          <w:color w:val="333333"/>
          <w:sz w:val="20"/>
        </w:rPr>
        <w:t xml:space="preserve"> Validates each pillar against patient-specific contraindications (K+, eGFR, BP, HR)</w:t>
      </w:r>
    </w:p>
    <w:p>
      <w:pPr>
        <w:spacing w:before="40" w:after="40"/>
        <w:ind w:left="504" w:hanging="216"/>
      </w:pPr>
      <w:r>
        <w:rPr>
          <w:rFonts w:ascii="Calibri" w:hAnsi="Calibri"/>
          <w:color w:val="1AAFCC"/>
          <w:sz w:val="20"/>
        </w:rPr>
        <w:t xml:space="preserve">•  </w:t>
      </w:r>
      <w:r>
        <w:rPr>
          <w:rFonts w:ascii="Calibri" w:hAnsi="Calibri"/>
          <w:b/>
          <w:color w:val="333333"/>
          <w:sz w:val="20"/>
        </w:rPr>
        <w:t>Lab monitoring guidance:</w:t>
      </w:r>
      <w:r>
        <w:rPr>
          <w:rFonts w:ascii="Calibri" w:hAnsi="Calibri"/>
          <w:color w:val="333333"/>
          <w:sz w:val="20"/>
        </w:rPr>
        <w:t xml:space="preserve"> Generates lab check schedules for potassium, creatinine, BP after each titration</w:t>
      </w:r>
    </w:p>
    <w:p>
      <w:pPr>
        <w:spacing w:before="40" w:after="40"/>
        <w:ind w:left="504" w:hanging="216"/>
      </w:pPr>
      <w:r>
        <w:rPr>
          <w:rFonts w:ascii="Calibri" w:hAnsi="Calibri"/>
          <w:color w:val="1AAFCC"/>
          <w:sz w:val="20"/>
        </w:rPr>
        <w:t xml:space="preserve">•  </w:t>
      </w:r>
      <w:r>
        <w:rPr>
          <w:rFonts w:ascii="Calibri" w:hAnsi="Calibri"/>
          <w:b/>
          <w:color w:val="333333"/>
          <w:sz w:val="20"/>
        </w:rPr>
        <w:t>Device therapy eligibility:</w:t>
      </w:r>
      <w:r>
        <w:rPr>
          <w:rFonts w:ascii="Calibri" w:hAnsi="Calibri"/>
          <w:color w:val="333333"/>
          <w:sz w:val="20"/>
        </w:rPr>
        <w:t xml:space="preserve"> Evaluates ICD and CRT criteria based on LVEF, QRS duration, LBBB, NYHA class</w:t>
      </w:r>
    </w:p>
    <w:p>
      <w:pPr>
        <w:spacing w:before="40" w:after="40"/>
        <w:ind w:left="504" w:hanging="216"/>
      </w:pPr>
      <w:r>
        <w:rPr>
          <w:rFonts w:ascii="Calibri" w:hAnsi="Calibri"/>
          <w:color w:val="1AAFCC"/>
          <w:sz w:val="20"/>
        </w:rPr>
        <w:t xml:space="preserve">•  </w:t>
      </w:r>
      <w:r>
        <w:rPr>
          <w:rFonts w:ascii="Calibri" w:hAnsi="Calibri"/>
          <w:b/>
          <w:color w:val="333333"/>
          <w:sz w:val="20"/>
        </w:rPr>
        <w:t>Additional therapies (7 total):</w:t>
      </w:r>
      <w:r>
        <w:rPr>
          <w:rFonts w:ascii="Calibri" w:hAnsi="Calibri"/>
          <w:color w:val="333333"/>
          <w:sz w:val="20"/>
        </w:rPr>
        <w:t xml:space="preserve"> H-ISDN for African American patients, ivabradine for persistent tachycardia, IV iron for iron deficiency, finerenone (non-steroidal MRA), omecamtiv mecarbil (cardiac myosin activator), sotagliflozin (dual SGLT1/2 inhibitor), vericiguat (sGC stimulator)</w:t>
      </w:r>
    </w:p>
    <w:p>
      <w:pPr>
        <w:spacing w:before="80" w:after="80"/>
        <w:pBdr>
          <w:bottom w:val="single" w:sz="6" w:color="1AAFCC"/>
        </w:pBdr>
      </w:pPr>
    </w:p>
    <w:p>
      <w:pPr>
        <w:pStyle w:val="Heading1"/>
        <w:spacing w:before="400" w:after="160"/>
      </w:pPr>
      <w:r>
        <w:rPr>
          <w:rFonts w:ascii="Calibri" w:hAnsi="Calibri"/>
          <w:b/>
          <w:color w:val="1B2333"/>
          <w:sz w:val="32"/>
        </w:rPr>
        <w:t>10. Cross-Modal Triggers</w:t>
      </w:r>
    </w:p>
    <w:p>
      <w:pPr>
        <w:spacing w:before="0" w:after="120"/>
      </w:pPr>
      <w:r>
        <w:rPr>
          <w:rFonts w:ascii="Calibri" w:hAnsi="Calibri"/>
          <w:color w:val="333333"/>
          <w:sz w:val="20"/>
        </w:rPr>
        <w:t>The cross-modal engine (</w:t>
      </w:r>
      <w:r>
        <w:rPr>
          <w:rFonts w:ascii="Courier New" w:hAnsi="Courier New"/>
          <w:color w:val="444444"/>
          <w:sz w:val="18"/>
        </w:rPr>
        <w:t>src/cross_modal.py</w:t>
      </w:r>
      <w:r>
        <w:rPr>
          <w:rFonts w:ascii="Calibri" w:hAnsi="Calibri"/>
          <w:color w:val="333333"/>
          <w:sz w:val="20"/>
        </w:rPr>
        <w:t xml:space="preserve">, 1,734 lines) links cardiac imaging findings to genomic workup recommendations via the shared </w:t>
      </w:r>
      <w:r>
        <w:rPr>
          <w:rFonts w:ascii="Courier New" w:hAnsi="Courier New"/>
          <w:color w:val="444444"/>
          <w:sz w:val="18"/>
        </w:rPr>
        <w:t>genomic_evidence</w:t>
      </w:r>
      <w:r>
        <w:rPr>
          <w:rFonts w:ascii="Calibri" w:hAnsi="Calibri"/>
          <w:color w:val="333333"/>
          <w:sz w:val="20"/>
        </w:rPr>
        <w:t xml:space="preserve"> collection.</w:t>
      </w:r>
    </w:p>
    <w:p>
      <w:pPr>
        <w:pStyle w:val="Heading2"/>
        <w:spacing w:before="280" w:after="120"/>
      </w:pPr>
      <w:r>
        <w:rPr>
          <w:rFonts w:ascii="Calibri" w:hAnsi="Calibri"/>
          <w:b/>
          <w:color w:val="1AAFCC"/>
          <w:sz w:val="26"/>
        </w:rPr>
        <w:t>Trigger Patterns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Imaging Finding</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Triggered Gene Panel</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Suspected Conditions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Unexplained LVH &gt;=15mm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MYH7, MYBPC3, TNNT2, TNNI3, TPM1, GLA, LAMP2, PRKAG2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Fabry Disease, Danon Disease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Non-ischemic LGE with DCM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TTN, LMNA, RBM20, MYH7, DSP, FLNC, BAG3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 Arrhythmogenic CM</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RV dilation with arrhythmia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PKP2, DSP, DSG2, DSC2, JUP, TMEM43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ARVC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Diffuse LGE + low voltage ECG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Amyloidosis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Aortic root dilation (&gt;=4.0cm)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FBN1, TGFBR1, TGFBR2, SMAD3, ACTA2, MYH11, COL3A1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Marfan, Loeys-Dietz, Familial TAAD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Premature coronary calcification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LDLR, PCSK9, APOB</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Familial Hypercholesterolemia</w:t>
            </w:r>
          </w:p>
        </w:tc>
      </w:tr>
    </w:tbl>
    <w:p>
      <w:pPr>
        <w:spacing w:before="40" w:after="80"/>
      </w:pPr>
    </w:p>
    <w:p>
      <w:pPr>
        <w:pStyle w:val="Heading2"/>
        <w:spacing w:before="280" w:after="120"/>
      </w:pPr>
      <w:r>
        <w:rPr>
          <w:rFonts w:ascii="Calibri" w:hAnsi="Calibri"/>
          <w:b/>
          <w:color w:val="1AAFCC"/>
          <w:sz w:val="26"/>
        </w:rPr>
        <w:t>Cross-Modal Workflow</w:t>
      </w:r>
    </w:p>
    <w:p>
      <w:pPr>
        <w:spacing w:before="40" w:after="40"/>
        <w:ind w:left="504" w:hanging="288"/>
      </w:pPr>
      <w:r>
        <w:rPr>
          <w:rFonts w:ascii="Calibri" w:hAnsi="Calibri"/>
          <w:b/>
          <w:color w:val="333333"/>
          <w:sz w:val="20"/>
        </w:rPr>
        <w:t xml:space="preserve">1.  </w:t>
      </w:r>
      <w:r>
        <w:rPr>
          <w:rFonts w:ascii="Calibri" w:hAnsi="Calibri"/>
          <w:color w:val="333333"/>
          <w:sz w:val="20"/>
        </w:rPr>
        <w:t>Imaging findings are extracted from the workflow result</w:t>
      </w:r>
    </w:p>
    <w:p>
      <w:pPr>
        <w:spacing w:before="40" w:after="40"/>
        <w:ind w:left="504" w:hanging="288"/>
      </w:pPr>
      <w:r>
        <w:rPr>
          <w:rFonts w:ascii="Calibri" w:hAnsi="Calibri"/>
          <w:b/>
          <w:color w:val="333333"/>
          <w:sz w:val="20"/>
        </w:rPr>
        <w:t xml:space="preserve">2.  </w:t>
      </w:r>
      <w:r>
        <w:rPr>
          <w:rFonts w:ascii="Calibri" w:hAnsi="Calibri"/>
          <w:color w:val="333333"/>
          <w:sz w:val="20"/>
        </w:rPr>
        <w:t xml:space="preserve">Pattern matching identifies applicable trigger entries from </w:t>
      </w:r>
      <w:r>
        <w:rPr>
          <w:rFonts w:ascii="Courier New" w:hAnsi="Courier New"/>
          <w:color w:val="444444"/>
          <w:sz w:val="18"/>
        </w:rPr>
        <w:t>IMAGING_TRIGGER_MAP</w:t>
      </w:r>
    </w:p>
    <w:p>
      <w:pPr>
        <w:spacing w:before="40" w:after="40"/>
        <w:ind w:left="504" w:hanging="288"/>
      </w:pPr>
      <w:r>
        <w:rPr>
          <w:rFonts w:ascii="Calibri" w:hAnsi="Calibri"/>
          <w:b/>
          <w:color w:val="333333"/>
          <w:sz w:val="20"/>
        </w:rPr>
        <w:t xml:space="preserve">3.  </w:t>
      </w:r>
      <w:r>
        <w:rPr>
          <w:rFonts w:ascii="Calibri" w:hAnsi="Calibri"/>
          <w:color w:val="333333"/>
          <w:sz w:val="20"/>
        </w:rPr>
        <w:t>For each matched trigger, the genomic_evidence collection is queried for relevant variant data</w:t>
      </w:r>
    </w:p>
    <w:p>
      <w:pPr>
        <w:spacing w:before="40" w:after="40"/>
        <w:ind w:left="504" w:hanging="288"/>
      </w:pPr>
      <w:r>
        <w:rPr>
          <w:rFonts w:ascii="Calibri" w:hAnsi="Calibri"/>
          <w:b/>
          <w:color w:val="333333"/>
          <w:sz w:val="20"/>
        </w:rPr>
        <w:t xml:space="preserve">4.  </w:t>
      </w:r>
      <w:r>
        <w:rPr>
          <w:rFonts w:ascii="Calibri" w:hAnsi="Calibri"/>
          <w:color w:val="333333"/>
          <w:sz w:val="20"/>
        </w:rPr>
        <w:t xml:space="preserve">Results are packaged as </w:t>
      </w:r>
      <w:r>
        <w:rPr>
          <w:rFonts w:ascii="Courier New" w:hAnsi="Courier New"/>
          <w:color w:val="444444"/>
          <w:sz w:val="18"/>
        </w:rPr>
        <w:t>CrossModalTrigger</w:t>
      </w:r>
      <w:r>
        <w:rPr>
          <w:rFonts w:ascii="Calibri" w:hAnsi="Calibri"/>
          <w:color w:val="333333"/>
          <w:sz w:val="20"/>
        </w:rPr>
        <w:t xml:space="preserve"> objects with source, finding, gene panel, conditions, and clinical rationale</w:t>
      </w:r>
    </w:p>
    <w:p>
      <w:pPr>
        <w:spacing w:before="40" w:after="40"/>
        <w:ind w:left="504" w:hanging="288"/>
      </w:pPr>
      <w:r>
        <w:rPr>
          <w:rFonts w:ascii="Calibri" w:hAnsi="Calibri"/>
          <w:b/>
          <w:color w:val="333333"/>
          <w:sz w:val="20"/>
        </w:rPr>
        <w:t xml:space="preserve">5.  </w:t>
      </w:r>
      <w:r>
        <w:rPr>
          <w:rFonts w:ascii="Calibri" w:hAnsi="Calibri"/>
          <w:color w:val="333333"/>
          <w:sz w:val="20"/>
        </w:rPr>
        <w:t xml:space="preserve">Triggers are included in the final </w:t>
      </w:r>
      <w:r>
        <w:rPr>
          <w:rFonts w:ascii="Courier New" w:hAnsi="Courier New"/>
          <w:color w:val="444444"/>
          <w:sz w:val="18"/>
        </w:rPr>
        <w:t>CardioResponse</w:t>
      </w:r>
      <w:r>
        <w:rPr>
          <w:rFonts w:ascii="Calibri" w:hAnsi="Calibri"/>
          <w:color w:val="333333"/>
          <w:sz w:val="20"/>
        </w:rPr>
        <w:t xml:space="preserve"> for clinician review</w:t>
      </w:r>
    </w:p>
    <w:p>
      <w:pPr>
        <w:spacing w:before="80" w:after="80"/>
        <w:pBdr>
          <w:bottom w:val="single" w:sz="6" w:color="1AAFCC"/>
        </w:pBdr>
      </w:pPr>
    </w:p>
    <w:p>
      <w:pPr>
        <w:pStyle w:val="Heading1"/>
        <w:spacing w:before="400" w:after="160"/>
      </w:pPr>
      <w:r>
        <w:rPr>
          <w:rFonts w:ascii="Calibri" w:hAnsi="Calibri"/>
          <w:b/>
          <w:color w:val="1B2333"/>
          <w:sz w:val="32"/>
        </w:rPr>
        <w:t>11. RAG Engine</w:t>
      </w:r>
    </w:p>
    <w:p>
      <w:pPr>
        <w:spacing w:before="0" w:after="120"/>
      </w:pPr>
      <w:r>
        <w:rPr>
          <w:rFonts w:ascii="Calibri" w:hAnsi="Calibri"/>
          <w:color w:val="333333"/>
          <w:sz w:val="20"/>
        </w:rPr>
        <w:t>The RAG engine (</w:t>
      </w:r>
      <w:r>
        <w:rPr>
          <w:rFonts w:ascii="Courier New" w:hAnsi="Courier New"/>
          <w:color w:val="444444"/>
          <w:sz w:val="18"/>
        </w:rPr>
        <w:t>src/rag_engine.py</w:t>
      </w:r>
      <w:r>
        <w:rPr>
          <w:rFonts w:ascii="Calibri" w:hAnsi="Calibri"/>
          <w:color w:val="333333"/>
          <w:sz w:val="20"/>
        </w:rPr>
        <w:t>, 1,589 lines) implements multi-collection retrieval-augmented generation:</w:t>
      </w:r>
    </w:p>
    <w:p>
      <w:pPr>
        <w:pStyle w:val="Heading2"/>
        <w:spacing w:before="280" w:after="120"/>
      </w:pPr>
      <w:r>
        <w:rPr>
          <w:rFonts w:ascii="Calibri" w:hAnsi="Calibri"/>
          <w:b/>
          <w:color w:val="1AAFCC"/>
          <w:sz w:val="26"/>
        </w:rPr>
        <w:t>Search Pipeline</w:t>
      </w:r>
    </w:p>
    <w:p>
      <w:pPr>
        <w:spacing w:before="40" w:after="40"/>
        <w:ind w:left="504" w:hanging="288"/>
      </w:pPr>
      <w:r>
        <w:rPr>
          <w:rFonts w:ascii="Calibri" w:hAnsi="Calibri"/>
          <w:b/>
          <w:color w:val="333333"/>
          <w:sz w:val="20"/>
        </w:rPr>
        <w:t xml:space="preserve">1.  </w:t>
      </w:r>
      <w:r>
        <w:rPr>
          <w:rFonts w:ascii="Calibri" w:hAnsi="Calibri"/>
          <w:b/>
          <w:color w:val="333333"/>
          <w:sz w:val="20"/>
        </w:rPr>
        <w:t>Embedding:</w:t>
      </w:r>
      <w:r>
        <w:rPr>
          <w:rFonts w:ascii="Calibri" w:hAnsi="Calibri"/>
          <w:color w:val="333333"/>
          <w:sz w:val="20"/>
        </w:rPr>
        <w:t xml:space="preserve"> Input query is embedded using BGE-small-en-v1.5 (384-dim)</w:t>
      </w:r>
    </w:p>
    <w:p>
      <w:pPr>
        <w:spacing w:before="40" w:after="40"/>
        <w:ind w:left="504" w:hanging="288"/>
      </w:pPr>
      <w:r>
        <w:rPr>
          <w:rFonts w:ascii="Calibri" w:hAnsi="Calibri"/>
          <w:b/>
          <w:color w:val="333333"/>
          <w:sz w:val="20"/>
        </w:rPr>
        <w:t xml:space="preserve">2.  </w:t>
      </w:r>
      <w:r>
        <w:rPr>
          <w:rFonts w:ascii="Calibri" w:hAnsi="Calibri"/>
          <w:b/>
          <w:color w:val="333333"/>
          <w:sz w:val="20"/>
        </w:rPr>
        <w:t>Multi-collection search:</w:t>
      </w:r>
      <w:r>
        <w:rPr>
          <w:rFonts w:ascii="Calibri" w:hAnsi="Calibri"/>
          <w:color w:val="333333"/>
          <w:sz w:val="20"/>
        </w:rPr>
        <w:t xml:space="preserve"> Queries all 13 collections in parallel with </w:t>
      </w:r>
      <w:r>
        <w:rPr>
          <w:rFonts w:ascii="Courier New" w:hAnsi="Courier New"/>
          <w:color w:val="444444"/>
          <w:sz w:val="18"/>
        </w:rPr>
        <w:t>top_k=5</w:t>
      </w:r>
      <w:r>
        <w:rPr>
          <w:rFonts w:ascii="Calibri" w:hAnsi="Calibri"/>
          <w:color w:val="333333"/>
          <w:sz w:val="20"/>
        </w:rPr>
        <w:t xml:space="preserve"> per collection</w:t>
      </w:r>
    </w:p>
    <w:p>
      <w:pPr>
        <w:spacing w:before="40" w:after="40"/>
        <w:ind w:left="504" w:hanging="288"/>
      </w:pPr>
      <w:r>
        <w:rPr>
          <w:rFonts w:ascii="Calibri" w:hAnsi="Calibri"/>
          <w:b/>
          <w:color w:val="333333"/>
          <w:sz w:val="20"/>
        </w:rPr>
        <w:t xml:space="preserve">3.  </w:t>
      </w:r>
      <w:r>
        <w:rPr>
          <w:rFonts w:ascii="Calibri" w:hAnsi="Calibri"/>
          <w:b/>
          <w:color w:val="333333"/>
          <w:sz w:val="20"/>
        </w:rPr>
        <w:t>Score thresholding:</w:t>
      </w:r>
      <w:r>
        <w:rPr>
          <w:rFonts w:ascii="Calibri" w:hAnsi="Calibri"/>
          <w:color w:val="333333"/>
          <w:sz w:val="20"/>
        </w:rPr>
        <w:t xml:space="preserve"> Filters results below </w:t>
      </w:r>
      <w:r>
        <w:rPr>
          <w:rFonts w:ascii="Courier New" w:hAnsi="Courier New"/>
          <w:color w:val="444444"/>
          <w:sz w:val="18"/>
        </w:rPr>
        <w:t>SCORE_THRESHOLD=0.4</w:t>
      </w:r>
    </w:p>
    <w:p>
      <w:pPr>
        <w:spacing w:before="40" w:after="40"/>
        <w:ind w:left="504" w:hanging="288"/>
      </w:pPr>
      <w:r>
        <w:rPr>
          <w:rFonts w:ascii="Calibri" w:hAnsi="Calibri"/>
          <w:b/>
          <w:color w:val="333333"/>
          <w:sz w:val="20"/>
        </w:rPr>
        <w:t xml:space="preserve">4.  </w:t>
      </w:r>
      <w:r>
        <w:rPr>
          <w:rFonts w:ascii="Calibri" w:hAnsi="Calibri"/>
          <w:b/>
          <w:color w:val="333333"/>
          <w:sz w:val="20"/>
        </w:rPr>
        <w:t>Weighted ranking:</w:t>
      </w:r>
      <w:r>
        <w:rPr>
          <w:rFonts w:ascii="Calibri" w:hAnsi="Calibri"/>
          <w:color w:val="333333"/>
          <w:sz w:val="20"/>
        </w:rPr>
        <w:t xml:space="preserve"> Applies collection-specific weights (see Collections Catalog)</w:t>
      </w:r>
    </w:p>
    <w:p>
      <w:pPr>
        <w:spacing w:before="40" w:after="40"/>
        <w:ind w:left="504" w:hanging="288"/>
      </w:pPr>
      <w:r>
        <w:rPr>
          <w:rFonts w:ascii="Calibri" w:hAnsi="Calibri"/>
          <w:b/>
          <w:color w:val="333333"/>
          <w:sz w:val="20"/>
        </w:rPr>
        <w:t xml:space="preserve">5.  </w:t>
      </w:r>
      <w:r>
        <w:rPr>
          <w:rFonts w:ascii="Calibri" w:hAnsi="Calibri"/>
          <w:b/>
          <w:color w:val="333333"/>
          <w:sz w:val="20"/>
        </w:rPr>
        <w:t>Deduplication:</w:t>
      </w:r>
      <w:r>
        <w:rPr>
          <w:rFonts w:ascii="Calibri" w:hAnsi="Calibri"/>
          <w:color w:val="333333"/>
          <w:sz w:val="20"/>
        </w:rPr>
        <w:t xml:space="preserve"> Removes near-duplicate content across collections</w:t>
      </w:r>
    </w:p>
    <w:p>
      <w:pPr>
        <w:spacing w:before="40" w:after="40"/>
        <w:ind w:left="504" w:hanging="288"/>
      </w:pPr>
      <w:r>
        <w:rPr>
          <w:rFonts w:ascii="Calibri" w:hAnsi="Calibri"/>
          <w:b/>
          <w:color w:val="333333"/>
          <w:sz w:val="20"/>
        </w:rPr>
        <w:t xml:space="preserve">6.  </w:t>
      </w:r>
      <w:r>
        <w:rPr>
          <w:rFonts w:ascii="Calibri" w:hAnsi="Calibri"/>
          <w:b/>
          <w:color w:val="333333"/>
          <w:sz w:val="20"/>
        </w:rPr>
        <w:t>Citation scoring:</w:t>
      </w:r>
      <w:r>
        <w:rPr>
          <w:rFonts w:ascii="Calibri" w:hAnsi="Calibri"/>
          <w:color w:val="333333"/>
          <w:sz w:val="20"/>
        </w:rPr>
        <w:t xml:space="preserve"> Classifies citations as high (&gt;=0.75), medium (&gt;=0.60), or standard confidence</w:t>
      </w:r>
    </w:p>
    <w:p>
      <w:pPr>
        <w:pStyle w:val="Heading2"/>
        <w:spacing w:before="280" w:after="120"/>
      </w:pPr>
      <w:r>
        <w:rPr>
          <w:rFonts w:ascii="Calibri" w:hAnsi="Calibri"/>
          <w:b/>
          <w:color w:val="1AAFCC"/>
          <w:sz w:val="26"/>
        </w:rPr>
        <w:t>LLM Synthesis</w:t>
      </w:r>
    </w:p>
    <w:p>
      <w:pPr>
        <w:spacing w:before="40" w:after="40"/>
        <w:ind w:left="504" w:hanging="216"/>
      </w:pPr>
      <w:r>
        <w:rPr>
          <w:rFonts w:ascii="Calibri" w:hAnsi="Calibri"/>
          <w:color w:val="1AAFCC"/>
          <w:sz w:val="20"/>
        </w:rPr>
        <w:t xml:space="preserve">•  </w:t>
      </w:r>
      <w:r>
        <w:rPr>
          <w:rFonts w:ascii="Calibri" w:hAnsi="Calibri"/>
          <w:b/>
          <w:color w:val="333333"/>
          <w:sz w:val="20"/>
        </w:rPr>
        <w:t>Provider:</w:t>
      </w:r>
      <w:r>
        <w:rPr>
          <w:rFonts w:ascii="Calibri" w:hAnsi="Calibri"/>
          <w:color w:val="333333"/>
          <w:sz w:val="20"/>
        </w:rPr>
        <w:t xml:space="preserve"> Anthropic (Claude Sonnet 4.6)</w:t>
      </w:r>
    </w:p>
    <w:p>
      <w:pPr>
        <w:spacing w:before="40" w:after="40"/>
        <w:ind w:left="504" w:hanging="216"/>
      </w:pPr>
      <w:r>
        <w:rPr>
          <w:rFonts w:ascii="Calibri" w:hAnsi="Calibri"/>
          <w:color w:val="1AAFCC"/>
          <w:sz w:val="20"/>
        </w:rPr>
        <w:t xml:space="preserve">•  </w:t>
      </w:r>
      <w:r>
        <w:rPr>
          <w:rFonts w:ascii="Calibri" w:hAnsi="Calibri"/>
          <w:b/>
          <w:color w:val="333333"/>
          <w:sz w:val="20"/>
        </w:rPr>
        <w:t>System prompt:</w:t>
      </w:r>
      <w:r>
        <w:rPr>
          <w:rFonts w:ascii="Calibri" w:hAnsi="Calibri"/>
          <w:color w:val="333333"/>
          <w:sz w:val="20"/>
        </w:rPr>
        <w:t xml:space="preserve"> Cardiology domain expert with guideline citation requirements</w:t>
      </w:r>
    </w:p>
    <w:p>
      <w:pPr>
        <w:spacing w:before="40" w:after="40"/>
        <w:ind w:left="504" w:hanging="216"/>
      </w:pPr>
      <w:r>
        <w:rPr>
          <w:rFonts w:ascii="Calibri" w:hAnsi="Calibri"/>
          <w:color w:val="1AAFCC"/>
          <w:sz w:val="20"/>
        </w:rPr>
        <w:t xml:space="preserve">•  </w:t>
      </w:r>
      <w:r>
        <w:rPr>
          <w:rFonts w:ascii="Calibri" w:hAnsi="Calibri"/>
          <w:b/>
          <w:color w:val="333333"/>
          <w:sz w:val="20"/>
        </w:rPr>
        <w:t>Context window:</w:t>
      </w:r>
      <w:r>
        <w:rPr>
          <w:rFonts w:ascii="Calibri" w:hAnsi="Calibri"/>
          <w:color w:val="333333"/>
          <w:sz w:val="20"/>
        </w:rPr>
        <w:t xml:space="preserve"> Retrieved passages assembled with source attribution</w:t>
      </w:r>
    </w:p>
    <w:p>
      <w:pPr>
        <w:spacing w:before="40" w:after="40"/>
        <w:ind w:left="504" w:hanging="216"/>
      </w:pPr>
      <w:r>
        <w:rPr>
          <w:rFonts w:ascii="Calibri" w:hAnsi="Calibri"/>
          <w:color w:val="1AAFCC"/>
          <w:sz w:val="20"/>
        </w:rPr>
        <w:t xml:space="preserve">•  </w:t>
      </w:r>
      <w:r>
        <w:rPr>
          <w:rFonts w:ascii="Calibri" w:hAnsi="Calibri"/>
          <w:b/>
          <w:color w:val="333333"/>
          <w:sz w:val="20"/>
        </w:rPr>
        <w:t>Output format:</w:t>
      </w:r>
      <w:r>
        <w:rPr>
          <w:rFonts w:ascii="Calibri" w:hAnsi="Calibri"/>
          <w:color w:val="333333"/>
          <w:sz w:val="20"/>
        </w:rPr>
        <w:t xml:space="preserve"> Structured clinical answer with inline citations</w:t>
      </w:r>
    </w:p>
    <w:p>
      <w:pPr>
        <w:pStyle w:val="Heading2"/>
        <w:spacing w:before="280" w:after="120"/>
      </w:pPr>
      <w:r>
        <w:rPr>
          <w:rFonts w:ascii="Calibri" w:hAnsi="Calibri"/>
          <w:b/>
          <w:color w:val="1AAFCC"/>
          <w:sz w:val="26"/>
        </w:rPr>
        <w:t>Conversation Memory</w:t>
      </w:r>
    </w:p>
    <w:p>
      <w:pPr>
        <w:spacing w:before="40" w:after="40"/>
        <w:ind w:left="504" w:hanging="216"/>
      </w:pPr>
      <w:r>
        <w:rPr>
          <w:rFonts w:ascii="Calibri" w:hAnsi="Calibri"/>
          <w:color w:val="1AAFCC"/>
          <w:sz w:val="20"/>
        </w:rPr>
        <w:t xml:space="preserve">•  </w:t>
      </w:r>
      <w:r>
        <w:rPr>
          <w:rFonts w:ascii="Calibri" w:hAnsi="Calibri"/>
          <w:color w:val="333333"/>
          <w:sz w:val="20"/>
        </w:rPr>
        <w:t>Maintains up to 3 conversation turns for contextual follow-up questions</w:t>
      </w:r>
    </w:p>
    <w:p>
      <w:pPr>
        <w:spacing w:before="40" w:after="40"/>
        <w:ind w:left="504" w:hanging="216"/>
      </w:pPr>
      <w:r>
        <w:rPr>
          <w:rFonts w:ascii="Calibri" w:hAnsi="Calibri"/>
          <w:color w:val="1AAFCC"/>
          <w:sz w:val="20"/>
        </w:rPr>
        <w:t xml:space="preserve">•  </w:t>
      </w:r>
      <w:r>
        <w:rPr>
          <w:rFonts w:ascii="Calibri" w:hAnsi="Calibri"/>
          <w:color w:val="333333"/>
          <w:sz w:val="20"/>
        </w:rPr>
        <w:t xml:space="preserve">Configurable via </w:t>
      </w:r>
      <w:r>
        <w:rPr>
          <w:rFonts w:ascii="Courier New" w:hAnsi="Courier New"/>
          <w:color w:val="444444"/>
          <w:sz w:val="18"/>
        </w:rPr>
        <w:t>MAX_CONVERSATION_CONTEXT</w:t>
      </w:r>
      <w:r>
        <w:rPr>
          <w:rFonts w:ascii="Calibri" w:hAnsi="Calibri"/>
          <w:color w:val="333333"/>
          <w:sz w:val="20"/>
        </w:rPr>
        <w:t xml:space="preserve"> setting</w:t>
      </w:r>
    </w:p>
    <w:p>
      <w:pPr>
        <w:spacing w:before="80" w:after="80"/>
        <w:pBdr>
          <w:bottom w:val="single" w:sz="6" w:color="1AAFCC"/>
        </w:pBdr>
      </w:pPr>
    </w:p>
    <w:p>
      <w:pPr>
        <w:pStyle w:val="Heading1"/>
        <w:spacing w:before="400" w:after="160"/>
      </w:pPr>
      <w:r>
        <w:rPr>
          <w:rFonts w:ascii="Calibri" w:hAnsi="Calibri"/>
          <w:b/>
          <w:color w:val="1B2333"/>
          <w:sz w:val="32"/>
        </w:rPr>
        <w:t>12. Query Expansion</w:t>
      </w:r>
    </w:p>
    <w:p>
      <w:pPr>
        <w:spacing w:before="0" w:after="120"/>
      </w:pPr>
      <w:r>
        <w:rPr>
          <w:rFonts w:ascii="Calibri" w:hAnsi="Calibri"/>
          <w:color w:val="333333"/>
          <w:sz w:val="20"/>
        </w:rPr>
        <w:t>The query expansion module (</w:t>
      </w:r>
      <w:r>
        <w:rPr>
          <w:rFonts w:ascii="Courier New" w:hAnsi="Courier New"/>
          <w:color w:val="444444"/>
          <w:sz w:val="18"/>
        </w:rPr>
        <w:t>src/query_expansion.py</w:t>
      </w:r>
      <w:r>
        <w:rPr>
          <w:rFonts w:ascii="Calibri" w:hAnsi="Calibri"/>
          <w:color w:val="333333"/>
          <w:sz w:val="20"/>
        </w:rPr>
        <w:t>, 2,025 lines) enhances retrieval through:</w:t>
      </w:r>
    </w:p>
    <w:p>
      <w:pPr>
        <w:pStyle w:val="Heading2"/>
        <w:spacing w:before="280" w:after="120"/>
      </w:pPr>
      <w:r>
        <w:rPr>
          <w:rFonts w:ascii="Calibri" w:hAnsi="Calibri"/>
          <w:b/>
          <w:color w:val="1AAFCC"/>
          <w:sz w:val="26"/>
        </w:rPr>
        <w:t>Expansion Strategies</w:t>
      </w:r>
    </w:p>
    <w:p>
      <w:pPr>
        <w:spacing w:before="40" w:after="40"/>
        <w:ind w:left="504" w:hanging="288"/>
      </w:pPr>
      <w:r>
        <w:rPr>
          <w:rFonts w:ascii="Calibri" w:hAnsi="Calibri"/>
          <w:b/>
          <w:color w:val="333333"/>
          <w:sz w:val="20"/>
        </w:rPr>
        <w:t xml:space="preserve">1.  </w:t>
      </w:r>
      <w:r>
        <w:rPr>
          <w:rFonts w:ascii="Calibri" w:hAnsi="Calibri"/>
          <w:b/>
          <w:color w:val="333333"/>
          <w:sz w:val="20"/>
        </w:rPr>
        <w:t>Synonym expansion:</w:t>
      </w:r>
      <w:r>
        <w:rPr>
          <w:rFonts w:ascii="Calibri" w:hAnsi="Calibri"/>
          <w:color w:val="333333"/>
          <w:sz w:val="20"/>
        </w:rPr>
        <w:t xml:space="preserve"> Maps abbreviations to full names using 167 entity aliases across 18 synonym maps (e.g., "HCM" -&gt; "hypertrophic cardiomyopathy")</w:t>
      </w:r>
    </w:p>
    <w:p>
      <w:pPr>
        <w:spacing w:before="40" w:after="40"/>
        <w:ind w:left="504" w:hanging="288"/>
      </w:pPr>
      <w:r>
        <w:rPr>
          <w:rFonts w:ascii="Calibri" w:hAnsi="Calibri"/>
          <w:b/>
          <w:color w:val="333333"/>
          <w:sz w:val="20"/>
        </w:rPr>
        <w:t xml:space="preserve">2.  </w:t>
      </w:r>
      <w:r>
        <w:rPr>
          <w:rFonts w:ascii="Calibri" w:hAnsi="Calibri"/>
          <w:b/>
          <w:color w:val="333333"/>
          <w:sz w:val="20"/>
        </w:rPr>
        <w:t>Condition identification:</w:t>
      </w:r>
      <w:r>
        <w:rPr>
          <w:rFonts w:ascii="Calibri" w:hAnsi="Calibri"/>
          <w:color w:val="333333"/>
          <w:sz w:val="20"/>
        </w:rPr>
        <w:t xml:space="preserve"> Extracts cardiovascular conditions from the query using knowledge graph matching</w:t>
      </w:r>
    </w:p>
    <w:p>
      <w:pPr>
        <w:spacing w:before="40" w:after="40"/>
        <w:ind w:left="504" w:hanging="288"/>
      </w:pPr>
      <w:r>
        <w:rPr>
          <w:rFonts w:ascii="Calibri" w:hAnsi="Calibri"/>
          <w:b/>
          <w:color w:val="333333"/>
          <w:sz w:val="20"/>
        </w:rPr>
        <w:t xml:space="preserve">3.  </w:t>
      </w:r>
      <w:r>
        <w:rPr>
          <w:rFonts w:ascii="Calibri" w:hAnsi="Calibri"/>
          <w:b/>
          <w:color w:val="333333"/>
          <w:sz w:val="20"/>
        </w:rPr>
        <w:t>Drug identification:</w:t>
      </w:r>
      <w:r>
        <w:rPr>
          <w:rFonts w:ascii="Calibri" w:hAnsi="Calibri"/>
          <w:color w:val="333333"/>
          <w:sz w:val="20"/>
        </w:rPr>
        <w:t xml:space="preserve"> Identifies mentioned drug classes and specific medications</w:t>
      </w:r>
    </w:p>
    <w:p>
      <w:pPr>
        <w:spacing w:before="40" w:after="40"/>
        <w:ind w:left="504" w:hanging="288"/>
      </w:pPr>
      <w:r>
        <w:rPr>
          <w:rFonts w:ascii="Calibri" w:hAnsi="Calibri"/>
          <w:b/>
          <w:color w:val="333333"/>
          <w:sz w:val="20"/>
        </w:rPr>
        <w:t xml:space="preserve">4.  </w:t>
      </w:r>
      <w:r>
        <w:rPr>
          <w:rFonts w:ascii="Calibri" w:hAnsi="Calibri"/>
          <w:b/>
          <w:color w:val="333333"/>
          <w:sz w:val="20"/>
        </w:rPr>
        <w:t>Imaging modality detection:</w:t>
      </w:r>
      <w:r>
        <w:rPr>
          <w:rFonts w:ascii="Calibri" w:hAnsi="Calibri"/>
          <w:color w:val="333333"/>
          <w:sz w:val="20"/>
        </w:rPr>
        <w:t xml:space="preserve"> Recognizes imaging modality references for collection routing</w:t>
      </w:r>
    </w:p>
    <w:p>
      <w:pPr>
        <w:spacing w:before="40" w:after="40"/>
        <w:ind w:left="504" w:hanging="288"/>
      </w:pPr>
      <w:r>
        <w:rPr>
          <w:rFonts w:ascii="Calibri" w:hAnsi="Calibri"/>
          <w:b/>
          <w:color w:val="333333"/>
          <w:sz w:val="20"/>
        </w:rPr>
        <w:t xml:space="preserve">5.  </w:t>
      </w:r>
      <w:r>
        <w:rPr>
          <w:rFonts w:ascii="Calibri" w:hAnsi="Calibri"/>
          <w:b/>
          <w:color w:val="333333"/>
          <w:sz w:val="20"/>
        </w:rPr>
        <w:t>Sub-question decomposition:</w:t>
      </w:r>
      <w:r>
        <w:rPr>
          <w:rFonts w:ascii="Calibri" w:hAnsi="Calibri"/>
          <w:color w:val="333333"/>
          <w:sz w:val="20"/>
        </w:rPr>
        <w:t xml:space="preserve"> Breaks complex queries into searchable sub-questions</w:t>
      </w:r>
    </w:p>
    <w:p>
      <w:pPr>
        <w:spacing w:before="40" w:after="40"/>
        <w:ind w:left="504" w:hanging="288"/>
      </w:pPr>
      <w:r>
        <w:rPr>
          <w:rFonts w:ascii="Calibri" w:hAnsi="Calibri"/>
          <w:b/>
          <w:color w:val="333333"/>
          <w:sz w:val="20"/>
        </w:rPr>
        <w:t xml:space="preserve">6.  </w:t>
      </w:r>
      <w:r>
        <w:rPr>
          <w:rFonts w:ascii="Calibri" w:hAnsi="Calibri"/>
          <w:b/>
          <w:color w:val="333333"/>
          <w:sz w:val="20"/>
        </w:rPr>
        <w:t>Search strategy selection:</w:t>
      </w:r>
      <w:r>
        <w:rPr>
          <w:rFonts w:ascii="Calibri" w:hAnsi="Calibri"/>
          <w:color w:val="333333"/>
          <w:sz w:val="20"/>
        </w:rPr>
        <w:t xml:space="preserve"> Chooses between broad, targeted, comparative, and clinical strategies</w:t>
      </w:r>
    </w:p>
    <w:p>
      <w:pPr>
        <w:spacing w:before="40" w:after="40"/>
        <w:ind w:left="504" w:hanging="288"/>
      </w:pPr>
      <w:r>
        <w:rPr>
          <w:rFonts w:ascii="Calibri" w:hAnsi="Calibri"/>
          <w:b/>
          <w:color w:val="333333"/>
          <w:sz w:val="20"/>
        </w:rPr>
        <w:t xml:space="preserve">7.  </w:t>
      </w:r>
      <w:r>
        <w:rPr>
          <w:rFonts w:ascii="Calibri" w:hAnsi="Calibri"/>
          <w:b/>
          <w:color w:val="333333"/>
          <w:sz w:val="20"/>
        </w:rPr>
        <w:t>Topic identification:</w:t>
      </w:r>
      <w:r>
        <w:rPr>
          <w:rFonts w:ascii="Calibri" w:hAnsi="Calibri"/>
          <w:color w:val="333333"/>
          <w:sz w:val="20"/>
        </w:rPr>
        <w:t xml:space="preserve"> Tags query with relevant topics for collection weight adjustment</w:t>
      </w:r>
    </w:p>
    <w:p>
      <w:pPr>
        <w:pStyle w:val="Heading2"/>
        <w:spacing w:before="280" w:after="120"/>
      </w:pPr>
      <w:r>
        <w:rPr>
          <w:rFonts w:ascii="Calibri" w:hAnsi="Calibri"/>
          <w:b/>
          <w:color w:val="1AAFCC"/>
          <w:sz w:val="26"/>
        </w:rPr>
        <w:t>Output: SearchPlan</w:t>
      </w:r>
    </w:p>
    <w:p>
      <w:pPr>
        <w:spacing w:before="0" w:after="120"/>
      </w:pPr>
      <w:r>
        <w:rPr>
          <w:rFonts w:ascii="Calibri" w:hAnsi="Calibri"/>
          <w:color w:val="333333"/>
          <w:sz w:val="20"/>
        </w:rPr>
        <w:t xml:space="preserve">The query expansion module produces a </w:t>
      </w:r>
      <w:r>
        <w:rPr>
          <w:rFonts w:ascii="Courier New" w:hAnsi="Courier New"/>
          <w:color w:val="444444"/>
          <w:sz w:val="18"/>
        </w:rPr>
        <w:t>SearchPlan</w:t>
      </w:r>
      <w:r>
        <w:rPr>
          <w:rFonts w:ascii="Calibri" w:hAnsi="Calibri"/>
          <w:color w:val="333333"/>
          <w:sz w:val="20"/>
        </w:rPr>
        <w:t xml:space="preserve"> dataclass containing:</w:t>
      </w:r>
    </w:p>
    <w:p>
      <w:pPr>
        <w:spacing w:before="40" w:after="40"/>
        <w:ind w:left="504" w:hanging="216"/>
      </w:pPr>
      <w:r>
        <w:rPr>
          <w:rFonts w:ascii="Calibri" w:hAnsi="Calibri"/>
          <w:color w:val="1AAFCC"/>
          <w:sz w:val="20"/>
        </w:rPr>
        <w:t xml:space="preserve">•  </w:t>
      </w:r>
      <w:r>
        <w:rPr>
          <w:rFonts w:ascii="Calibri" w:hAnsi="Calibri"/>
          <w:color w:val="333333"/>
          <w:sz w:val="20"/>
        </w:rPr>
        <w:t>Original question</w:t>
      </w:r>
    </w:p>
    <w:p>
      <w:pPr>
        <w:spacing w:before="40" w:after="40"/>
        <w:ind w:left="504" w:hanging="216"/>
      </w:pPr>
      <w:r>
        <w:rPr>
          <w:rFonts w:ascii="Calibri" w:hAnsi="Calibri"/>
          <w:color w:val="1AAFCC"/>
          <w:sz w:val="20"/>
        </w:rPr>
        <w:t xml:space="preserve">•  </w:t>
      </w:r>
      <w:r>
        <w:rPr>
          <w:rFonts w:ascii="Calibri" w:hAnsi="Calibri"/>
          <w:color w:val="333333"/>
          <w:sz w:val="20"/>
        </w:rPr>
        <w:t>Identified conditions, drugs, and imaging modalities</w:t>
      </w:r>
    </w:p>
    <w:p>
      <w:pPr>
        <w:spacing w:before="40" w:after="40"/>
        <w:ind w:left="504" w:hanging="216"/>
      </w:pPr>
      <w:r>
        <w:rPr>
          <w:rFonts w:ascii="Calibri" w:hAnsi="Calibri"/>
          <w:color w:val="1AAFCC"/>
          <w:sz w:val="20"/>
        </w:rPr>
        <w:t xml:space="preserve">•  </w:t>
      </w:r>
      <w:r>
        <w:rPr>
          <w:rFonts w:ascii="Calibri" w:hAnsi="Calibri"/>
          <w:color w:val="333333"/>
          <w:sz w:val="20"/>
        </w:rPr>
        <w:t>Relevant workflow types</w:t>
      </w:r>
    </w:p>
    <w:p>
      <w:pPr>
        <w:spacing w:before="40" w:after="40"/>
        <w:ind w:left="504" w:hanging="216"/>
      </w:pPr>
      <w:r>
        <w:rPr>
          <w:rFonts w:ascii="Calibri" w:hAnsi="Calibri"/>
          <w:color w:val="1AAFCC"/>
          <w:sz w:val="20"/>
        </w:rPr>
        <w:t xml:space="preserve">•  </w:t>
      </w:r>
      <w:r>
        <w:rPr>
          <w:rFonts w:ascii="Calibri" w:hAnsi="Calibri"/>
          <w:color w:val="333333"/>
          <w:sz w:val="20"/>
        </w:rPr>
        <w:t>Search strategy (broad/targeted/comparative/clinical)</w:t>
      </w:r>
    </w:p>
    <w:p>
      <w:pPr>
        <w:spacing w:before="40" w:after="40"/>
        <w:ind w:left="504" w:hanging="216"/>
      </w:pPr>
      <w:r>
        <w:rPr>
          <w:rFonts w:ascii="Calibri" w:hAnsi="Calibri"/>
          <w:color w:val="1AAFCC"/>
          <w:sz w:val="20"/>
        </w:rPr>
        <w:t xml:space="preserve">•  </w:t>
      </w:r>
      <w:r>
        <w:rPr>
          <w:rFonts w:ascii="Calibri" w:hAnsi="Calibri"/>
          <w:color w:val="333333"/>
          <w:sz w:val="20"/>
        </w:rPr>
        <w:t>Decomposed sub-questions</w:t>
      </w:r>
    </w:p>
    <w:p>
      <w:pPr>
        <w:spacing w:before="40" w:after="40"/>
        <w:ind w:left="504" w:hanging="216"/>
      </w:pPr>
      <w:r>
        <w:rPr>
          <w:rFonts w:ascii="Calibri" w:hAnsi="Calibri"/>
          <w:color w:val="1AAFCC"/>
          <w:sz w:val="20"/>
        </w:rPr>
        <w:t xml:space="preserve">•  </w:t>
      </w:r>
      <w:r>
        <w:rPr>
          <w:rFonts w:ascii="Calibri" w:hAnsi="Calibri"/>
          <w:color w:val="333333"/>
          <w:sz w:val="20"/>
        </w:rPr>
        <w:t>Identified topics</w:t>
      </w:r>
    </w:p>
    <w:p>
      <w:pPr>
        <w:spacing w:before="80" w:after="80"/>
        <w:pBdr>
          <w:bottom w:val="single" w:sz="6" w:color="1AAFCC"/>
        </w:pBdr>
      </w:pPr>
    </w:p>
    <w:p>
      <w:pPr>
        <w:pStyle w:val="Heading1"/>
        <w:spacing w:before="400" w:after="160"/>
      </w:pPr>
      <w:r>
        <w:rPr>
          <w:rFonts w:ascii="Calibri" w:hAnsi="Calibri"/>
          <w:b/>
          <w:color w:val="1B2333"/>
          <w:sz w:val="32"/>
        </w:rPr>
        <w:t>13. Data Models</w:t>
      </w:r>
    </w:p>
    <w:p>
      <w:pPr>
        <w:pStyle w:val="Heading2"/>
        <w:spacing w:before="280" w:after="120"/>
      </w:pPr>
      <w:r>
        <w:rPr>
          <w:rFonts w:ascii="Calibri" w:hAnsi="Calibri"/>
          <w:b/>
          <w:color w:val="1AAFCC"/>
          <w:sz w:val="26"/>
        </w:rPr>
        <w:t>Enums (16)</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Enum</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`CardioWorkflowType`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workflow types (9 original + 3 new: acute_decompensated_hf, post_mi, myocarditis_pericarditis)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`RiskScoreType`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calculator types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`SeverityLevel`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finding severity (critical/high/moderate/low/informational)</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`ImagingModality`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CT, MRI, Nuclear, Angiography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`HeartFailureClass`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NYHA I-IV</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`HeartFailureStage`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Stage A-D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`EjectionFractionCategory`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HFmrEF, HFpEF, HFimpEF</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`ValveSeverity`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Mild, Moderate, Severe, Critical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`CADRADSScore`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 0-5 stenosis grading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`AnticoagulationRecommendation`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anticoag to Contraindicated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`GDMTPillar`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Beta-blocker, ARNI/ACEi/ARB, MRA, SGLT2i</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`GDMTStatus`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 started through Intolerant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`CardiotoxicityRisk`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 Moderate, High, Very High</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`LGEPattern`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Subendocardial through None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`GuidelineClass`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recommendation classes I/IIa/IIb/III</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`EvidenceLevel`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B-R, B-NR, C-LD, C-EO</w:t>
            </w:r>
          </w:p>
        </w:tc>
      </w:tr>
    </w:tbl>
    <w:p>
      <w:pPr>
        <w:spacing w:before="40" w:after="80"/>
      </w:pPr>
    </w:p>
    <w:p>
      <w:pPr>
        <w:pStyle w:val="Heading2"/>
        <w:spacing w:before="280" w:after="120"/>
      </w:pPr>
      <w:r>
        <w:rPr>
          <w:rFonts w:ascii="Calibri" w:hAnsi="Calibri"/>
          <w:b/>
          <w:color w:val="1AAFCC"/>
          <w:sz w:val="26"/>
        </w:rPr>
        <w:t>Pydantic Models (13)</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Model</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`CardioQuery`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Input query with optional workflow and patient context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`CardioSearchResult`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 search result from any collection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`RiskScoreInput`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Universal risk calculator input (demographics, vitals, labs, comorbidities, HF-specific, surgical)</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`RiskScoreResult`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Calculator output (score, category, interpretation, recommendations)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`GDMTMedication`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 GDMT pillar medication status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`GDMTRecommendation`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optimization output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`ValveAssessment`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 lesion assessment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`ECGInterpretation`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ECG interpretation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`ImagingResult`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imaging result with cross-modal triggers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`CardiotoxicityAssessment`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 surveillance assessment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`CrossModalTrigger`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Imaging-to-genomics trigger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`WorkflowResult`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 workflow execution output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`CardioResponse`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Top-level agent response</w:t>
            </w:r>
          </w:p>
        </w:tc>
      </w:tr>
    </w:tbl>
    <w:p>
      <w:pPr>
        <w:spacing w:before="40" w:after="80"/>
      </w:pPr>
    </w:p>
    <w:p>
      <w:pPr>
        <w:pStyle w:val="Heading2"/>
        <w:spacing w:before="280" w:after="120"/>
      </w:pPr>
      <w:r>
        <w:rPr>
          <w:rFonts w:ascii="Calibri" w:hAnsi="Calibri"/>
          <w:b/>
          <w:color w:val="1AAFCC"/>
          <w:sz w:val="26"/>
        </w:rPr>
        <w:t>Dataclass (1)</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Class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`SearchPlan`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Pre-retrieval search planning output</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14. Export System</w:t>
      </w:r>
    </w:p>
    <w:p>
      <w:pPr>
        <w:spacing w:before="0" w:after="120"/>
      </w:pPr>
      <w:r>
        <w:rPr>
          <w:rFonts w:ascii="Calibri" w:hAnsi="Calibri"/>
          <w:color w:val="333333"/>
          <w:sz w:val="20"/>
        </w:rPr>
        <w:t>The export system (</w:t>
      </w:r>
      <w:r>
        <w:rPr>
          <w:rFonts w:ascii="Courier New" w:hAnsi="Courier New"/>
          <w:color w:val="444444"/>
          <w:sz w:val="18"/>
        </w:rPr>
        <w:t>src/export.py</w:t>
      </w:r>
      <w:r>
        <w:rPr>
          <w:rFonts w:ascii="Calibri" w:hAnsi="Calibri"/>
          <w:color w:val="333333"/>
          <w:sz w:val="20"/>
        </w:rPr>
        <w:t>, 1,379 lines) supports multiple output formats: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Format</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**PDF**</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clinical report with risk scores, GDMT status, recommendations, citations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**CSV**</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Tabular export of risk scores, medications, findings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**JSON**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Full CardioResponse serialization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**FHIR**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HL7 FHIR R4-compatible DiagnosticReport and RiskAssessment resources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15. API Reference</w:t>
      </w:r>
    </w:p>
    <w:p>
      <w:pPr>
        <w:spacing w:before="0" w:after="120"/>
      </w:pPr>
      <w:r>
        <w:rPr>
          <w:rFonts w:ascii="Calibri" w:hAnsi="Calibri"/>
          <w:b/>
          <w:color w:val="333333"/>
          <w:sz w:val="20"/>
        </w:rPr>
        <w:t>Base URL:</w:t>
      </w:r>
      <w:r>
        <w:rPr>
          <w:rFonts w:ascii="Calibri" w:hAnsi="Calibri"/>
          <w:color w:val="333333"/>
          <w:sz w:val="20"/>
        </w:rPr>
        <w:t xml:space="preserve"> </w:t>
      </w:r>
      <w:r>
        <w:rPr>
          <w:rFonts w:ascii="Courier New" w:hAnsi="Courier New"/>
          <w:color w:val="444444"/>
          <w:sz w:val="18"/>
        </w:rPr>
        <w:t>http://localhost:8126</w:t>
      </w:r>
    </w:p>
    <w:p>
      <w:pPr>
        <w:pStyle w:val="Heading2"/>
        <w:spacing w:before="280" w:after="120"/>
      </w:pPr>
      <w:r>
        <w:rPr>
          <w:rFonts w:ascii="Calibri" w:hAnsi="Calibri"/>
          <w:b/>
          <w:color w:val="1AAFCC"/>
          <w:sz w:val="26"/>
        </w:rPr>
        <w:t>Core Endpoints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`/health`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Health check with collection count and vector totals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`/v1/cardio/query`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General cardiology query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`/v1/cardio/risk/ascvd`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calculation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`/v1/cardio/risk/heart`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score calculation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`/v1/cardio/risk/cha2ds2-vasc`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CHA2DS2-VASc calculation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`/v1/cardio/risk/has-bled`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HAS-BLED calculation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`/v1/cardio/risk/maggic`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MAGGIC HF risk calculation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`/v1/cardio/risk/euroscore-ii`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EuroSCORE II calculation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`/v1/cardio/gdmt/optimize`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`/v1/cardio/workflow/cad`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assessment workflow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`/v1/cardio/workflow/heart-failure`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 workflow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`/v1/cardio/workflow/valvular`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 disease workflow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`/v1/cardio/workflow/arrhythmia`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 workflow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`/v1/cardio/workflow/cardiac-mri`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MRI workflow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`/v1/cardio/workflow/stress-test`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 test workflow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`/v1/cardio/workflow/prevention`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Prevention workflow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`/v1/cardio/workflow/cardio-onc`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 workflow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`/v1/cardio/workflow/acute-dhf`</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Acute decompensated HF workflow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`/v1/cardio/workflow/post-mi`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Post-MI workflow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`/v1/cardio/workflow/myocarditis-pericarditis`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Myocarditis/Pericarditis workflow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`/v1/cardio/knowledge-version`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base version info</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`/v1/cardio/report/pdf`</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Generate PDF report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`/v1/cardio/report/csv`</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Generate CSV export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`/v1/cardio/report/fhir`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Generate FHIR resources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`/v1/cardio/collections`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 statistics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`/metrics`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 metrics endpoint</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16. UI Guide</w:t>
      </w:r>
    </w:p>
    <w:p>
      <w:pPr>
        <w:spacing w:before="0" w:after="120"/>
      </w:pPr>
      <w:r>
        <w:rPr>
          <w:rFonts w:ascii="Calibri" w:hAnsi="Calibri"/>
          <w:color w:val="333333"/>
          <w:sz w:val="20"/>
        </w:rPr>
        <w:t>The Streamlit UI (</w:t>
      </w:r>
      <w:r>
        <w:rPr>
          <w:rFonts w:ascii="Courier New" w:hAnsi="Courier New"/>
          <w:color w:val="444444"/>
          <w:sz w:val="18"/>
        </w:rPr>
        <w:t>app/cardio_ui.py</w:t>
      </w:r>
      <w:r>
        <w:rPr>
          <w:rFonts w:ascii="Calibri" w:hAnsi="Calibri"/>
          <w:color w:val="333333"/>
          <w:sz w:val="20"/>
        </w:rPr>
        <w:t>, 1,182 lines) provides 10 tabs at port 8536:</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Tab</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 **Dashboard**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System overview: collection stats, recent queries, health status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 **CAD Assessment**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artery disease evaluation with calcium scoring and CAD-RADS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 **Heart Failure**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classification, GDMT status, optimization recommendations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 **Valvular Disease**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 severity grading, intervention criteria assessment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 **Arrhythmia**</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interpretation, CHA2DS2-VASc, anticoagulation decision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 **Cardiac MRI**</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Tissue characterization, LGE pattern analysis, parametric mapping</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 **Stress Test**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 test interpretation, ischemic burden analysis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 **Prevention**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statin eligibility, CAC reclassification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 **Cardio-Oncology**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Cardiotoxicity surveillance, CTRCD monitoring</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 **Reports**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 generation and export (PDF, CSV, FHIR)</w:t>
            </w:r>
          </w:p>
        </w:tc>
      </w:tr>
    </w:tbl>
    <w:p>
      <w:pPr>
        <w:spacing w:before="40" w:after="80"/>
      </w:pPr>
    </w:p>
    <w:p>
      <w:pPr>
        <w:spacing w:before="0" w:after="120"/>
      </w:pPr>
      <w:r>
        <w:rPr>
          <w:rFonts w:ascii="Calibri" w:hAnsi="Calibri"/>
          <w:b/>
          <w:color w:val="333333"/>
          <w:sz w:val="20"/>
        </w:rPr>
        <w:t>Sidebar:</w:t>
      </w:r>
      <w:r>
        <w:rPr>
          <w:rFonts w:ascii="Calibri" w:hAnsi="Calibri"/>
          <w:color w:val="333333"/>
          <w:sz w:val="20"/>
        </w:rPr>
        <w:t xml:space="preserve"> Workflow filter, collection statistics, risk calculator quick access, export options.</w:t>
      </w:r>
    </w:p>
    <w:p>
      <w:pPr>
        <w:spacing w:before="80" w:after="80"/>
        <w:pBdr>
          <w:bottom w:val="single" w:sz="6" w:color="1AAFCC"/>
        </w:pBdr>
      </w:pPr>
    </w:p>
    <w:p>
      <w:pPr>
        <w:pStyle w:val="Heading1"/>
        <w:spacing w:before="400" w:after="160"/>
      </w:pPr>
      <w:r>
        <w:rPr>
          <w:rFonts w:ascii="Calibri" w:hAnsi="Calibri"/>
          <w:b/>
          <w:color w:val="1B2333"/>
          <w:sz w:val="32"/>
        </w:rPr>
        <w:t>17. Ingest Parsers</w:t>
      </w:r>
    </w:p>
    <w:p>
      <w:pPr>
        <w:spacing w:before="0" w:after="120"/>
      </w:pPr>
      <w:r>
        <w:rPr>
          <w:rFonts w:ascii="Calibri" w:hAnsi="Calibri"/>
          <w:color w:val="333333"/>
          <w:sz w:val="20"/>
        </w:rPr>
        <w:t>Seven domain-specific parsers (</w:t>
      </w:r>
      <w:r>
        <w:rPr>
          <w:rFonts w:ascii="Courier New" w:hAnsi="Courier New"/>
          <w:color w:val="444444"/>
          <w:sz w:val="18"/>
        </w:rPr>
        <w:t>src/ingest/</w:t>
      </w:r>
      <w:r>
        <w:rPr>
          <w:rFonts w:ascii="Calibri" w:hAnsi="Calibri"/>
          <w:color w:val="333333"/>
          <w:sz w:val="20"/>
        </w:rPr>
        <w:t>, 3,742 lines total) process cardiovascular data from external sources: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Parser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 Collection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`pubmed_parser.py`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477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 via NCBI E-utilities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cardio_literature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`clinical_trials_parser.py`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713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 API</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cardio_trials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`imaging_parser.py`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519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imaging report data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cardio_imaging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`ecg_parser.py`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interpretation data</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cardio_electrophysiology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`guideline_parser.py`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555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ACC/AHA/ESC guideline PDFs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cardio_guidelines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`device_parser.py`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510(k)/De Novo database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cardio_devices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`hemodynamics_parser.py`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Catheterization data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cardio_hemodynamics</w:t>
            </w:r>
          </w:p>
        </w:tc>
      </w:tr>
    </w:tbl>
    <w:p>
      <w:pPr>
        <w:spacing w:before="40" w:after="80"/>
      </w:pPr>
    </w:p>
    <w:p>
      <w:pPr>
        <w:spacing w:before="0" w:after="120"/>
      </w:pPr>
      <w:r>
        <w:rPr>
          <w:rFonts w:ascii="Calibri" w:hAnsi="Calibri"/>
          <w:color w:val="333333"/>
          <w:sz w:val="20"/>
        </w:rPr>
        <w:t xml:space="preserve">All parsers extend </w:t>
      </w:r>
      <w:r>
        <w:rPr>
          <w:rFonts w:ascii="Courier New" w:hAnsi="Courier New"/>
          <w:color w:val="444444"/>
          <w:sz w:val="18"/>
        </w:rPr>
        <w:t>BaseParser</w:t>
      </w:r>
      <w:r>
        <w:rPr>
          <w:rFonts w:ascii="Calibri" w:hAnsi="Calibri"/>
          <w:color w:val="333333"/>
          <w:sz w:val="20"/>
        </w:rPr>
        <w:t xml:space="preserve"> (</w:t>
      </w:r>
      <w:r>
        <w:rPr>
          <w:rFonts w:ascii="Courier New" w:hAnsi="Courier New"/>
          <w:color w:val="444444"/>
          <w:sz w:val="18"/>
        </w:rPr>
        <w:t>base.py</w:t>
      </w:r>
      <w:r>
        <w:rPr>
          <w:rFonts w:ascii="Calibri" w:hAnsi="Calibri"/>
          <w:color w:val="333333"/>
          <w:sz w:val="20"/>
        </w:rPr>
        <w:t>, 224 lines) which provides:</w:t>
      </w:r>
    </w:p>
    <w:p>
      <w:pPr>
        <w:spacing w:before="40" w:after="40"/>
        <w:ind w:left="504" w:hanging="216"/>
      </w:pPr>
      <w:r>
        <w:rPr>
          <w:rFonts w:ascii="Calibri" w:hAnsi="Calibri"/>
          <w:color w:val="1AAFCC"/>
          <w:sz w:val="20"/>
        </w:rPr>
        <w:t xml:space="preserve">•  </w:t>
      </w:r>
      <w:r>
        <w:rPr>
          <w:rFonts w:ascii="Calibri" w:hAnsi="Calibri"/>
          <w:color w:val="333333"/>
          <w:sz w:val="20"/>
        </w:rPr>
        <w:t>Chunking with configurable size and overlap</w:t>
      </w:r>
    </w:p>
    <w:p>
      <w:pPr>
        <w:spacing w:before="40" w:after="40"/>
        <w:ind w:left="504" w:hanging="216"/>
      </w:pPr>
      <w:r>
        <w:rPr>
          <w:rFonts w:ascii="Calibri" w:hAnsi="Calibri"/>
          <w:color w:val="1AAFCC"/>
          <w:sz w:val="20"/>
        </w:rPr>
        <w:t xml:space="preserve">•  </w:t>
      </w:r>
      <w:r>
        <w:rPr>
          <w:rFonts w:ascii="Calibri" w:hAnsi="Calibri"/>
          <w:color w:val="333333"/>
          <w:sz w:val="20"/>
        </w:rPr>
        <w:t>Embedding generation via BGE-small-en-v1.5</w:t>
      </w:r>
    </w:p>
    <w:p>
      <w:pPr>
        <w:spacing w:before="40" w:after="40"/>
        <w:ind w:left="504" w:hanging="216"/>
      </w:pPr>
      <w:r>
        <w:rPr>
          <w:rFonts w:ascii="Calibri" w:hAnsi="Calibri"/>
          <w:color w:val="1AAFCC"/>
          <w:sz w:val="20"/>
        </w:rPr>
        <w:t xml:space="preserve">•  </w:t>
      </w:r>
      <w:r>
        <w:rPr>
          <w:rFonts w:ascii="Calibri" w:hAnsi="Calibri"/>
          <w:color w:val="333333"/>
          <w:sz w:val="20"/>
        </w:rPr>
        <w:t>Batch Milvus insertion</w:t>
      </w:r>
    </w:p>
    <w:p>
      <w:pPr>
        <w:spacing w:before="40" w:after="40"/>
        <w:ind w:left="504" w:hanging="216"/>
      </w:pPr>
      <w:r>
        <w:rPr>
          <w:rFonts w:ascii="Calibri" w:hAnsi="Calibri"/>
          <w:color w:val="1AAFCC"/>
          <w:sz w:val="20"/>
        </w:rPr>
        <w:t xml:space="preserve">•  </w:t>
      </w:r>
      <w:r>
        <w:rPr>
          <w:rFonts w:ascii="Calibri" w:hAnsi="Calibri"/>
          <w:color w:val="333333"/>
          <w:sz w:val="20"/>
        </w:rPr>
        <w:t>Deduplication by content hash</w:t>
      </w:r>
    </w:p>
    <w:p>
      <w:pPr>
        <w:spacing w:before="40" w:after="40"/>
        <w:ind w:left="504" w:hanging="216"/>
      </w:pPr>
      <w:r>
        <w:rPr>
          <w:rFonts w:ascii="Calibri" w:hAnsi="Calibri"/>
          <w:color w:val="1AAFCC"/>
          <w:sz w:val="20"/>
        </w:rPr>
        <w:t xml:space="preserve">•  </w:t>
      </w:r>
      <w:r>
        <w:rPr>
          <w:rFonts w:ascii="Calibri" w:hAnsi="Calibri"/>
          <w:color w:val="333333"/>
          <w:sz w:val="20"/>
        </w:rPr>
        <w:t>Error handling and retry logic</w:t>
      </w:r>
    </w:p>
    <w:p>
      <w:pPr>
        <w:spacing w:before="80" w:after="80"/>
        <w:pBdr>
          <w:bottom w:val="single" w:sz="6" w:color="1AAFCC"/>
        </w:pBdr>
      </w:pPr>
    </w:p>
    <w:p>
      <w:pPr>
        <w:pStyle w:val="Heading1"/>
        <w:spacing w:before="400" w:after="160"/>
      </w:pPr>
      <w:r>
        <w:rPr>
          <w:rFonts w:ascii="Calibri" w:hAnsi="Calibri"/>
          <w:b/>
          <w:color w:val="1B2333"/>
          <w:sz w:val="32"/>
        </w:rPr>
        <w:t>18. Metrics &amp; Monitoring</w:t>
      </w:r>
    </w:p>
    <w:p>
      <w:pPr>
        <w:spacing w:before="0" w:after="120"/>
      </w:pPr>
      <w:r>
        <w:rPr>
          <w:rFonts w:ascii="Calibri" w:hAnsi="Calibri"/>
          <w:color w:val="333333"/>
          <w:sz w:val="20"/>
        </w:rPr>
        <w:t>Prometheus metrics (</w:t>
      </w:r>
      <w:r>
        <w:rPr>
          <w:rFonts w:ascii="Courier New" w:hAnsi="Courier New"/>
          <w:color w:val="444444"/>
          <w:sz w:val="18"/>
        </w:rPr>
        <w:t>src/metrics.py</w:t>
      </w:r>
      <w:r>
        <w:rPr>
          <w:rFonts w:ascii="Calibri" w:hAnsi="Calibri"/>
          <w:color w:val="333333"/>
          <w:sz w:val="20"/>
        </w:rPr>
        <w:t>, 537 lines):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`cardio_queries_total`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Total queries processed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`cardio_query_duration_seconds`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 processing latency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`cardio_risk_calculations_total`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calculator invocations by type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`cardio_gdmt_optimizations_total`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optimization requests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`cardio_collection_search_duration`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Per-collection search latency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`cardio_cross_modal_triggers_total`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Cross-modal triggers fired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`cardio_workflow_executions_total`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executions by type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`cardio_export_requests_total`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Export requests by format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`cardio_errors_total`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Error count by type</w:t>
            </w:r>
          </w:p>
        </w:tc>
      </w:tr>
    </w:tbl>
    <w:p>
      <w:pPr>
        <w:spacing w:before="40" w:after="80"/>
      </w:pPr>
    </w:p>
    <w:p>
      <w:pPr>
        <w:spacing w:before="0" w:after="120"/>
      </w:pPr>
      <w:r>
        <w:rPr>
          <w:rFonts w:ascii="Calibri" w:hAnsi="Calibri"/>
          <w:color w:val="333333"/>
          <w:sz w:val="20"/>
        </w:rPr>
        <w:t xml:space="preserve">Endpoint: </w:t>
      </w:r>
      <w:r>
        <w:rPr>
          <w:rFonts w:ascii="Courier New" w:hAnsi="Courier New"/>
          <w:color w:val="444444"/>
          <w:sz w:val="18"/>
        </w:rPr>
        <w:t>GET /metrics</w:t>
      </w:r>
      <w:r>
        <w:rPr>
          <w:rFonts w:ascii="Calibri" w:hAnsi="Calibri"/>
          <w:color w:val="333333"/>
          <w:sz w:val="20"/>
        </w:rPr>
        <w:t xml:space="preserve"> (Prometheus scrape target)</w:t>
      </w:r>
    </w:p>
    <w:p>
      <w:pPr>
        <w:spacing w:before="80" w:after="80"/>
        <w:pBdr>
          <w:bottom w:val="single" w:sz="6" w:color="1AAFCC"/>
        </w:pBdr>
      </w:pPr>
    </w:p>
    <w:p>
      <w:pPr>
        <w:pStyle w:val="Heading1"/>
        <w:spacing w:before="400" w:after="160"/>
      </w:pPr>
      <w:r>
        <w:rPr>
          <w:rFonts w:ascii="Calibri" w:hAnsi="Calibri"/>
          <w:b/>
          <w:color w:val="1B2333"/>
          <w:sz w:val="32"/>
        </w:rPr>
        <w:t>19. Scheduler</w:t>
      </w:r>
    </w:p>
    <w:p>
      <w:pPr>
        <w:spacing w:before="0" w:after="120"/>
      </w:pPr>
      <w:r>
        <w:rPr>
          <w:rFonts w:ascii="Calibri" w:hAnsi="Calibri"/>
          <w:color w:val="333333"/>
          <w:sz w:val="20"/>
        </w:rPr>
        <w:t>The APScheduler-based scheduler (</w:t>
      </w:r>
      <w:r>
        <w:rPr>
          <w:rFonts w:ascii="Courier New" w:hAnsi="Courier New"/>
          <w:color w:val="444444"/>
          <w:sz w:val="18"/>
        </w:rPr>
        <w:t>src/scheduler.py</w:t>
      </w:r>
      <w:r>
        <w:rPr>
          <w:rFonts w:ascii="Calibri" w:hAnsi="Calibri"/>
          <w:color w:val="333333"/>
          <w:sz w:val="20"/>
        </w:rPr>
        <w:t>, 612 lines) manages periodic data ingestion: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Setting</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Default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`INGEST_SCHEDULE_HOURS`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168 (weekly)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Hours between ingest runs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`INGEST_ENABLED`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False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Enable/disable automatic ingestion</w:t>
            </w:r>
          </w:p>
        </w:tc>
      </w:tr>
    </w:tbl>
    <w:p>
      <w:pPr>
        <w:spacing w:before="40" w:after="80"/>
      </w:pPr>
    </w:p>
    <w:p>
      <w:pPr>
        <w:spacing w:before="0" w:after="120"/>
      </w:pPr>
      <w:r>
        <w:rPr>
          <w:rFonts w:ascii="Calibri" w:hAnsi="Calibri"/>
          <w:color w:val="333333"/>
          <w:sz w:val="20"/>
        </w:rPr>
        <w:t>When enabled, the scheduler runs all 7 ingest parsers sequentially on the configured interval, updating collection data from PubMed, ClinicalTrials.gov, and other external sources.</w:t>
      </w:r>
    </w:p>
    <w:p>
      <w:pPr>
        <w:spacing w:before="80" w:after="80"/>
        <w:pBdr>
          <w:bottom w:val="single" w:sz="6" w:color="1AAFCC"/>
        </w:pBdr>
      </w:pPr>
    </w:p>
    <w:p>
      <w:pPr>
        <w:pStyle w:val="Heading1"/>
        <w:spacing w:before="400" w:after="160"/>
      </w:pPr>
      <w:r>
        <w:rPr>
          <w:rFonts w:ascii="Calibri" w:hAnsi="Calibri"/>
          <w:b/>
          <w:color w:val="1B2333"/>
          <w:sz w:val="32"/>
        </w:rPr>
        <w:t>20. Configuration</w:t>
      </w:r>
    </w:p>
    <w:p>
      <w:pPr>
        <w:spacing w:before="0" w:after="120"/>
      </w:pPr>
      <w:r>
        <w:rPr>
          <w:rFonts w:ascii="Calibri" w:hAnsi="Calibri"/>
          <w:color w:val="333333"/>
          <w:sz w:val="20"/>
        </w:rPr>
        <w:t xml:space="preserve">All configuration via </w:t>
      </w:r>
      <w:r>
        <w:rPr>
          <w:rFonts w:ascii="Courier New" w:hAnsi="Courier New"/>
          <w:color w:val="444444"/>
          <w:sz w:val="18"/>
        </w:rPr>
        <w:t>config/settings.py</w:t>
      </w:r>
      <w:r>
        <w:rPr>
          <w:rFonts w:ascii="Calibri" w:hAnsi="Calibri"/>
          <w:color w:val="333333"/>
          <w:sz w:val="20"/>
        </w:rPr>
        <w:t xml:space="preserve"> (181 lines) using Pydantic BaseSettings with </w:t>
      </w:r>
      <w:r>
        <w:rPr>
          <w:rFonts w:ascii="Courier New" w:hAnsi="Courier New"/>
          <w:color w:val="444444"/>
          <w:sz w:val="18"/>
        </w:rPr>
        <w:t>CARDIO_</w:t>
      </w:r>
      <w:r>
        <w:rPr>
          <w:rFonts w:ascii="Calibri" w:hAnsi="Calibri"/>
          <w:color w:val="333333"/>
          <w:sz w:val="20"/>
        </w:rPr>
        <w:t xml:space="preserve"> prefix environment variables:</w:t>
      </w:r>
    </w:p>
    <w:p>
      <w:pPr>
        <w:pStyle w:val="Heading2"/>
        <w:spacing w:before="280" w:after="120"/>
      </w:pPr>
      <w:r>
        <w:rPr>
          <w:rFonts w:ascii="Calibri" w:hAnsi="Calibri"/>
          <w:b/>
          <w:color w:val="1AAFCC"/>
          <w:sz w:val="26"/>
        </w:rPr>
        <w:t>Key Configuration Groups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Group</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Settings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**Paths**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PROJECT_ROOT, DATA_DIR, CACHE_DIR, REFERENCE_DIR, RAG_PIPELINE_ROOT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MILVUS_HOST (localhost), MILVUS_PORT (19530), 13 collection names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EMBEDDING_MODEL (BGE-small-en-v1.5), EMBEDDING_DIMENSION (384), EMBEDDING_BATCH_SIZE (32)</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LLM_PROVIDER (anthropic), LLM_MODEL (claude-sonnet-4-6), ANTHROPIC_API_KEY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 Search**</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TOP_K_PER_COLLECTION (5), SCORE_THRESHOLD (0.4), 13 collection weights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NCBI_API_KEY, PUBMED_MAX_RESULTS (5000)</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Server**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API_HOST (0.0.0.0), API_PORT (8126)</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**Streamlit**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STREAMLIT_PORT (8536)</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**Metrics**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METRICS_ENABLED (True)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**Scheduler**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INGEST_SCHEDULE_HOURS (168), INGEST_ENABLED (False)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**Conversation**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MAX_CONVERSATION_CONTEXT (3)</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**Citation**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CITATION_HIGH_THRESHOLD (0.75), CITATION_MEDIUM_THRESHOLD (0.60)</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**CORS**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CORS_ORIGINS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**Limits**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MAX_REQUEST_SIZE_MB (10)</w:t>
            </w:r>
          </w:p>
        </w:tc>
      </w:tr>
    </w:tbl>
    <w:p>
      <w:pPr>
        <w:spacing w:before="40" w:after="80"/>
      </w:pPr>
    </w:p>
    <w:p>
      <w:pPr>
        <w:pStyle w:val="Heading2"/>
        <w:spacing w:before="280" w:after="120"/>
      </w:pPr>
      <w:r>
        <w:rPr>
          <w:rFonts w:ascii="Calibri" w:hAnsi="Calibri"/>
          <w:b/>
          <w:color w:val="1AAFCC"/>
          <w:sz w:val="26"/>
        </w:rPr>
        <w:t>Startup Validation</w:t>
      </w:r>
    </w:p>
    <w:p>
      <w:pPr>
        <w:spacing w:before="0" w:after="120"/>
      </w:pPr>
      <w:r>
        <w:rPr>
          <w:rFonts w:ascii="Calibri" w:hAnsi="Calibri"/>
          <w:color w:val="333333"/>
          <w:sz w:val="20"/>
        </w:rPr>
        <w:t xml:space="preserve">The </w:t>
      </w:r>
      <w:r>
        <w:rPr>
          <w:rFonts w:ascii="Courier New" w:hAnsi="Courier New"/>
          <w:color w:val="444444"/>
          <w:sz w:val="18"/>
        </w:rPr>
        <w:t>validate()</w:t>
      </w:r>
      <w:r>
        <w:rPr>
          <w:rFonts w:ascii="Calibri" w:hAnsi="Calibri"/>
          <w:color w:val="333333"/>
          <w:sz w:val="20"/>
        </w:rPr>
        <w:t xml:space="preserve"> method checks:</w:t>
      </w:r>
    </w:p>
    <w:p>
      <w:pPr>
        <w:spacing w:before="40" w:after="40"/>
        <w:ind w:left="504" w:hanging="216"/>
      </w:pPr>
      <w:r>
        <w:rPr>
          <w:rFonts w:ascii="Calibri" w:hAnsi="Calibri"/>
          <w:color w:val="1AAFCC"/>
          <w:sz w:val="20"/>
        </w:rPr>
        <w:t xml:space="preserve">•  </w:t>
      </w:r>
      <w:r>
        <w:rPr>
          <w:rFonts w:ascii="Calibri" w:hAnsi="Calibri"/>
          <w:color w:val="333333"/>
          <w:sz w:val="20"/>
        </w:rPr>
        <w:t>Milvus host/port validity</w:t>
      </w:r>
    </w:p>
    <w:p>
      <w:pPr>
        <w:spacing w:before="40" w:after="40"/>
        <w:ind w:left="504" w:hanging="216"/>
      </w:pPr>
      <w:r>
        <w:rPr>
          <w:rFonts w:ascii="Calibri" w:hAnsi="Calibri"/>
          <w:color w:val="1AAFCC"/>
          <w:sz w:val="20"/>
        </w:rPr>
        <w:t xml:space="preserve">•  </w:t>
      </w:r>
      <w:r>
        <w:rPr>
          <w:rFonts w:ascii="Calibri" w:hAnsi="Calibri"/>
          <w:color w:val="333333"/>
          <w:sz w:val="20"/>
        </w:rPr>
        <w:t>API key presence (warns if missing; search-only mode available)</w:t>
      </w:r>
    </w:p>
    <w:p>
      <w:pPr>
        <w:spacing w:before="40" w:after="40"/>
        <w:ind w:left="504" w:hanging="216"/>
      </w:pPr>
      <w:r>
        <w:rPr>
          <w:rFonts w:ascii="Calibri" w:hAnsi="Calibri"/>
          <w:color w:val="1AAFCC"/>
          <w:sz w:val="20"/>
        </w:rPr>
        <w:t xml:space="preserve">•  </w:t>
      </w:r>
      <w:r>
        <w:rPr>
          <w:rFonts w:ascii="Calibri" w:hAnsi="Calibri"/>
          <w:color w:val="333333"/>
          <w:sz w:val="20"/>
        </w:rPr>
        <w:t>Embedding model presence</w:t>
      </w:r>
    </w:p>
    <w:p>
      <w:pPr>
        <w:spacing w:before="40" w:after="40"/>
        <w:ind w:left="504" w:hanging="216"/>
      </w:pPr>
      <w:r>
        <w:rPr>
          <w:rFonts w:ascii="Calibri" w:hAnsi="Calibri"/>
          <w:color w:val="1AAFCC"/>
          <w:sz w:val="20"/>
        </w:rPr>
        <w:t xml:space="preserve">•  </w:t>
      </w:r>
      <w:r>
        <w:rPr>
          <w:rFonts w:ascii="Calibri" w:hAnsi="Calibri"/>
          <w:color w:val="333333"/>
          <w:sz w:val="20"/>
        </w:rPr>
        <w:t>Port conflict detection (API vs Streamlit)</w:t>
      </w:r>
    </w:p>
    <w:p>
      <w:pPr>
        <w:spacing w:before="40" w:after="40"/>
        <w:ind w:left="504" w:hanging="216"/>
      </w:pPr>
      <w:r>
        <w:rPr>
          <w:rFonts w:ascii="Calibri" w:hAnsi="Calibri"/>
          <w:color w:val="1AAFCC"/>
          <w:sz w:val="20"/>
        </w:rPr>
        <w:t xml:space="preserve">•  </w:t>
      </w:r>
      <w:r>
        <w:rPr>
          <w:rFonts w:ascii="Calibri" w:hAnsi="Calibri"/>
          <w:color w:val="333333"/>
          <w:sz w:val="20"/>
        </w:rPr>
        <w:t>Collection weights sum to ~1.0 (tolerance 0.05)</w:t>
      </w:r>
    </w:p>
    <w:p>
      <w:pPr>
        <w:spacing w:before="40" w:after="40"/>
        <w:ind w:left="504" w:hanging="216"/>
      </w:pPr>
      <w:r>
        <w:rPr>
          <w:rFonts w:ascii="Calibri" w:hAnsi="Calibri"/>
          <w:color w:val="1AAFCC"/>
          <w:sz w:val="20"/>
        </w:rPr>
        <w:t xml:space="preserve">•  </w:t>
      </w:r>
      <w:r>
        <w:rPr>
          <w:rFonts w:ascii="Calibri" w:hAnsi="Calibri"/>
          <w:color w:val="333333"/>
          <w:sz w:val="20"/>
        </w:rPr>
        <w:t>RAG pipeline root directory existence</w:t>
      </w:r>
    </w:p>
    <w:p>
      <w:pPr>
        <w:spacing w:before="80" w:after="80"/>
        <w:pBdr>
          <w:bottom w:val="single" w:sz="6" w:color="1AAFCC"/>
        </w:pBdr>
      </w:pPr>
    </w:p>
    <w:p>
      <w:pPr>
        <w:pStyle w:val="Heading1"/>
        <w:spacing w:before="400" w:after="160"/>
      </w:pPr>
      <w:r>
        <w:rPr>
          <w:rFonts w:ascii="Calibri" w:hAnsi="Calibri"/>
          <w:b/>
          <w:color w:val="1B2333"/>
          <w:sz w:val="32"/>
        </w:rPr>
        <w:t>21. Docker Deployment</w:t>
      </w:r>
    </w:p>
    <w:p>
      <w:pPr>
        <w:spacing w:before="0" w:after="120"/>
      </w:pPr>
      <w:r>
        <w:rPr>
          <w:rFonts w:ascii="Courier New" w:hAnsi="Courier New"/>
          <w:color w:val="444444"/>
          <w:sz w:val="18"/>
        </w:rPr>
        <w:t>docker-compose.yml</w:t>
      </w:r>
      <w:r>
        <w:rPr>
          <w:rFonts w:ascii="Calibri" w:hAnsi="Calibri"/>
          <w:color w:val="333333"/>
          <w:sz w:val="20"/>
        </w:rPr>
        <w:t xml:space="preserve"> defines the full stack:</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Service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Image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`etcd`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bitnami/etcd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2379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metadata store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`minio`</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minio/minio</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9000, 9001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object storage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milvusdb/milvus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19530, 9091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Vector database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`cardio-setup`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python:3.12-slim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Creates collections, seeds data (exits on completion)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`cardio-api`</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python:3.12-slim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server</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`cardio-ui`</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python:3.12-slim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UI</w:t>
            </w:r>
          </w:p>
        </w:tc>
      </w:tr>
    </w:tbl>
    <w:p>
      <w:pPr>
        <w:spacing w:before="40" w:after="80"/>
      </w:pPr>
    </w:p>
    <w:p>
      <w:pPr>
        <w:pStyle w:val="Heading2"/>
        <w:spacing w:before="280" w:after="120"/>
      </w:pPr>
      <w:r>
        <w:rPr>
          <w:rFonts w:ascii="Calibri" w:hAnsi="Calibri"/>
          <w:b/>
          <w:color w:val="1AAFCC"/>
          <w:sz w:val="26"/>
        </w:rPr>
        <w:t>Quickstart</w:t>
      </w:r>
    </w:p>
    <w:p>
      <w:pPr>
        <w:spacing w:before="120" w:after="0"/>
      </w:pPr>
      <w:r>
        <w:rPr>
          <w:rFonts w:ascii="Calibri" w:hAnsi="Calibri"/>
          <w:b/>
          <w:color w:val="1AAFCC"/>
          <w:sz w:val="16"/>
        </w:rPr>
        <w:t>bash</w:t>
      </w:r>
    </w:p>
    <w:p>
      <w:pPr>
        <w:spacing w:before="0" w:after="0" w:line="240" w:lineRule="auto"/>
        <w:ind w:left="288"/>
        <w:shd w:val="clear" w:fill="F0F0F0"/>
      </w:pPr>
      <w:r>
        <w:rPr>
          <w:rFonts w:ascii="Courier New" w:hAnsi="Courier New"/>
          <w:color w:val="444444"/>
          <w:sz w:val="18"/>
        </w:rPr>
        <w:t># 1. Configure environment</w:t>
      </w:r>
    </w:p>
    <w:p>
      <w:pPr>
        <w:spacing w:before="0" w:after="0" w:line="240" w:lineRule="auto"/>
        <w:ind w:left="288"/>
        <w:shd w:val="clear" w:fill="F0F0F0"/>
      </w:pPr>
      <w:r>
        <w:rPr>
          <w:rFonts w:ascii="Courier New" w:hAnsi="Courier New"/>
          <w:color w:val="444444"/>
          <w:sz w:val="18"/>
        </w:rPr>
        <w:t>cp .env.example .env</w:t>
      </w:r>
    </w:p>
    <w:p>
      <w:pPr>
        <w:spacing w:before="0" w:after="0" w:line="240" w:lineRule="auto"/>
        <w:ind w:left="288"/>
        <w:shd w:val="clear" w:fill="F0F0F0"/>
      </w:pPr>
      <w:r>
        <w:rPr>
          <w:rFonts w:ascii="Courier New" w:hAnsi="Courier New"/>
          <w:color w:val="444444"/>
          <w:sz w:val="18"/>
        </w:rPr>
        <w:t># Edit .env and set ANTHROPIC_API_KEY</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2. Start all services</w:t>
      </w:r>
    </w:p>
    <w:p>
      <w:pPr>
        <w:spacing w:before="0" w:after="0" w:line="240" w:lineRule="auto"/>
        <w:ind w:left="288"/>
        <w:shd w:val="clear" w:fill="F0F0F0"/>
      </w:pPr>
      <w:r>
        <w:rPr>
          <w:rFonts w:ascii="Courier New" w:hAnsi="Courier New"/>
          <w:color w:val="444444"/>
          <w:sz w:val="18"/>
        </w:rPr>
        <w:t>docker compose up -d</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3. Watch setup progress</w:t>
      </w:r>
    </w:p>
    <w:p>
      <w:pPr>
        <w:spacing w:before="0" w:after="0" w:line="240" w:lineRule="auto"/>
        <w:ind w:left="288"/>
        <w:shd w:val="clear" w:fill="F0F0F0"/>
      </w:pPr>
      <w:r>
        <w:rPr>
          <w:rFonts w:ascii="Courier New" w:hAnsi="Courier New"/>
          <w:color w:val="444444"/>
          <w:sz w:val="18"/>
        </w:rPr>
        <w:t>docker compose logs -f cardio-setup</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4. Open the UI</w:t>
      </w:r>
    </w:p>
    <w:p>
      <w:pPr>
        <w:spacing w:before="0" w:after="0" w:line="240" w:lineRule="auto"/>
        <w:ind w:left="288"/>
        <w:shd w:val="clear" w:fill="F0F0F0"/>
      </w:pPr>
      <w:r>
        <w:rPr>
          <w:rFonts w:ascii="Courier New" w:hAnsi="Courier New"/>
          <w:color w:val="444444"/>
          <w:sz w:val="18"/>
        </w:rPr>
        <w:t>open http://localhost:8536</w:t>
      </w:r>
    </w:p>
    <w:p>
      <w:pPr>
        <w:spacing w:before="80" w:after="80"/>
        <w:pBdr>
          <w:bottom w:val="single" w:sz="6" w:color="1AAFCC"/>
        </w:pBdr>
      </w:pPr>
    </w:p>
    <w:p>
      <w:pPr>
        <w:pStyle w:val="Heading1"/>
        <w:spacing w:before="400" w:after="160"/>
      </w:pPr>
      <w:r>
        <w:rPr>
          <w:rFonts w:ascii="Calibri" w:hAnsi="Calibri"/>
          <w:b/>
          <w:color w:val="1B2333"/>
          <w:sz w:val="32"/>
        </w:rPr>
        <w:t>22. Port Map</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Service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Protocol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Streamlit UI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FastAPI API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 gRPC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gRPC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 Health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9091</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MinIO API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MinIO Console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9001</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etcd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2379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23. Tech Stack</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Layer</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Technology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**Vector DB**</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2.4 (IVF_FLAT, COSINE)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(384-dim, BAAI)</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Claude Sonnet 4.6 (Anthropic)</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**UI**</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 Uvicorn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**Configuration**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Pydantic BaseSettings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**Monitoring**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 metrics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**Scheduler**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APScheduler</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**Containerization**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Docker Compose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**Compute**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 DGX Spark</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**Data Sources**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 ClinicalTrials.gov, ACC/AHA, ESC, FDA</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24. Future Roadmap</w:t>
      </w:r>
    </w:p>
    <w:p>
      <w:pPr>
        <w:spacing w:before="40" w:after="40"/>
        <w:ind w:left="504" w:hanging="288"/>
      </w:pPr>
      <w:r>
        <w:rPr>
          <w:rFonts w:ascii="Calibri" w:hAnsi="Calibri"/>
          <w:b/>
          <w:color w:val="333333"/>
          <w:sz w:val="20"/>
        </w:rPr>
        <w:t xml:space="preserve">1.  </w:t>
      </w:r>
      <w:r>
        <w:rPr>
          <w:rFonts w:ascii="Calibri" w:hAnsi="Calibri"/>
          <w:color w:val="333333"/>
          <w:sz w:val="20"/>
        </w:rPr>
        <w:t>~~</w:t>
      </w:r>
      <w:r>
        <w:rPr>
          <w:rFonts w:ascii="Calibri" w:hAnsi="Calibri"/>
          <w:b/>
          <w:color w:val="333333"/>
          <w:sz w:val="20"/>
        </w:rPr>
        <w:t>Test suite expansion</w:t>
      </w:r>
      <w:r>
        <w:rPr>
          <w:rFonts w:ascii="Calibri" w:hAnsi="Calibri"/>
          <w:color w:val="333333"/>
          <w:sz w:val="20"/>
        </w:rPr>
        <w:t>~~ -- 1,966 tests now passing across all modules</w:t>
      </w:r>
    </w:p>
    <w:p>
      <w:pPr>
        <w:spacing w:before="40" w:after="40"/>
        <w:ind w:left="504" w:hanging="288"/>
      </w:pPr>
      <w:r>
        <w:rPr>
          <w:rFonts w:ascii="Calibri" w:hAnsi="Calibri"/>
          <w:b/>
          <w:color w:val="333333"/>
          <w:sz w:val="20"/>
        </w:rPr>
        <w:t xml:space="preserve">2.  </w:t>
      </w:r>
      <w:r>
        <w:rPr>
          <w:rFonts w:ascii="Calibri" w:hAnsi="Calibri"/>
          <w:b/>
          <w:color w:val="333333"/>
          <w:sz w:val="20"/>
        </w:rPr>
        <w:t>NIM integration</w:t>
      </w:r>
      <w:r>
        <w:rPr>
          <w:rFonts w:ascii="Calibri" w:hAnsi="Calibri"/>
          <w:color w:val="333333"/>
          <w:sz w:val="20"/>
        </w:rPr>
        <w:t xml:space="preserve"> -- On-device inference with NVIDIA NIM microservices</w:t>
      </w:r>
    </w:p>
    <w:p>
      <w:pPr>
        <w:spacing w:before="40" w:after="40"/>
        <w:ind w:left="504" w:hanging="288"/>
      </w:pPr>
      <w:r>
        <w:rPr>
          <w:rFonts w:ascii="Calibri" w:hAnsi="Calibri"/>
          <w:b/>
          <w:color w:val="333333"/>
          <w:sz w:val="20"/>
        </w:rPr>
        <w:t xml:space="preserve">3.  </w:t>
      </w:r>
      <w:r>
        <w:rPr>
          <w:rFonts w:ascii="Calibri" w:hAnsi="Calibri"/>
          <w:b/>
          <w:color w:val="333333"/>
          <w:sz w:val="20"/>
        </w:rPr>
        <w:t>FHIR interoperability</w:t>
      </w:r>
      <w:r>
        <w:rPr>
          <w:rFonts w:ascii="Calibri" w:hAnsi="Calibri"/>
          <w:color w:val="333333"/>
          <w:sz w:val="20"/>
        </w:rPr>
        <w:t xml:space="preserve"> -- Full FHIR R4 integration for EHR connectivity</w:t>
      </w:r>
    </w:p>
    <w:p>
      <w:pPr>
        <w:spacing w:before="40" w:after="40"/>
        <w:ind w:left="504" w:hanging="288"/>
      </w:pPr>
      <w:r>
        <w:rPr>
          <w:rFonts w:ascii="Calibri" w:hAnsi="Calibri"/>
          <w:b/>
          <w:color w:val="333333"/>
          <w:sz w:val="20"/>
        </w:rPr>
        <w:t xml:space="preserve">4.  </w:t>
      </w:r>
      <w:r>
        <w:rPr>
          <w:rFonts w:ascii="Calibri" w:hAnsi="Calibri"/>
          <w:b/>
          <w:color w:val="333333"/>
          <w:sz w:val="20"/>
        </w:rPr>
        <w:t>Real-time ECG analysis</w:t>
      </w:r>
      <w:r>
        <w:rPr>
          <w:rFonts w:ascii="Calibri" w:hAnsi="Calibri"/>
          <w:color w:val="333333"/>
          <w:sz w:val="20"/>
        </w:rPr>
        <w:t xml:space="preserve"> -- Streaming ECG interpretation pipeline</w:t>
      </w:r>
    </w:p>
    <w:p>
      <w:pPr>
        <w:spacing w:before="40" w:after="40"/>
        <w:ind w:left="504" w:hanging="288"/>
      </w:pPr>
      <w:r>
        <w:rPr>
          <w:rFonts w:ascii="Calibri" w:hAnsi="Calibri"/>
          <w:b/>
          <w:color w:val="333333"/>
          <w:sz w:val="20"/>
        </w:rPr>
        <w:t xml:space="preserve">5.  </w:t>
      </w:r>
      <w:r>
        <w:rPr>
          <w:rFonts w:ascii="Calibri" w:hAnsi="Calibri"/>
          <w:b/>
          <w:color w:val="333333"/>
          <w:sz w:val="20"/>
        </w:rPr>
        <w:t>Imaging AI integration</w:t>
      </w:r>
      <w:r>
        <w:rPr>
          <w:rFonts w:ascii="Calibri" w:hAnsi="Calibri"/>
          <w:color w:val="333333"/>
          <w:sz w:val="20"/>
        </w:rPr>
        <w:t xml:space="preserve"> -- Direct DICOM analysis with on-device models</w:t>
      </w:r>
    </w:p>
    <w:p>
      <w:pPr>
        <w:spacing w:before="40" w:after="40"/>
        <w:ind w:left="504" w:hanging="288"/>
      </w:pPr>
      <w:r>
        <w:rPr>
          <w:rFonts w:ascii="Calibri" w:hAnsi="Calibri"/>
          <w:b/>
          <w:color w:val="333333"/>
          <w:sz w:val="20"/>
        </w:rPr>
        <w:t xml:space="preserve">6.  </w:t>
      </w:r>
      <w:r>
        <w:rPr>
          <w:rFonts w:ascii="Calibri" w:hAnsi="Calibri"/>
          <w:b/>
          <w:color w:val="333333"/>
          <w:sz w:val="20"/>
        </w:rPr>
        <w:t>Population analytics</w:t>
      </w:r>
      <w:r>
        <w:rPr>
          <w:rFonts w:ascii="Calibri" w:hAnsi="Calibri"/>
          <w:color w:val="333333"/>
          <w:sz w:val="20"/>
        </w:rPr>
        <w:t xml:space="preserve"> -- Cohort-level cardiovascular risk dashboards</w:t>
      </w:r>
    </w:p>
    <w:p>
      <w:pPr>
        <w:spacing w:before="40" w:after="40"/>
        <w:ind w:left="504" w:hanging="288"/>
      </w:pPr>
      <w:r>
        <w:rPr>
          <w:rFonts w:ascii="Calibri" w:hAnsi="Calibri"/>
          <w:b/>
          <w:color w:val="333333"/>
          <w:sz w:val="20"/>
        </w:rPr>
        <w:t xml:space="preserve">7.  </w:t>
      </w:r>
      <w:r>
        <w:rPr>
          <w:rFonts w:ascii="Calibri" w:hAnsi="Calibri"/>
          <w:b/>
          <w:color w:val="333333"/>
          <w:sz w:val="20"/>
        </w:rPr>
        <w:t>Multi-language support</w:t>
      </w:r>
      <w:r>
        <w:rPr>
          <w:rFonts w:ascii="Calibri" w:hAnsi="Calibri"/>
          <w:color w:val="333333"/>
          <w:sz w:val="20"/>
        </w:rPr>
        <w:t xml:space="preserve"> -- Clinical guidelines in multiple languages</w:t>
      </w:r>
    </w:p>
    <w:p>
      <w:pPr>
        <w:spacing w:before="40" w:after="40"/>
        <w:ind w:left="504" w:hanging="288"/>
      </w:pPr>
      <w:r>
        <w:rPr>
          <w:rFonts w:ascii="Calibri" w:hAnsi="Calibri"/>
          <w:b/>
          <w:color w:val="333333"/>
          <w:sz w:val="20"/>
        </w:rPr>
        <w:t xml:space="preserve">8.  </w:t>
      </w:r>
      <w:r>
        <w:rPr>
          <w:rFonts w:ascii="Calibri" w:hAnsi="Calibri"/>
          <w:b/>
          <w:color w:val="333333"/>
          <w:sz w:val="20"/>
        </w:rPr>
        <w:t>Wearable integration</w:t>
      </w:r>
      <w:r>
        <w:rPr>
          <w:rFonts w:ascii="Calibri" w:hAnsi="Calibri"/>
          <w:color w:val="333333"/>
          <w:sz w:val="20"/>
        </w:rPr>
        <w:t xml:space="preserve"> -- Apple Watch, Fitbit cardiovascular data ingestion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Cardiology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