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Pharmacogenomics Intelligence Agent -- Architecture Guide</w:t>
      </w:r>
    </w:p>
    <w:p>
      <w:r>
        <w:t>Version: 1.0.0</w:t>
      </w:r>
    </w:p>
    <w:p>
      <w:r>
        <w:t>Author: Adam Jones</w:t>
      </w:r>
    </w:p>
    <w:p>
      <w:r>
        <w:t>Date: March 2026</w:t>
      </w:r>
    </w:p>
    <w:p>
      <w:r>
        <w:t>License: Apache 2.0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Overview</w:t>
      </w:r>
    </w:p>
    <w:p>
      <w:pPr>
        <w:pStyle w:val="ListNumber"/>
      </w:pPr>
      <w:r>
        <w:t>Three-Tier Architecture</w:t>
      </w:r>
    </w:p>
    <w:p>
      <w:pPr>
        <w:pStyle w:val="ListNumber"/>
      </w:pPr>
      <w:r>
        <w:t>Data Flow</w:t>
      </w:r>
    </w:p>
    <w:p>
      <w:pPr>
        <w:pStyle w:val="ListNumber"/>
      </w:pPr>
      <w:r>
        <w:t>Ingest Tier</w:t>
      </w:r>
    </w:p>
    <w:p>
      <w:pPr>
        <w:pStyle w:val="ListNumber"/>
      </w:pPr>
      <w:r>
        <w:t>Vector Store Tier</w:t>
      </w:r>
    </w:p>
    <w:p>
      <w:pPr>
        <w:pStyle w:val="ListNumber"/>
      </w:pPr>
      <w:r>
        <w:t>Inference Tier</w:t>
      </w:r>
    </w:p>
    <w:p>
      <w:pPr>
        <w:pStyle w:val="ListNumber"/>
      </w:pPr>
      <w:r>
        <w:t>Collection Schema Design</w:t>
      </w:r>
    </w:p>
    <w:p>
      <w:pPr>
        <w:pStyle w:val="ListNumber"/>
      </w:pPr>
      <w:r>
        <w:t>Embedding Strategy</w:t>
      </w:r>
    </w:p>
    <w:p>
      <w:pPr>
        <w:pStyle w:val="ListNumber"/>
      </w:pPr>
      <w:r>
        <w:t>LLM Integration</w:t>
      </w:r>
    </w:p>
    <w:p>
      <w:pPr>
        <w:pStyle w:val="ListNumber"/>
      </w:pPr>
      <w:r>
        <w:t>Clinical Pipeline Architecture</w:t>
      </w:r>
    </w:p>
    <w:p>
      <w:pPr>
        <w:pStyle w:val="ListNumber"/>
      </w:pPr>
      <w:r>
        <w:t>Agent Architecture</w:t>
      </w:r>
    </w:p>
    <w:p>
      <w:pPr>
        <w:pStyle w:val="ListNumber"/>
      </w:pPr>
      <w:r>
        <w:t>API Layer</w:t>
      </w:r>
    </w:p>
    <w:p>
      <w:pPr>
        <w:pStyle w:val="ListNumber"/>
      </w:pPr>
      <w:r>
        <w:t>UI Layer</w:t>
      </w:r>
    </w:p>
    <w:p>
      <w:pPr>
        <w:pStyle w:val="ListNumber"/>
      </w:pPr>
      <w:r>
        <w:t>Observability</w:t>
      </w:r>
    </w:p>
    <w:p>
      <w:pPr>
        <w:pStyle w:val="ListNumber"/>
      </w:pPr>
      <w:r>
        <w:t>Scaling Considerations</w:t>
      </w:r>
    </w:p>
    <w:p>
      <w:pPr>
        <w:pStyle w:val="Heading2"/>
      </w:pPr>
      <w:r>
        <w:t>1. Overview</w:t>
      </w:r>
    </w:p>
    <w:p>
      <w:r>
        <w:t>The Pharmacogenomics Intelligence Agent is a multi-collection retrieval-augmented generation (RAG) system with integrated clinical decision support pipelines. It translates genetic data into actionable drug prescribing recommendations across 25 pharmacogenes and 100+ drugs.</w:t>
      </w:r>
    </w:p>
    <w:p>
      <w:r>
        <w:t>Key architectural decisions:</w:t>
      </w:r>
    </w:p>
    <w:p>
      <w:pPr>
        <w:pStyle w:val="ListBullet"/>
      </w:pPr>
      <w:r>
        <w:t>Multi-collection over single-collection RAG: 15 purpose-built collections with domain-specific schemas enable structured filtering alongside semantic search.</w:t>
      </w:r>
    </w:p>
    <w:p>
      <w:pPr>
        <w:pStyle w:val="ListBullet"/>
      </w:pPr>
      <w:r>
        <w:t>Knowledge graph augmentation: Deterministic context from 9 structured dictionaries supplements probabilistic vector retrieval.</w:t>
      </w:r>
    </w:p>
    <w:p>
      <w:pPr>
        <w:pStyle w:val="ListBullet"/>
      </w:pPr>
      <w:r>
        <w:t>Clinical pipeline integration: Star allele calling, phenoconversion, HLA screening, and dosing algorithms run as first-class components, not afterthoughts.</w:t>
      </w:r>
    </w:p>
    <w:p>
      <w:pPr>
        <w:pStyle w:val="ListBullet"/>
      </w:pPr>
      <w:r>
        <w:t>Parallel search: ThreadPoolExecutor searches all 15 collections simultaneously, bounded at 30 merged results.</w:t>
      </w:r>
    </w:p>
    <w:p>
      <w:pPr>
        <w:pStyle w:val="Heading2"/>
      </w:pPr>
      <w:r>
        <w:t>2. Three-Tier Architecture</w:t>
      </w:r>
    </w:p>
    <w:p>
      <w:pPr>
        <w:ind w:left="720"/>
      </w:pPr>
      <w:r>
        <w:rPr>
          <w:rFonts w:ascii="Consolas" w:hAnsi="Consolas"/>
          <w:sz w:val="18"/>
        </w:rPr>
        <w:t>+================================================================+</w:t>
        <w:br/>
        <w:t>|                      TIER 1: INGEST                             |</w:t>
        <w:br/>
        <w:t>|                                                                 |</w:t>
        <w:br/>
        <w:t>|  +----------+  +----------+  +----------+  +----------+        |</w:t>
        <w:br/>
        <w:t>|  |  CPIC    |  | PharmVar |  | PharmGKB |  |   FDA    |        |</w:t>
        <w:br/>
        <w:t>|  |  Parser  |  |  Parser  |  |  Parser  |  |  Parser  |        |</w:t>
        <w:br/>
        <w:t>|  +----+-----+  +----+-----+  +----+-----+  +----+-----+        |</w:t>
        <w:br/>
        <w:t>|       |             |             |             |               |</w:t>
        <w:br/>
        <w:t>|  +----+-----+  +----+-----+  +----+-----+  +----+-----+        |</w:t>
        <w:br/>
        <w:t>|  |Population|  |  PubMed  |  | Clinical |  |   Base   |        |</w:t>
        <w:br/>
        <w:t>|  |  Parser  |  |  Parser  |  |Trials Par|  |  Parser  |        |</w:t>
        <w:br/>
        <w:t>|  +----+-----+  +----+-----+  +----+-----+  +----+-----+        |</w:t>
        <w:br/>
        <w:t>|       |             |             |             |               |</w:t>
        <w:br/>
        <w:t>|       +-------+-----+------+------+------+------+               |</w:t>
        <w:br/>
        <w:t>|               |            |             |                      |</w:t>
        <w:br/>
        <w:t>|               v            v             v                      |</w:t>
        <w:br/>
        <w:t>|         [to_embedding_text()]  --&gt;  [BGE-small-en-v1.5]         |</w:t>
        <w:br/>
        <w:t>|                                         |                      |</w:t>
        <w:br/>
        <w:t>|                                    384-dim vector               |</w:t>
        <w:br/>
        <w:t>+=========================================|======================+</w:t>
        <w:br/>
        <w:t xml:space="preserve">                                          |</w:t>
        <w:br/>
        <w:t xml:space="preserve">                                          v</w:t>
        <w:br/>
        <w:t>+================================================================+</w:t>
        <w:br/>
        <w:t>|                    TIER 2: VECTOR STORE                         |</w:t>
        <w:br/>
        <w:t>|                                                                 |</w:t>
        <w:br/>
        <w:t>|                    Milvus 2.4 (port 19530)                      |</w:t>
        <w:br/>
        <w:t>|                                                                 |</w:t>
        <w:br/>
        <w:t>|  +------------------+  +------------------+  +--------------+  |</w:t>
        <w:br/>
        <w:t>|  | pgx_gene_        |  | pgx_drug_        |  | pgx_drug_    |  |</w:t>
        <w:br/>
        <w:t>|  | reference        |  | guidelines       |  | interactions |  |</w:t>
        <w:br/>
        <w:t>|  | (W: 0.10)        |  | (W: 0.14)        |  | (W: 0.12)    |  |</w:t>
        <w:br/>
        <w:t>|  +------------------+  +------------------+  +--------------+  |</w:t>
        <w:br/>
        <w:t>|  +------------------+  +------------------+  +--------------+  |</w:t>
        <w:br/>
        <w:t>|  | pgx_hla_         |  | pgx_pheno-       |  | pgx_dosing_  |  |</w:t>
        <w:br/>
        <w:t>|  | hypersensitivity  |  | conversion       |  | algorithms   |  |</w:t>
        <w:br/>
        <w:t>|  | (W: 0.10)        |  | (W: 0.08)        |  | (W: 0.07)    |  |</w:t>
        <w:br/>
        <w:t>|  +------------------+  +------------------+  +--------------+  |</w:t>
        <w:br/>
        <w:t>|  +------------------+  +------------------+  +--------------+  |</w:t>
        <w:br/>
        <w:t>|  | pgx_clinical_    |  | pgx_population_  |  | pgx_clinical_|  |</w:t>
        <w:br/>
        <w:t>|  | evidence         |  | data             |  | trials       |  |</w:t>
        <w:br/>
        <w:t>|  | (W: 0.08)        |  | (W: 0.06)        |  | (W: 0.04)    |  |</w:t>
        <w:br/>
        <w:t>|  +------------------+  +------------------+  +--------------+  |</w:t>
        <w:br/>
        <w:t>|  +------------------+  +------------------+  +--------------+  |</w:t>
        <w:br/>
        <w:t>|  | pgx_fda_labels   |  | pgx_drug_        |  | pgx_patient_ |  |</w:t>
        <w:br/>
        <w:t>|  | (W: 0.06)        |  | alternatives     |  | profiles     |  |</w:t>
        <w:br/>
        <w:t>|  |                   |  | (W: 0.05)        |  | (W: 0.03)    |  |</w:t>
        <w:br/>
        <w:t>|  +------------------+  +------------------+  +--------------+  |</w:t>
        <w:br/>
        <w:t>|  +------------------+  +------------------+  +--------------+  |</w:t>
        <w:br/>
        <w:t>|  | pgx_implement-   |  | pgx_education    |  | genomic_     |  |</w:t>
        <w:br/>
        <w:t>|  | ation            |  | (W: 0.02)        |  | evidence     |  |</w:t>
        <w:br/>
        <w:t>|  | (W: 0.02)        |  |                   |  | (W: 0.03)    |  |</w:t>
        <w:br/>
        <w:t>|  +------------------+  +------------------+  +--------------+  |</w:t>
        <w:br/>
        <w:t>|                                                                 |</w:t>
        <w:br/>
        <w:t>|  Index: IVF_FLAT  |  Metric: COSINE  |  nlist: 1024            |</w:t>
        <w:br/>
        <w:t>+================================================================+</w:t>
        <w:br/>
        <w:t xml:space="preserve">                            |</w:t>
        <w:br/>
        <w:t xml:space="preserve">                            v</w:t>
        <w:br/>
        <w:t>+================================================================+</w:t>
        <w:br/>
        <w:t>|                    TIER 3: INFERENCE                            |</w:t>
        <w:br/>
        <w:t>|                                                                 |</w:t>
        <w:br/>
        <w:t>|  +--------------------------+  +---------------------------+   |</w:t>
        <w:br/>
        <w:t>|  |      PGxRAGEngine        |  |   PGxIntelligenceAgent    |   |</w:t>
        <w:br/>
        <w:t>|  |  - embed query            |  |   - search_plan()        |   |</w:t>
        <w:br/>
        <w:t>|  |  - parallel search (15)   |  |   - evaluate_evidence()  |   |</w:t>
        <w:br/>
        <w:t>|  |  - query expansion (14)   |  |   - generate_report()    |   |</w:t>
        <w:br/>
        <w:t>|  |  - merge &amp; rank (top 30)  |  |                          |   |</w:t>
        <w:br/>
        <w:t>|  |  - knowledge augmentation |  |                          |   |</w:t>
        <w:br/>
        <w:t>|  +-----------+---------------+  +---------------------------+   |</w:t>
        <w:br/>
        <w:t>|              |                                                  |</w:t>
        <w:br/>
        <w:t>|  +-----------v-------------------------------------------------+|</w:t>
        <w:br/>
        <w:t>|  |                Clinical Pipelines                           ||</w:t>
        <w:br/>
        <w:t>|  |  +-------------+ +----------+ +-------+ +----------------+ ||</w:t>
        <w:br/>
        <w:t>|  |  |StarAllele   | |Pheno-    | |HLA    | |Dosing          | ||</w:t>
        <w:br/>
        <w:t>|  |  |Caller       | |conversion| |Screener| |Calculator     | ||</w:t>
        <w:br/>
        <w:t>|  |  |             | |Detector  | |       | | - IWPC warfarin| ||</w:t>
        <w:br/>
        <w:t>|  |  |             | |          | |       | | - Tacrolimus   | ||</w:t>
        <w:br/>
        <w:t>|  |  |             | |          | |       | | - Fluoropyrim. | ||</w:t>
        <w:br/>
        <w:t>|  |  |             | |          | |       | | - Thiopurine   | ||</w:t>
        <w:br/>
        <w:t>|  |  +-------------+ +----------+ +-------+ +----------------+ ||</w:t>
        <w:br/>
        <w:t>|  +-------------------------------------------------------------+|</w:t>
        <w:br/>
        <w:t>|              |                                                  |</w:t>
        <w:br/>
        <w:t>|              v                                                  |</w:t>
        <w:br/>
        <w:t>|  +-----------------------------------------------------------+ |</w:t>
        <w:br/>
        <w:t>|  |  Claude Sonnet 4.6 (Anthropic API)                         | |</w:t>
        <w:br/>
        <w:t>|  |  System prompt: 11 PGx expertise domains                   | |</w:t>
        <w:br/>
        <w:t>|  |  Streaming response | Citation-linked output                | |</w:t>
        <w:br/>
        <w:t>|  |  Max tokens: 2,048 (standard) / 3,000 (comparative)        | |</w:t>
        <w:br/>
        <w:t>|  +-----------------------------------------------------------+ |</w:t>
        <w:br/>
        <w:t>+================================================================+</w:t>
      </w:r>
    </w:p>
    <w:p>
      <w:pPr>
        <w:pStyle w:val="Heading2"/>
      </w:pPr>
      <w:r>
        <w:t>3. Data Flow</w:t>
      </w:r>
    </w:p>
    <w:p>
      <w:pPr>
        <w:pStyle w:val="Heading3"/>
      </w:pPr>
      <w:r>
        <w:t>3.1 Query Flow (Standard RAG)</w:t>
      </w:r>
    </w:p>
    <w:p>
      <w:pPr>
        <w:ind w:left="720"/>
      </w:pPr>
      <w:r>
        <w:rPr>
          <w:rFonts w:ascii="Consolas" w:hAnsi="Consolas"/>
          <w:sz w:val="18"/>
        </w:rPr>
        <w:t>User Question (e.g., "CYP2D6 poor metabolizer taking codeine")</w:t>
        <w:br/>
        <w:t xml:space="preserve">     |</w:t>
        <w:br/>
        <w:t xml:space="preserve">     v</w:t>
        <w:br/>
        <w:t>[1] Query Embedding</w:t>
        <w:br/>
        <w:t xml:space="preserve">     BGE-small-en-v1.5: "Represent this sentence..."</w:t>
        <w:br/>
        <w:t xml:space="preserve">     Output: 384-dim float vector</w:t>
        <w:br/>
        <w:t xml:space="preserve">     |</w:t>
        <w:br/>
        <w:t xml:space="preserve">     v</w:t>
        <w:br/>
        <w:t>[2] Parallel Collection Search</w:t>
        <w:br/>
        <w:t xml:space="preserve">     ThreadPoolExecutor across 15 collections</w:t>
        <w:br/>
        <w:t xml:space="preserve">     Top-K per collection: 5 (configurable)</w:t>
        <w:br/>
        <w:t xml:space="preserve">     Score threshold: 0.4</w:t>
        <w:br/>
        <w:t xml:space="preserve">     |</w:t>
        <w:br/>
        <w:t xml:space="preserve">     v</w:t>
        <w:br/>
        <w:t>[3] Query Expansion</w:t>
        <w:br/>
        <w:t xml:space="preserve">     14 PGx expansion maps check for drug/gene/phenotype synonyms</w:t>
        <w:br/>
        <w:t xml:space="preserve">     Expansion terms re-embedded and searched</w:t>
        <w:br/>
        <w:t xml:space="preserve">     |</w:t>
        <w:br/>
        <w:t xml:space="preserve">     v</w:t>
        <w:br/>
        <w:t>[4] Merge &amp; Rank</w:t>
        <w:br/>
        <w:t xml:space="preserve">     Deduplicate by record ID</w:t>
        <w:br/>
        <w:t xml:space="preserve">     Weighted scoring: similarity_score * collection_weight</w:t>
        <w:br/>
        <w:t xml:space="preserve">     Cap at 30 results</w:t>
        <w:br/>
        <w:t xml:space="preserve">     |</w:t>
        <w:br/>
        <w:t xml:space="preserve">     v</w:t>
        <w:br/>
        <w:t>[5] Knowledge Augmentation</w:t>
        <w:br/>
        <w:t xml:space="preserve">     Extract matching PHARMACOGENES, DRUG_CATEGORIES, HLA_DRUG_ASSOCIATIONS</w:t>
        <w:br/>
        <w:t xml:space="preserve">     Inject structured context (gene function, substrates, inhibitors)</w:t>
        <w:br/>
        <w:t xml:space="preserve">     |</w:t>
        <w:br/>
        <w:t xml:space="preserve">     v</w:t>
        <w:br/>
        <w:t>[6] Clinical Pipeline (if applicable)</w:t>
        <w:br/>
        <w:t xml:space="preserve">     Star allele interpretation, phenoconversion check,</w:t>
        <w:br/>
        <w:t xml:space="preserve">     HLA screening, dosing calculation</w:t>
        <w:br/>
        <w:t xml:space="preserve">     |</w:t>
        <w:br/>
        <w:t xml:space="preserve">     v</w:t>
        <w:br/>
        <w:t>[7] Prompt Assembly</w:t>
        <w:br/>
        <w:t xml:space="preserve">     Evidence sections (top 5 per collection)</w:t>
        <w:br/>
        <w:t xml:space="preserve">     + Knowledge context</w:t>
        <w:br/>
        <w:t xml:space="preserve">     + Clinical pipeline results</w:t>
        <w:br/>
        <w:t xml:space="preserve">     + Citation formatting instructions</w:t>
        <w:br/>
        <w:t xml:space="preserve">     |</w:t>
        <w:br/>
        <w:t xml:space="preserve">     v</w:t>
        <w:br/>
        <w:t>[8] LLM Synthesis</w:t>
        <w:br/>
        <w:t xml:space="preserve">     Claude Sonnet 4.6, streaming, 2,048 tokens</w:t>
        <w:br/>
        <w:t xml:space="preserve">     |</w:t>
        <w:br/>
        <w:t xml:space="preserve">     v</w:t>
        <w:br/>
        <w:t>[9] Response</w:t>
        <w:br/>
        <w:t xml:space="preserve">     Answer with clickable citations</w:t>
        <w:br/>
        <w:t xml:space="preserve">     + Evidence panel</w:t>
        <w:br/>
        <w:t xml:space="preserve">     + Clinical alerts (if any)</w:t>
        <w:br/>
        <w:t xml:space="preserve">     + Export buttons (MD/JSON/PDF/FHIR)</w:t>
      </w:r>
    </w:p>
    <w:p>
      <w:pPr>
        <w:pStyle w:val="Heading3"/>
      </w:pPr>
      <w:r>
        <w:t>3.2 Ingest Flow</w:t>
      </w:r>
    </w:p>
    <w:p>
      <w:pPr>
        <w:ind w:left="720"/>
      </w:pPr>
      <w:r>
        <w:rPr>
          <w:rFonts w:ascii="Consolas" w:hAnsi="Consolas"/>
          <w:sz w:val="18"/>
        </w:rPr>
        <w:t>External Source (CPIC API / PharmVar / PharmGKB / PubMed / ...)</w:t>
        <w:br/>
        <w:t xml:space="preserve">     |</w:t>
        <w:br/>
        <w:t xml:space="preserve">     v</w:t>
        <w:br/>
        <w:t>[1] Parser (one of 8 ingest parsers)</w:t>
        <w:br/>
        <w:t xml:space="preserve">     Fetch raw data via API or load from JSON seed file</w:t>
        <w:br/>
        <w:t xml:space="preserve">     |</w:t>
        <w:br/>
        <w:t xml:space="preserve">     v</w:t>
        <w:br/>
        <w:t>[2] Record Construction</w:t>
        <w:br/>
        <w:t xml:space="preserve">     Parse into domain-specific Pydantic model</w:t>
        <w:br/>
        <w:t xml:space="preserve">     Validate all required fields</w:t>
        <w:br/>
        <w:t xml:space="preserve">     |</w:t>
        <w:br/>
        <w:t xml:space="preserve">     v</w:t>
        <w:br/>
        <w:t>[3] Embedding Text Generation</w:t>
        <w:br/>
        <w:t xml:space="preserve">     record.to_embedding_text() -&gt; concatenated domain fields</w:t>
        <w:br/>
        <w:t xml:space="preserve">     |</w:t>
        <w:br/>
        <w:t xml:space="preserve">     v</w:t>
        <w:br/>
        <w:t>[4] Vector Embedding</w:t>
        <w:br/>
        <w:t xml:space="preserve">     BGE-small-en-v1.5 -&gt; 384-dim vector</w:t>
        <w:br/>
        <w:t xml:space="preserve">     Batch size: 32</w:t>
        <w:br/>
        <w:t xml:space="preserve">     |</w:t>
        <w:br/>
        <w:t xml:space="preserve">     v</w:t>
        <w:br/>
        <w:t>[5] Milvus Insert</w:t>
        <w:br/>
        <w:t xml:space="preserve">     Batch insert into target collection</w:t>
        <w:br/>
        <w:t xml:space="preserve">     IVF_FLAT index auto-updated</w:t>
      </w:r>
    </w:p>
    <w:p>
      <w:pPr>
        <w:pStyle w:val="Heading2"/>
      </w:pPr>
      <w:r>
        <w:t>4. Ingest Tier</w:t>
      </w:r>
    </w:p>
    <w:p>
      <w:pPr>
        <w:pStyle w:val="Heading3"/>
      </w:pPr>
      <w:r>
        <w:t>4.1 Parser Architecture</w:t>
      </w:r>
    </w:p>
    <w:p>
      <w:r>
        <w:t>All 8 parsers inherit from BaseIngestParser in src/ingest/base.py:</w:t>
      </w:r>
    </w:p>
    <w:p>
      <w:pPr>
        <w:ind w:left="720"/>
      </w:pPr>
      <w:r>
        <w:rPr>
          <w:rFonts w:ascii="Consolas" w:hAnsi="Consolas"/>
          <w:sz w:val="18"/>
        </w:rPr>
        <w:t>BaseIngestParser (abstract)</w:t>
        <w:br/>
        <w:t xml:space="preserve">  |-- fetch()        # Retrieve raw data from source</w:t>
        <w:br/>
        <w:t xml:space="preserve">  |-- parse()        # Transform into Pydantic records</w:t>
        <w:br/>
        <w:t xml:space="preserve">  |-- embed()        # Generate 384-dim vectors</w:t>
        <w:br/>
        <w:t xml:space="preserve">  |-- store()        # Insert into Milvus collection</w:t>
        <w:br/>
        <w:t xml:space="preserve">  |-- run()          # Execute full pipeline</w:t>
      </w:r>
    </w:p>
    <w:p>
      <w:pPr>
        <w:pStyle w:val="Heading3"/>
      </w:pPr>
      <w:r>
        <w:t>4.2 Parser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Parser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 Collection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Cadence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`cpic_parser.py`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CPIC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pgx_drug_guidelines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/ weekly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`pharmvar_parser.py`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PharmVar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pgx_gene_reference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`pharmgkb_parser.py`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PharmGKB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pgx_drug_interactions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`fda_label_parser.py`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FDA DailyMed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pgx_fda_labels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`population_parser.py`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Population DBs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pgx_population_data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`pubmed_parser.py`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PubMed/NCBI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pgx_clinical_evidence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(automated)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`clinical_trials_parser.py`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ClinicalTrials.gov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pgx_clinical_trials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(automated)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`base.py`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 JSON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14 PGx collections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One-shot seed</w:t>
            </w:r>
          </w:p>
        </w:tc>
      </w:tr>
    </w:tbl>
    <w:p>
      <w:pPr>
        <w:pStyle w:val="Heading2"/>
      </w:pPr>
      <w:r>
        <w:t>5. Vector Store Tier</w:t>
      </w:r>
    </w:p>
    <w:p>
      <w:pPr>
        <w:pStyle w:val="Heading3"/>
      </w:pPr>
      <w:r>
        <w:t>5.1 Milvus Configuration</w:t>
      </w:r>
    </w:p>
    <w:p>
      <w:pPr>
        <w:pStyle w:val="ListBullet"/>
      </w:pPr>
      <w:r>
        <w:t>Version: Milvus 2.4 (standalone)</w:t>
      </w:r>
    </w:p>
    <w:p>
      <w:pPr>
        <w:pStyle w:val="ListBullet"/>
      </w:pPr>
      <w:r>
        <w:t>Storage backend: etcd (metadata) + MinIO (object storage)</w:t>
      </w:r>
    </w:p>
    <w:p>
      <w:pPr>
        <w:pStyle w:val="ListBullet"/>
      </w:pPr>
      <w:r>
        <w:t>Index type: IVF_FLAT (inverted file with flat quantization)</w:t>
      </w:r>
    </w:p>
    <w:p>
      <w:pPr>
        <w:pStyle w:val="ListBullet"/>
      </w:pPr>
      <w:r>
        <w:t>Distance metric: COSINE similarity</w:t>
      </w:r>
    </w:p>
    <w:p>
      <w:pPr>
        <w:pStyle w:val="ListBullet"/>
      </w:pPr>
      <w:r>
        <w:t>nlist: 1024 (number of cluster centroids)</w:t>
      </w:r>
    </w:p>
    <w:p>
      <w:pPr>
        <w:pStyle w:val="ListBullet"/>
      </w:pPr>
      <w:r>
        <w:t>nprobe: 16 (clusters to search at query time)</w:t>
      </w:r>
    </w:p>
    <w:p>
      <w:pPr>
        <w:pStyle w:val="Heading3"/>
      </w:pPr>
      <w:r>
        <w:t>5.2 Collection Design Principles</w:t>
      </w:r>
    </w:p>
    <w:p>
      <w:r>
        <w:t>Each of the 15 collections follows these design principles:</w:t>
      </w:r>
    </w:p>
    <w:p>
      <w:pPr>
        <w:pStyle w:val="ListNumber"/>
      </w:pPr>
      <w:r>
        <w:t>Primary key: VARCHAR id field with domain-specific format (e.g., CYP2D6_star4 for gene reference)</w:t>
      </w:r>
    </w:p>
    <w:p>
      <w:pPr>
        <w:pStyle w:val="ListNumber"/>
      </w:pPr>
      <w:r>
        <w:t>Embedding field: FLOAT_VECTOR embedding with dim=384</w:t>
      </w:r>
    </w:p>
    <w:p>
      <w:pPr>
        <w:pStyle w:val="ListNumber"/>
      </w:pPr>
      <w:r>
        <w:t>Domain fields: Collection-specific VARCHAR/FLOAT/INT fields for structured filtering</w:t>
      </w:r>
    </w:p>
    <w:p>
      <w:pPr>
        <w:pStyle w:val="ListNumber"/>
      </w:pPr>
      <w:r>
        <w:t>Text field: VARCHAR text storing the original text used for embedding</w:t>
      </w:r>
    </w:p>
    <w:p>
      <w:pPr>
        <w:pStyle w:val="Heading3"/>
      </w:pPr>
      <w:r>
        <w:t>5.3 Search Weight Rationale</w:t>
      </w:r>
    </w:p>
    <w:p>
      <w:r>
        <w:t>Weights are assigned based on clinical relevance:</w:t>
      </w:r>
    </w:p>
    <w:p>
      <w:pPr>
        <w:pStyle w:val="ListBullet"/>
      </w:pPr>
      <w:r>
        <w:t>Drug guidelines (0.14): Highest weight because CPIC/DPWG recommendations are the primary actionable output.</w:t>
      </w:r>
    </w:p>
    <w:p>
      <w:pPr>
        <w:pStyle w:val="ListBullet"/>
      </w:pPr>
      <w:r>
        <w:t>Drug interactions (0.12): PharmGKB annotations provide the evidence basis for gene-drug relationships.</w:t>
      </w:r>
    </w:p>
    <w:p>
      <w:pPr>
        <w:pStyle w:val="ListBullet"/>
      </w:pPr>
      <w:r>
        <w:t>Gene reference + HLA (0.10 each): Foundational pharmacogene data and safety-critical HLA screening.</w:t>
      </w:r>
    </w:p>
    <w:p>
      <w:pPr>
        <w:pStyle w:val="ListBullet"/>
      </w:pPr>
      <w:r>
        <w:t>Clinical evidence + phenoconversion (0.08 each): Published outcomes and drug-drug-gene interactions.</w:t>
      </w:r>
    </w:p>
    <w:p>
      <w:pPr>
        <w:pStyle w:val="ListBullet"/>
      </w:pPr>
      <w:r>
        <w:t>Dosing algorithms (0.07): Quantitative dosing formulas.</w:t>
      </w:r>
    </w:p>
    <w:p>
      <w:pPr>
        <w:pStyle w:val="ListBullet"/>
      </w:pPr>
      <w:r>
        <w:t>FDA labels + population data (0.06 each): Regulatory labeling and population context.</w:t>
      </w:r>
    </w:p>
    <w:p>
      <w:pPr>
        <w:pStyle w:val="ListBullet"/>
      </w:pPr>
      <w:r>
        <w:t>Drug alternatives (0.05): Therapeutic substitution options.</w:t>
      </w:r>
    </w:p>
    <w:p>
      <w:pPr>
        <w:pStyle w:val="ListBullet"/>
      </w:pPr>
      <w:r>
        <w:t>Clinical trials + genomic evidence (0.04 + 0.03): Research context and shared variant data.</w:t>
      </w:r>
    </w:p>
    <w:p>
      <w:pPr>
        <w:pStyle w:val="ListBullet"/>
      </w:pPr>
      <w:r>
        <w:t>Patient profiles + implementation + education (0.03 + 0.02 + 0.02): Supporting materials.</w:t>
      </w:r>
    </w:p>
    <w:p>
      <w:pPr>
        <w:pStyle w:val="Heading2"/>
      </w:pPr>
      <w:r>
        <w:t>6. Inference Tier</w:t>
      </w:r>
    </w:p>
    <w:p>
      <w:pPr>
        <w:pStyle w:val="Heading3"/>
      </w:pPr>
      <w:r>
        <w:t>6.1 PGxRAGEngine (796 lines)</w:t>
      </w:r>
    </w:p>
    <w:p>
      <w:r>
        <w:t>The core RAG engine orchestrates the full retrieval-augmentation-generation pipeline:</w:t>
      </w:r>
    </w:p>
    <w:p>
      <w:pPr>
        <w:pStyle w:val="ListNumber"/>
      </w:pPr>
      <w:r>
        <w:t>Parallel search: _search_all_collections() uses ThreadPoolExecutor with up to 15 concurrent workers.</w:t>
      </w:r>
    </w:p>
    <w:p>
      <w:pPr>
        <w:pStyle w:val="ListNumber"/>
      </w:pPr>
      <w:r>
        <w:t>Query expansion: _expanded_search() enriches queries with drug/gene/phenotype synonyms from 14 expansion maps.</w:t>
      </w:r>
    </w:p>
    <w:p>
      <w:pPr>
        <w:pStyle w:val="ListNumber"/>
      </w:pPr>
      <w:r>
        <w:t>Merge and rank: _merge_and_rank() deduplicates and sorts by weighted score.</w:t>
      </w:r>
    </w:p>
    <w:p>
      <w:pPr>
        <w:pStyle w:val="ListNumber"/>
      </w:pPr>
      <w:r>
        <w:t>Knowledge augmentation: _get_knowledge_context() injects structured pharmacogene, drug, HLA, and phenoconversion data.</w:t>
      </w:r>
    </w:p>
    <w:p>
      <w:pPr>
        <w:pStyle w:val="ListNumber"/>
      </w:pPr>
      <w:r>
        <w:t>Prompt assembly: _build_prompt() constructs the evidence-rich prompt for LLM synthesis.</w:t>
      </w:r>
    </w:p>
    <w:p>
      <w:pPr>
        <w:pStyle w:val="ListNumber"/>
      </w:pPr>
      <w:r>
        <w:t>LLM synthesis: Calls Claude Sonnet 4.6 with streaming support.</w:t>
      </w:r>
    </w:p>
    <w:p>
      <w:pPr>
        <w:pStyle w:val="Heading3"/>
      </w:pPr>
      <w:r>
        <w:t>6.2 Score Calculation</w:t>
      </w:r>
    </w:p>
    <w:p>
      <w:pPr>
        <w:ind w:left="720"/>
      </w:pPr>
      <w:r>
        <w:rPr>
          <w:rFonts w:ascii="Consolas" w:hAnsi="Consolas"/>
          <w:sz w:val="18"/>
        </w:rPr>
        <w:t>final_score = cosine_similarity(query_vector, record_vector) * collection_weight</w:t>
      </w:r>
    </w:p>
    <w:p>
      <w:r>
        <w:t>Score thresholds:</w:t>
      </w:r>
    </w:p>
    <w:p>
      <w:pPr>
        <w:pStyle w:val="ListBullet"/>
      </w:pPr>
      <w:r>
        <w:t>Minimum: 0.4 (configurable via PGX_SCORE_THRESHOLD)</w:t>
      </w:r>
    </w:p>
    <w:p>
      <w:pPr>
        <w:pStyle w:val="ListBullet"/>
      </w:pPr>
      <w:r>
        <w:t>High citation: &gt;= 0.75</w:t>
      </w:r>
    </w:p>
    <w:p>
      <w:pPr>
        <w:pStyle w:val="ListBullet"/>
      </w:pPr>
      <w:r>
        <w:t>Medium citation: &gt;= 0.60</w:t>
      </w:r>
    </w:p>
    <w:p>
      <w:pPr>
        <w:pStyle w:val="ListBullet"/>
      </w:pPr>
      <w:r>
        <w:t>Low citation: &lt; 0.60</w:t>
      </w:r>
    </w:p>
    <w:p>
      <w:pPr>
        <w:pStyle w:val="Heading2"/>
      </w:pPr>
      <w:r>
        <w:t>7. Collection Schema Design</w:t>
      </w:r>
    </w:p>
    <w:p>
      <w:pPr>
        <w:pStyle w:val="Heading3"/>
      </w:pPr>
      <w:r>
        <w:t>7.1 Example: pgx_gene_reference</w:t>
      </w:r>
    </w:p>
    <w:p>
      <w:pPr>
        <w:ind w:left="720"/>
      </w:pPr>
      <w:r>
        <w:rPr>
          <w:rFonts w:ascii="Consolas" w:hAnsi="Consolas"/>
          <w:sz w:val="18"/>
        </w:rPr>
        <w:t>Field Name               Type           Description</w:t>
        <w:br/>
        <w:t>─────────────────────────────────────────────────────────────</w:t>
        <w:br/>
        <w:t>id                       VARCHAR(100)   Gene-allele ID (e.g., CYP2D6_star1)</w:t>
        <w:br/>
        <w:t>embedding                FLOAT_VECTOR   384-dim BGE embedding</w:t>
        <w:br/>
        <w:t>gene                     VARCHAR(50)    Pharmacogene symbol</w:t>
        <w:br/>
        <w:t>star_allele              VARCHAR(50)    Star allele designation</w:t>
        <w:br/>
        <w:t>defining_variants        VARCHAR(1000)  Comma-separated rsIDs</w:t>
        <w:br/>
        <w:t>activity_score           FLOAT          Enzyme activity score</w:t>
        <w:br/>
        <w:t>function_status          VARCHAR(50)    no/decreased/normal/increased function</w:t>
        <w:br/>
        <w:t>allele_frequency_global  FLOAT          Global allele frequency</w:t>
        <w:br/>
        <w:t>allele_frequency_european FLOAT         European population frequency</w:t>
        <w:br/>
        <w:t>allele_frequency_african FLOAT          African population frequency</w:t>
        <w:br/>
        <w:t>allele_frequency_east_asian FLOAT       East Asian population frequency</w:t>
        <w:br/>
        <w:t>text                     VARCHAR(4000)  Embedding source text</w:t>
      </w:r>
    </w:p>
    <w:p>
      <w:pPr>
        <w:pStyle w:val="Heading3"/>
      </w:pPr>
      <w:r>
        <w:t>7.2 Example: pgx_drug_guidelines</w:t>
      </w:r>
    </w:p>
    <w:p>
      <w:pPr>
        <w:ind w:left="720"/>
      </w:pPr>
      <w:r>
        <w:rPr>
          <w:rFonts w:ascii="Consolas" w:hAnsi="Consolas"/>
          <w:sz w:val="18"/>
        </w:rPr>
        <w:t>Field Name        Type           Description</w:t>
        <w:br/>
        <w:t>─────────────────────────────────────────────────────────────</w:t>
        <w:br/>
        <w:t>id                VARCHAR(100)   Guideline ID</w:t>
        <w:br/>
        <w:t>embedding         FLOAT_VECTOR   384-dim BGE embedding</w:t>
        <w:br/>
        <w:t>gene              VARCHAR(50)    Pharmacogene symbol</w:t>
        <w:br/>
        <w:t>drug              VARCHAR(200)   Drug name</w:t>
        <w:br/>
        <w:t>guideline_body    VARCHAR(20)    CPIC, DPWG, FDA, CPNDS</w:t>
        <w:br/>
        <w:t>cpic_level        VARCHAR(10)    A, A/B, B, C, D</w:t>
        <w:br/>
        <w:t>phenotype         VARCHAR(100)   Metabolizer phenotype</w:t>
        <w:br/>
        <w:t>recommendation    VARCHAR(2000)  Prescribing recommendation</w:t>
        <w:br/>
        <w:t>text              VARCHAR(4000)  Embedding source text</w:t>
      </w:r>
    </w:p>
    <w:p>
      <w:pPr>
        <w:pStyle w:val="Heading2"/>
      </w:pPr>
      <w:r>
        <w:t>8. Embedding Strategy</w:t>
      </w:r>
    </w:p>
    <w:p>
      <w:pPr>
        <w:pStyle w:val="Heading3"/>
      </w:pPr>
      <w:r>
        <w:t>8.1 Model Selection</w:t>
      </w:r>
    </w:p>
    <w:p>
      <w:r>
        <w:t>Model: BGE-small-en-v1.5 (BAAI)</w:t>
      </w:r>
    </w:p>
    <w:p>
      <w:pPr>
        <w:pStyle w:val="ListBullet"/>
      </w:pPr>
      <w:r>
        <w:t>Dimensions: 384</w:t>
      </w:r>
    </w:p>
    <w:p>
      <w:pPr>
        <w:pStyle w:val="ListBullet"/>
      </w:pPr>
      <w:r>
        <w:t>Max sequence length: 512 tokens</w:t>
      </w:r>
    </w:p>
    <w:p>
      <w:pPr>
        <w:pStyle w:val="ListBullet"/>
      </w:pPr>
      <w:r>
        <w:t>Size: ~130MB</w:t>
      </w:r>
    </w:p>
    <w:p>
      <w:pPr>
        <w:pStyle w:val="ListBullet"/>
      </w:pPr>
      <w:r>
        <w:t>Selection rationale: Optimal balance of embedding quality and inference speed on DGX Spark. Outperforms larger models on domain-specific retrieval when combined with PGx-optimized embedding text.</w:t>
      </w:r>
    </w:p>
    <w:p>
      <w:pPr>
        <w:pStyle w:val="Heading3"/>
      </w:pPr>
      <w:r>
        <w:t>8.2 Embedding Text Construction</w:t>
      </w:r>
    </w:p>
    <w:p>
      <w:r>
        <w:t>Each collection model implements to_embedding_text() to produce domain-optimized text:</w:t>
      </w:r>
    </w:p>
    <w:p>
      <w:pPr>
        <w:ind w:left="720"/>
      </w:pPr>
      <w:r>
        <w:rPr>
          <w:rFonts w:ascii="Consolas" w:hAnsi="Consolas"/>
          <w:sz w:val="18"/>
        </w:rPr>
        <w:t># pgx_gene_reference example:</w:t>
        <w:br/>
        <w:t>def to_embedding_text(self) -&gt; str:</w:t>
        <w:br/>
        <w:t xml:space="preserve">    return (</w:t>
        <w:br/>
        <w:t xml:space="preserve">        f"Pharmacogene {self.gene} star allele {self.star_allele} "</w:t>
        <w:br/>
        <w:t xml:space="preserve">        f"with {self.function_status} function. "</w:t>
        <w:br/>
        <w:t xml:space="preserve">        f"Activity score: {self.activity_score}. "</w:t>
        <w:br/>
        <w:t xml:space="preserve">        f"Defining variants: {self.defining_variants}."</w:t>
        <w:br/>
        <w:t xml:space="preserve">    )</w:t>
      </w:r>
    </w:p>
    <w:p>
      <w:pPr>
        <w:pStyle w:val="Heading3"/>
      </w:pPr>
      <w:r>
        <w:t>8.3 Query Prefix</w:t>
      </w:r>
    </w:p>
    <w:p>
      <w:r>
        <w:t>BGE retrieval requires a task-specific prefix:</w:t>
      </w:r>
    </w:p>
    <w:p>
      <w:pPr>
        <w:ind w:left="720"/>
      </w:pPr>
      <w:r>
        <w:rPr>
          <w:rFonts w:ascii="Consolas" w:hAnsi="Consolas"/>
          <w:sz w:val="18"/>
        </w:rPr>
        <w:t>"Represent this sentence for searching relevant passages: {query}"</w:t>
      </w:r>
    </w:p>
    <w:p>
      <w:pPr>
        <w:pStyle w:val="Heading2"/>
      </w:pPr>
      <w:r>
        <w:t>9. LLM Integration</w:t>
      </w:r>
    </w:p>
    <w:p>
      <w:pPr>
        <w:pStyle w:val="Heading3"/>
      </w:pPr>
      <w:r>
        <w:t>9.1 Model</w:t>
      </w:r>
    </w:p>
    <w:p>
      <w:r>
        <w:t>Claude Sonnet 4.6 (claude-sonnet-4-6) via Anthropic API.</w:t>
      </w:r>
    </w:p>
    <w:p>
      <w:pPr>
        <w:pStyle w:val="Heading3"/>
      </w:pPr>
      <w:r>
        <w:t>9.2 System Prompt</w:t>
      </w:r>
    </w:p>
    <w:p>
      <w:r>
        <w:t>11 domains of expertise defined in PGX_SYSTEM_PROMPT:</w:t>
      </w:r>
    </w:p>
    <w:p>
      <w:pPr>
        <w:pStyle w:val="ListNumber"/>
      </w:pPr>
      <w:r>
        <w:t>Pharmacogene Interpretation</w:t>
      </w:r>
    </w:p>
    <w:p>
      <w:pPr>
        <w:pStyle w:val="ListNumber"/>
      </w:pPr>
      <w:r>
        <w:t>Drug-Gene Interaction Analysis</w:t>
      </w:r>
    </w:p>
    <w:p>
      <w:pPr>
        <w:pStyle w:val="ListNumber"/>
      </w:pPr>
      <w:r>
        <w:t>Star Allele Nomenclature</w:t>
      </w:r>
    </w:p>
    <w:p>
      <w:pPr>
        <w:pStyle w:val="ListNumber"/>
      </w:pPr>
      <w:r>
        <w:t>Diplotype-to-Phenotype Translation</w:t>
      </w:r>
    </w:p>
    <w:p>
      <w:pPr>
        <w:pStyle w:val="ListNumber"/>
      </w:pPr>
      <w:r>
        <w:t>CPIC/DPWG/FDA Guideline Application</w:t>
      </w:r>
    </w:p>
    <w:p>
      <w:pPr>
        <w:pStyle w:val="ListNumber"/>
      </w:pPr>
      <w:r>
        <w:t>HLA-Mediated Hypersensitivity Screening</w:t>
      </w:r>
    </w:p>
    <w:p>
      <w:pPr>
        <w:pStyle w:val="ListNumber"/>
      </w:pPr>
      <w:r>
        <w:t>Phenoconversion Detection</w:t>
      </w:r>
    </w:p>
    <w:p>
      <w:pPr>
        <w:pStyle w:val="ListNumber"/>
      </w:pPr>
      <w:r>
        <w:t>Multi-Gene Interaction Modeling</w:t>
      </w:r>
    </w:p>
    <w:p>
      <w:pPr>
        <w:pStyle w:val="ListNumber"/>
      </w:pPr>
      <w:r>
        <w:t>Population Pharmacogenetics</w:t>
      </w:r>
    </w:p>
    <w:p>
      <w:pPr>
        <w:pStyle w:val="ListNumber"/>
      </w:pPr>
      <w:r>
        <w:t>Dosing Algorithm Application</w:t>
      </w:r>
    </w:p>
    <w:p>
      <w:pPr>
        <w:pStyle w:val="ListNumber"/>
      </w:pPr>
      <w:r>
        <w:t>Clinical Implementation</w:t>
      </w:r>
    </w:p>
    <w:p>
      <w:pPr>
        <w:pStyle w:val="Heading3"/>
      </w:pPr>
      <w:r>
        <w:t>9.3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Comparative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2,048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>
      <w:pPr>
        <w:pStyle w:val="Heading2"/>
      </w:pPr>
      <w:r>
        <w:t>10. Clinical Pipeline Architecture</w:t>
      </w:r>
    </w:p>
    <w:p>
      <w:pPr>
        <w:pStyle w:val="Heading3"/>
      </w:pPr>
      <w:r>
        <w:t>10.1 Pipeline Composition</w:t>
      </w:r>
    </w:p>
    <w:p>
      <w:pPr>
        <w:ind w:left="720"/>
      </w:pPr>
      <w:r>
        <w:rPr>
          <w:rFonts w:ascii="Consolas" w:hAnsi="Consolas"/>
          <w:sz w:val="18"/>
        </w:rPr>
        <w:t>VCF Input (optional)</w:t>
        <w:br/>
        <w:t xml:space="preserve">     |</w:t>
        <w:br/>
        <w:t xml:space="preserve">     v</w:t>
        <w:br/>
        <w:t>+-------------------+</w:t>
        <w:br/>
        <w:t>| StarAlleleCaller  |  pgx_pipeline.py (1,222 lines)</w:t>
        <w:br/>
        <w:t>| VCF -&gt; diplotypes |</w:t>
        <w:br/>
        <w:t>+--------+----------+</w:t>
        <w:br/>
        <w:t xml:space="preserve">         |</w:t>
        <w:br/>
        <w:t xml:space="preserve">         v</w:t>
        <w:br/>
        <w:t>+-------------------+     +----------------------+</w:t>
        <w:br/>
        <w:t>|PhenotypeTranslator|     |PhenoconversionDetect | phenoconversion.py (494 lines)</w:t>
        <w:br/>
        <w:t>|diplotype -&gt; pheno |     |med list -&gt; adjusted  |</w:t>
        <w:br/>
        <w:t>+--------+----------+     +----------+-----------+</w:t>
        <w:br/>
        <w:t xml:space="preserve">         |                           |</w:t>
        <w:br/>
        <w:t xml:space="preserve">         +-------------+-------------+</w:t>
        <w:br/>
        <w:t xml:space="preserve">                       |</w:t>
        <w:br/>
        <w:t xml:space="preserve">                       v</w:t>
        <w:br/>
        <w:t xml:space="preserve">              +--------+--------+</w:t>
        <w:br/>
        <w:t xml:space="preserve">              |DrugGeneMatcher  |  pgx_pipeline.py</w:t>
        <w:br/>
        <w:t xml:space="preserve">              |profile x meds  |</w:t>
        <w:br/>
        <w:t xml:space="preserve">              |-&gt; PGx alerts    |</w:t>
        <w:br/>
        <w:t xml:space="preserve">              +--------+--------+</w:t>
        <w:br/>
        <w:t xml:space="preserve">                       |</w:t>
        <w:br/>
        <w:t xml:space="preserve">         +-------------+-------------+</w:t>
        <w:br/>
        <w:t xml:space="preserve">         |                           |</w:t>
        <w:br/>
        <w:t xml:space="preserve">         v                           v</w:t>
        <w:br/>
        <w:t>+--------+--------+         +-------+-------+</w:t>
        <w:br/>
        <w:t>|  HLAScreener    |         |DosingCalculator| dosing.py (692 lines)</w:t>
        <w:br/>
        <w:t>|  12 HLA-drug    |         | 4 algorithms   |</w:t>
        <w:br/>
        <w:t>|  associations   |         |                |</w:t>
        <w:br/>
        <w:t>+-----------------+         +----------------+</w:t>
      </w:r>
    </w:p>
    <w:p>
      <w:pPr>
        <w:pStyle w:val="Heading3"/>
      </w:pPr>
      <w:r>
        <w:t>10.2 Alert Severity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UI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CONTRAINDICATED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HLA positive for fatal ADR, PM + contraindicated drug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banner, blocks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PM/UM requiring dose change or drug switch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Orange alert with alternatives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 requiring monitoring or minor adjustment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Yellow advisory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Known interaction with limited clinical impact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Blue informational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INFORMATIONAL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Educational context, population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Grey note</w:t>
            </w:r>
          </w:p>
        </w:tc>
      </w:tr>
    </w:tbl>
    <w:p>
      <w:pPr>
        <w:pStyle w:val="Heading2"/>
      </w:pPr>
      <w:r>
        <w:t>11. Agent Architecture</w:t>
      </w:r>
    </w:p>
    <w:p>
      <w:r>
        <w:t>File: src/agent.py (761 lines)</w:t>
      </w:r>
    </w:p>
    <w:p>
      <w:r>
        <w:t>The PGxIntelligenceAgent implements autonomous reasoning:</w:t>
      </w:r>
    </w:p>
    <w:p>
      <w:pPr>
        <w:ind w:left="720"/>
      </w:pPr>
      <w:r>
        <w:rPr>
          <w:rFonts w:ascii="Consolas" w:hAnsi="Consolas"/>
          <w:sz w:val="18"/>
        </w:rPr>
        <w:t>Question -&gt; search_plan() -&gt; rag.retrieve() -&gt; evaluate_evidence()</w:t>
        <w:br/>
        <w:t xml:space="preserve">                                                     |</w:t>
        <w:br/>
        <w:t xml:space="preserve">                                         sufficient? +--- yes --&gt; rag.query() --&gt; generate_report()</w:t>
        <w:br/>
        <w:t xml:space="preserve">                                                     |</w:t>
        <w:br/>
        <w:t xml:space="preserve">                                                     +--- no  --&gt; sub_questions --&gt; rag.retrieve() (retry)</w:t>
      </w:r>
    </w:p>
    <w:p>
      <w:r>
        <w:t>Workflow detection: The agent identifies 8 PGx workflow types from keyword analysis and activates the corresponding clinical pipeline (star allele calling, phenoconversion, HLA screening, dosing).</w:t>
      </w:r>
    </w:p>
    <w:p>
      <w:pPr>
        <w:pStyle w:val="Heading2"/>
      </w:pPr>
      <w:r>
        <w:t>12. API Layer</w:t>
      </w:r>
    </w:p>
    <w:p>
      <w:pPr>
        <w:pStyle w:val="Heading3"/>
      </w:pPr>
      <w:r>
        <w:t>12.1 FastAPI Application</w:t>
      </w:r>
    </w:p>
    <w:p>
      <w:r>
        <w:t>File: api/main.py (649 lines)</w:t>
      </w:r>
    </w:p>
    <w:p>
      <w:r>
        <w:t>Port: 8107</w:t>
      </w:r>
    </w:p>
    <w:p>
      <w:r>
        <w:t>Architecture:</w:t>
      </w:r>
    </w:p>
    <w:p>
      <w:pPr>
        <w:pStyle w:val="ListBullet"/>
      </w:pPr>
      <w:r>
        <w:t>Lifespan-managed PGxCollectionManager and PGxRAGEngine initialization</w:t>
      </w:r>
    </w:p>
    <w:p>
      <w:pPr>
        <w:pStyle w:val="ListBullet"/>
      </w:pPr>
      <w:r>
        <w:t>CORS middleware for cross-origin access from landing page (:8080) and UI (:8507)</w:t>
      </w:r>
    </w:p>
    <w:p>
      <w:pPr>
        <w:pStyle w:val="ListBullet"/>
      </w:pPr>
      <w:r>
        <w:t>Pydantic request/response validation</w:t>
      </w:r>
    </w:p>
    <w:p>
      <w:pPr>
        <w:pStyle w:val="ListBullet"/>
      </w:pPr>
      <w:r>
        <w:t>Route modules for PGx clinical, reports, and events</w:t>
      </w:r>
    </w:p>
    <w:p>
      <w:pPr>
        <w:pStyle w:val="Heading3"/>
      </w:pPr>
      <w:r>
        <w:t>12.2 Route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 Prefix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`pgx_clinical.py` (803 lines)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`/v1/pgx`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PGx-specific clinical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`reports.py`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`/v1/reports`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`events.py`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`/v1/events`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audit trail</w:t>
            </w:r>
          </w:p>
        </w:tc>
      </w:tr>
    </w:tbl>
    <w:p>
      <w:pPr>
        <w:pStyle w:val="Heading2"/>
      </w:pPr>
      <w:r>
        <w:t>13. UI Layer</w:t>
      </w:r>
    </w:p>
    <w:p>
      <w:r>
        <w:t>File: app/pgx_ui.py (2,138 lines)</w:t>
      </w:r>
    </w:p>
    <w:p>
      <w:r>
        <w:t>Port: 8507</w:t>
      </w:r>
    </w:p>
    <w:p>
      <w:r>
        <w:t>Streamlit application with 10 specialized tabs, NVIDIA dark theme, cached engine initialization, conversation memory, and export buttons.</w:t>
      </w:r>
    </w:p>
    <w:p>
      <w:pPr>
        <w:pStyle w:val="Heading2"/>
      </w:pPr>
      <w:r>
        <w:t>14. Observability</w:t>
      </w:r>
    </w:p>
    <w:p>
      <w:pPr>
        <w:pStyle w:val="Heading3"/>
      </w:pPr>
      <w:r>
        <w:t>14.1 Prometheus Metrics</w:t>
      </w:r>
    </w:p>
    <w:p>
      <w:r>
        <w:t>22 metrics with pgx_ prefix: 10 histograms, 8 counters, 4 gauges. Exposed via /metrics endpoint in Prometheus text format.</w:t>
      </w:r>
    </w:p>
    <w:p>
      <w:pPr>
        <w:pStyle w:val="Heading3"/>
      </w:pPr>
      <w:r>
        <w:t>14.2 Logging</w:t>
      </w:r>
    </w:p>
    <w:p>
      <w:r>
        <w:t>Structured logging via loguru (src modules) and logging (clinical pipeline modules). Log levels: DEBUG for development, INFO for production.</w:t>
      </w:r>
    </w:p>
    <w:p>
      <w:pPr>
        <w:pStyle w:val="Heading3"/>
      </w:pPr>
      <w:r>
        <w:t>14.3 Health Checks</w:t>
      </w:r>
    </w:p>
    <w:p>
      <w:pPr>
        <w:pStyle w:val="ListBullet"/>
      </w:pPr>
      <w:r>
        <w:t>FastAPI: GET /health returns collection status, vector counts, Milvus connectivity</w:t>
      </w:r>
    </w:p>
    <w:p>
      <w:pPr>
        <w:pStyle w:val="ListBullet"/>
      </w:pPr>
      <w:r>
        <w:t>Docker: Health check commands with intervals, timeouts, and retry counts for all services</w:t>
      </w:r>
    </w:p>
    <w:p>
      <w:pPr>
        <w:pStyle w:val="Heading2"/>
      </w:pPr>
      <w:r>
        <w:t>15. Scaling Considerations</w:t>
      </w:r>
    </w:p>
    <w:p>
      <w:pPr>
        <w:pStyle w:val="Heading3"/>
      </w:pPr>
      <w:r>
        <w:t>15.1 Current Design (DGX Spark)</w:t>
      </w:r>
    </w:p>
    <w:p>
      <w:r>
        <w:t>The system is designed for single-node deployment on NVIDIA DGX Spark:</w:t>
      </w:r>
    </w:p>
    <w:p>
      <w:pPr>
        <w:pStyle w:val="ListBullet"/>
      </w:pPr>
      <w:r>
        <w:t>CPU: 20 ARM cores handle parallel collection search and clinical pipeline logic</w:t>
      </w:r>
    </w:p>
    <w:p>
      <w:pPr>
        <w:pStyle w:val="ListBullet"/>
      </w:pPr>
      <w:r>
        <w:t>Memory: 128GB unified LPDDR5x supports Milvus index + embeddings in-memory</w:t>
      </w:r>
    </w:p>
    <w:p>
      <w:pPr>
        <w:pStyle w:val="ListBullet"/>
      </w:pPr>
      <w:r>
        <w:t>GPU: GB10 accelerates BGE embedding generation</w:t>
      </w:r>
    </w:p>
    <w:p>
      <w:pPr>
        <w:pStyle w:val="Heading3"/>
      </w:pPr>
      <w:r>
        <w:t>15.2 Horizontal Scaling Path</w:t>
      </w:r>
    </w:p>
    <w:p>
      <w:r>
        <w:t>For institutional deployment:</w:t>
      </w:r>
    </w:p>
    <w:p>
      <w:pPr>
        <w:pStyle w:val="ListBullet"/>
      </w:pPr>
      <w:r>
        <w:t>Milvus cluster mode: Replace standalone with distributed Milvus (query nodes, data nodes, index nodes)</w:t>
      </w:r>
    </w:p>
    <w:p>
      <w:pPr>
        <w:pStyle w:val="ListBullet"/>
      </w:pPr>
      <w:r>
        <w:t>API replicas: uvicorn workers (currently 2) can scale behind a load balancer</w:t>
      </w:r>
    </w:p>
    <w:p>
      <w:pPr>
        <w:pStyle w:val="ListBullet"/>
      </w:pPr>
      <w:r>
        <w:t>Embedding service: Dedicated GPU-accelerated embedding microservice</w:t>
      </w:r>
    </w:p>
    <w:p>
      <w:pPr>
        <w:pStyle w:val="ListBullet"/>
      </w:pPr>
      <w:r>
        <w:t>LLM gateway: Rate-limited Anthropic API proxy with request queuing</w:t>
      </w:r>
    </w:p>
    <w:p>
      <w:pPr>
        <w:pStyle w:val="Heading3"/>
      </w:pPr>
      <w:r>
        <w:t>15.3 Data Growth</w:t>
      </w:r>
    </w:p>
    <w:p>
      <w:pPr>
        <w:pStyle w:val="ListBullet"/>
      </w:pPr>
      <w:r>
        <w:t>Current seed: 240 records across 14 JSON files</w:t>
      </w:r>
    </w:p>
    <w:p>
      <w:pPr>
        <w:pStyle w:val="ListBullet"/>
      </w:pPr>
      <w:r>
        <w:t>Post-ingest target: Thousands of records per collection (PubMed, PharmGKB, ClinicalTrials.gov)</w:t>
      </w:r>
    </w:p>
    <w:p>
      <w:pPr>
        <w:pStyle w:val="ListBullet"/>
      </w:pPr>
      <w:r>
        <w:t>IVF_FLAT scaling: Efficient up to ~1M vectors per collection; beyond that, consider HNSW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