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Pharmacogenomics Intelligence Agent -- Demo Guide</w:t>
      </w:r>
    </w:p>
    <w:p>
      <w:r>
        <w:t>Version: 1.0.0</w:t>
      </w:r>
    </w:p>
    <w:p>
      <w:r>
        <w:t>Author: Adam Jones</w:t>
      </w:r>
    </w:p>
    <w:p>
      <w:r>
        <w:t>Date: March 2026</w:t>
      </w:r>
    </w:p>
    <w:p>
      <w:r>
        <w:t>License: Apache 2.0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Prerequisites</w:t>
      </w:r>
    </w:p>
    <w:p>
      <w:pPr>
        <w:pStyle w:val="ListNumber"/>
      </w:pPr>
      <w:r>
        <w:t>Starting the System</w:t>
      </w:r>
    </w:p>
    <w:p>
      <w:pPr>
        <w:pStyle w:val="ListNumber"/>
      </w:pPr>
      <w:r>
        <w:t>Verifying Health</w:t>
      </w:r>
    </w:p>
    <w:p>
      <w:pPr>
        <w:pStyle w:val="ListNumber"/>
      </w:pPr>
      <w:r>
        <w:t>Demo Scenarios: 10-Tab Walkthrough</w:t>
      </w:r>
    </w:p>
    <w:p>
      <w:pPr>
        <w:pStyle w:val="ListNumber"/>
      </w:pPr>
      <w:r>
        <w:t>Sample API Queries</w:t>
      </w:r>
    </w:p>
    <w:p>
      <w:pPr>
        <w:pStyle w:val="ListNumber"/>
      </w:pPr>
      <w:r>
        <w:t>Demo Talking Points</w:t>
      </w:r>
    </w:p>
    <w:p>
      <w:pPr>
        <w:pStyle w:val="ListNumber"/>
      </w:pPr>
      <w:r>
        <w:t>Troubleshooting</w:t>
      </w:r>
    </w:p>
    <w:p>
      <w:pPr>
        <w:pStyle w:val="Heading2"/>
      </w:pPr>
      <w:r>
        <w:t>1. Prerequisites</w:t>
      </w:r>
    </w:p>
    <w:p>
      <w:pPr>
        <w:pStyle w:val="Heading3"/>
      </w:pPr>
      <w:r>
        <w:t>Hardware</w:t>
      </w:r>
    </w:p>
    <w:p>
      <w:pPr>
        <w:pStyle w:val="ListBullet"/>
      </w:pPr>
      <w:r>
        <w:t>NVIDIA DGX Spark (recommended) or any system with 16GB+ RAM</w:t>
      </w:r>
    </w:p>
    <w:p>
      <w:pPr>
        <w:pStyle w:val="ListBullet"/>
      </w:pPr>
      <w:r>
        <w:t>GPU optional (accelerates embedding generation)</w:t>
      </w:r>
    </w:p>
    <w:p>
      <w:pPr>
        <w:pStyle w:val="Heading3"/>
      </w:pPr>
      <w:r>
        <w:t>Software</w:t>
      </w:r>
    </w:p>
    <w:p>
      <w:pPr>
        <w:pStyle w:val="ListBullet"/>
      </w:pPr>
      <w:r>
        <w:t>Docker and Docker Compose v2+</w:t>
      </w:r>
    </w:p>
    <w:p>
      <w:pPr>
        <w:pStyle w:val="ListBullet"/>
      </w:pPr>
      <w:r>
        <w:t>Python 3.12+ (for manual setup without Docker)</w:t>
      </w:r>
    </w:p>
    <w:p>
      <w:pPr>
        <w:pStyle w:val="ListBullet"/>
      </w:pPr>
      <w:r>
        <w:t>Anthropic API key with Claude Sonnet 4.6 access</w:t>
      </w:r>
    </w:p>
    <w:p>
      <w:pPr>
        <w:pStyle w:val="Heading3"/>
      </w:pPr>
      <w:r>
        <w:t>Environment Setup</w:t>
      </w:r>
    </w:p>
    <w:p>
      <w:pPr>
        <w:ind w:left="720"/>
      </w:pPr>
      <w:r>
        <w:rPr>
          <w:rFonts w:ascii="Consolas" w:hAnsi="Consolas"/>
          <w:sz w:val="18"/>
        </w:rPr>
        <w:t>cd ai_agent_adds/pharmacogenomics_intelligence_agent</w:t>
        <w:br/>
        <w:br/>
        <w:t># Copy environment template and add your Anthropic API key</w:t>
        <w:br/>
        <w:t>cp .env.example .env</w:t>
        <w:br/>
        <w:t># Edit .env and set ANTHROPIC_API_KEY=sk-ant-...</w:t>
      </w:r>
    </w:p>
    <w:p>
      <w:pPr>
        <w:pStyle w:val="Heading2"/>
      </w:pPr>
      <w:r>
        <w:t>2. Starting the System</w:t>
      </w:r>
    </w:p>
    <w:p>
      <w:pPr>
        <w:pStyle w:val="Heading3"/>
      </w:pPr>
      <w:r>
        <w:t>Option A: Docker Compose (Recommended)</w:t>
      </w:r>
    </w:p>
    <w:p>
      <w:pPr>
        <w:ind w:left="720"/>
      </w:pPr>
      <w:r>
        <w:rPr>
          <w:rFonts w:ascii="Consolas" w:hAnsi="Consolas"/>
          <w:sz w:val="18"/>
        </w:rPr>
        <w:t># Start all 6 services (etcd, MinIO, Milvus, Streamlit, API, setup)</w:t>
        <w:br/>
        <w:t>docker compose up -d</w:t>
        <w:br/>
        <w:br/>
        <w:t># Watch the setup process (creates collections, seeds 240 records)</w:t>
        <w:br/>
        <w:t>docker compose logs -f pgx-setup</w:t>
        <w:br/>
        <w:br/>
        <w:t># Wait for "PGx Setup complete!" message, then verify:</w:t>
        <w:br/>
        <w:t>docker compose ps</w:t>
      </w:r>
    </w:p>
    <w:p>
      <w:r>
        <w:t>Expected output: 5 running services (pgx-setup exits after completion).</w:t>
      </w:r>
    </w:p>
    <w:p>
      <w:pPr>
        <w:pStyle w:val="Heading3"/>
      </w:pPr>
      <w:r>
        <w:t>Option B: Manual Setup</w:t>
      </w:r>
    </w:p>
    <w:p>
      <w:pPr>
        <w:ind w:left="720"/>
      </w:pPr>
      <w:r>
        <w:rPr>
          <w:rFonts w:ascii="Consolas" w:hAnsi="Consolas"/>
          <w:sz w:val="18"/>
        </w:rPr>
        <w:t># 1. Ensure Milvus is running on localhost:19530</w:t>
        <w:br/>
        <w:br/>
        <w:t># 2. Install dependencies</w:t>
        <w:br/>
        <w:t>pip install -r requirements.txt</w:t>
        <w:br/>
        <w:br/>
        <w:t># 3. Create collections and seed data</w:t>
        <w:br/>
        <w:t>python scripts/setup_collections.py --drop-existing --seed</w:t>
        <w:br/>
        <w:t>python scripts/seed_knowledge.py</w:t>
        <w:br/>
        <w:br/>
        <w:t># 4. Start the API server (port 8107)</w:t>
        <w:br/>
        <w:t>uvicorn api.main:app --host 0.0.0.0 --port 8107 &amp;</w:t>
        <w:br/>
        <w:br/>
        <w:t># 5. Start the Streamlit UI (port 8507)</w:t>
        <w:br/>
        <w:t>streamlit run app/pgx_ui.py --server.port 8507</w:t>
      </w:r>
    </w:p>
    <w:p>
      <w:pPr>
        <w:pStyle w:val="Heading2"/>
      </w:pPr>
      <w:r>
        <w:t>3. Verifying Health</w:t>
      </w:r>
    </w:p>
    <w:p>
      <w:pPr>
        <w:pStyle w:val="Heading3"/>
      </w:pPr>
      <w:r>
        <w:t>API Health Check</w:t>
      </w:r>
    </w:p>
    <w:p>
      <w:pPr>
        <w:ind w:left="720"/>
      </w:pPr>
      <w:r>
        <w:rPr>
          <w:rFonts w:ascii="Consolas" w:hAnsi="Consolas"/>
          <w:sz w:val="18"/>
        </w:rPr>
        <w:t>curl http://localhost:8107/health | python -m json.tool</w:t>
      </w:r>
    </w:p>
    <w:p>
      <w:r>
        <w:t>Expected response:</w:t>
      </w:r>
    </w:p>
    <w:p>
      <w:pPr>
        <w:ind w:left="720"/>
      </w:pPr>
      <w:r>
        <w:rPr>
          <w:rFonts w:ascii="Consolas" w:hAnsi="Consolas"/>
          <w:sz w:val="18"/>
        </w:rPr>
        <w:t>{</w:t>
        <w:br/>
        <w:t xml:space="preserve">  "status": "healthy",</w:t>
        <w:br/>
        <w:t xml:space="preserve">  "collections": 15,</w:t>
        <w:br/>
        <w:t xml:space="preserve">  "total_vectors": 240</w:t>
        <w:br/>
        <w:t>}</w:t>
      </w:r>
    </w:p>
    <w:p>
      <w:pPr>
        <w:pStyle w:val="Heading3"/>
      </w:pPr>
      <w:r>
        <w:t>Collection Counts</w:t>
      </w:r>
    </w:p>
    <w:p>
      <w:pPr>
        <w:ind w:left="720"/>
      </w:pPr>
      <w:r>
        <w:rPr>
          <w:rFonts w:ascii="Consolas" w:hAnsi="Consolas"/>
          <w:sz w:val="18"/>
        </w:rPr>
        <w:t>curl http://localhost:8107/collections | python -m json.tool</w:t>
      </w:r>
    </w:p>
    <w:p>
      <w:pPr>
        <w:pStyle w:val="Heading3"/>
      </w:pPr>
      <w:r>
        <w:t>Knowledge Graph Stats</w:t>
      </w:r>
    </w:p>
    <w:p>
      <w:pPr>
        <w:ind w:left="720"/>
      </w:pPr>
      <w:r>
        <w:rPr>
          <w:rFonts w:ascii="Consolas" w:hAnsi="Consolas"/>
          <w:sz w:val="18"/>
        </w:rPr>
        <w:t>curl http://localhost:8107/knowledge/stats | python -m json.tool</w:t>
      </w:r>
    </w:p>
    <w:p>
      <w:r>
        <w:t>Expected: 25 pharmacogenes, 12 drug categories, 15 HLA-drug associations.</w:t>
      </w:r>
    </w:p>
    <w:p>
      <w:pPr>
        <w:pStyle w:val="Heading3"/>
      </w:pPr>
      <w:r>
        <w:t>UI Access</w:t>
      </w:r>
    </w:p>
    <w:p>
      <w:r>
        <w:t>Open http://localhost:8507 in your browser. The sidebar should show all 15 collections with their vector counts.</w:t>
      </w:r>
    </w:p>
    <w:p>
      <w:pPr>
        <w:pStyle w:val="Heading2"/>
      </w:pPr>
      <w:r>
        <w:t>4. Demo Scenarios: 10-Tab Walkthrough</w:t>
      </w:r>
    </w:p>
    <w:p>
      <w:r>
        <w:t>Each scenario maps to one of the 10 Streamlit tabs. Follow these in order for a complete demonstration.</w:t>
      </w:r>
    </w:p>
    <w:p>
      <w:pPr>
        <w:pStyle w:val="Heading3"/>
      </w:pPr>
      <w:r>
        <w:t>Tab 1: Dashboard Overview</w:t>
      </w:r>
    </w:p>
    <w:p>
      <w:r>
        <w:t>Purpose: Show the system's scope and capabilities at a glance.</w:t>
      </w:r>
    </w:p>
    <w:p>
      <w:r>
        <w:t>Walkthrough:</w:t>
      </w:r>
    </w:p>
    <w:p>
      <w:pPr>
        <w:pStyle w:val="ListNumber"/>
      </w:pPr>
      <w:r>
        <w:t>Open the Dashboard tab (selected by default).</w:t>
      </w:r>
    </w:p>
    <w:p>
      <w:pPr>
        <w:pStyle w:val="ListNumber"/>
      </w:pPr>
      <w:r>
        <w:t>Point out the 15 collection stats in the sidebar:</w:t>
      </w:r>
    </w:p>
    <w:p>
      <w:pPr>
        <w:ind w:left="720"/>
      </w:pPr>
      <w:r>
        <w:rPr>
          <w:rFonts w:ascii="Consolas" w:hAnsi="Consolas"/>
          <w:sz w:val="18"/>
        </w:rPr>
        <w:t xml:space="preserve">   +------------------------------------+</w:t>
        <w:br/>
        <w:t xml:space="preserve">   |  SIDEBAR                           |</w:t>
        <w:br/>
        <w:t xml:space="preserve">   |  Connected Collections: 15/15      |</w:t>
        <w:br/>
        <w:t xml:space="preserve">   |  Total Vectors: 240                |</w:t>
        <w:br/>
        <w:t xml:space="preserve">   |                                    |</w:t>
        <w:br/>
        <w:t xml:space="preserve">   |  pgx_gene_reference: 20 vectors   |</w:t>
        <w:br/>
        <w:t xml:space="preserve">   |  pgx_drug_guidelines: 25 vectors  |</w:t>
        <w:br/>
        <w:t xml:space="preserve">   |  pgx_drug_interactions: 18 vectors|</w:t>
        <w:br/>
        <w:t xml:space="preserve">   |  pgx_hla_hypersensitivity: 12 vec |</w:t>
        <w:br/>
        <w:t xml:space="preserve">   |  pgx_phenoconversion: 15 vectors  |</w:t>
        <w:br/>
        <w:t xml:space="preserve">   |  ... (all 15 collections listed)  |</w:t>
        <w:br/>
        <w:t xml:space="preserve">   +------------------------------------+</w:t>
      </w:r>
    </w:p>
    <w:p>
      <w:pPr>
        <w:pStyle w:val="ListNumber"/>
      </w:pPr>
      <w:r>
        <w:t>Show the knowledge graph summary in the main panel:</w:t>
      </w:r>
    </w:p>
    <w:p>
      <w:pPr>
        <w:ind w:left="720"/>
      </w:pPr>
      <w:r>
        <w:rPr>
          <w:rFonts w:ascii="Consolas" w:hAnsi="Consolas"/>
          <w:sz w:val="18"/>
        </w:rPr>
        <w:t xml:space="preserve">   +---------------------------------------------+</w:t>
        <w:br/>
        <w:t xml:space="preserve">   |  PGx INTELLIGENCE AGENT DASHBOARD           |</w:t>
        <w:br/>
        <w:t xml:space="preserve">   |                                              |</w:t>
        <w:br/>
        <w:t xml:space="preserve">   |  Pharmacogenes:  25                          |</w:t>
        <w:br/>
        <w:t xml:space="preserve">   |  Drugs Covered:  100+                        |</w:t>
        <w:br/>
        <w:t xml:space="preserve">   |  Drug Categories: 12                         |</w:t>
        <w:br/>
        <w:t xml:space="preserve">   |  HLA Associations: 15                        |</w:t>
        <w:br/>
        <w:t xml:space="preserve">   |  Dosing Algorithms: 9                        |</w:t>
        <w:br/>
        <w:t xml:space="preserve">   |  Clinical Workflows: 8                       |</w:t>
        <w:br/>
        <w:t xml:space="preserve">   |  Prometheus Metrics: 22                      |</w:t>
        <w:br/>
        <w:t xml:space="preserve">   |                                              |</w:t>
        <w:br/>
        <w:t xml:space="preserve">   |  [Knowledge Graph Explorer]                  |</w:t>
        <w:br/>
        <w:t xml:space="preserve">   |  CYP2D6 | CYP2C19 | CYP2C9 | DPYD | ...   |</w:t>
        <w:br/>
        <w:t xml:space="preserve">   +---------------------------------------------+</w:t>
      </w:r>
    </w:p>
    <w:p>
      <w:pPr>
        <w:pStyle w:val="ListNumber"/>
      </w:pPr>
      <w:r>
        <w:t>Click on a pharmacogene (e.g., CYP2D6) to see its details: chromosome location, key variants, substrate count, CPIC guidelines available.</w:t>
      </w:r>
    </w:p>
    <w:p>
      <w:r>
        <w:t>Talking points:</w:t>
      </w:r>
    </w:p>
    <w:p>
      <w:pPr>
        <w:pStyle w:val="ListBullet"/>
      </w:pPr>
      <w:r>
        <w:t>"This system covers the 25 most clinically actionable pharmacogenes as defined by CPIC."</w:t>
      </w:r>
    </w:p>
    <w:p>
      <w:pPr>
        <w:pStyle w:val="ListBullet"/>
      </w:pPr>
      <w:r>
        <w:t>"All 15 collections are searched in parallel for every query -- response time is under 5 seconds."</w:t>
      </w:r>
    </w:p>
    <w:p>
      <w:pPr>
        <w:pStyle w:val="ListBullet"/>
      </w:pPr>
      <w:r>
        <w:t>"The knowledge graph contains 2,657 lines of structured pharmacogenomic data that augments every response."</w:t>
      </w:r>
    </w:p>
    <w:p>
      <w:pPr>
        <w:pStyle w:val="Heading3"/>
      </w:pPr>
      <w:r>
        <w:t>Tab 2: Single Drug Check</w:t>
      </w:r>
    </w:p>
    <w:p>
      <w:r>
        <w:t>Purpose: Demonstrate PGx-guided prescribing for a single medication.</w:t>
      </w:r>
    </w:p>
    <w:p>
      <w:r>
        <w:t>Walkthrough:</w:t>
      </w:r>
    </w:p>
    <w:p>
      <w:pPr>
        <w:pStyle w:val="ListNumber"/>
      </w:pPr>
      <w:r>
        <w:t>Switch to the Drug Check tab.</w:t>
      </w:r>
    </w:p>
    <w:p>
      <w:pPr>
        <w:pStyle w:val="ListNumber"/>
      </w:pPr>
      <w:r>
        <w:t>Enter the following values:</w:t>
      </w:r>
    </w:p>
    <w:p>
      <w:pPr>
        <w:pStyle w:val="ListBullet"/>
      </w:pPr>
      <w:r>
        <w:t>Drug: codeine</w:t>
      </w:r>
    </w:p>
    <w:p>
      <w:pPr>
        <w:pStyle w:val="ListBullet"/>
      </w:pPr>
      <w:r>
        <w:t>Gene: CYP2D6</w:t>
      </w:r>
    </w:p>
    <w:p>
      <w:pPr>
        <w:pStyle w:val="ListBullet"/>
      </w:pPr>
      <w:r>
        <w:t>Phenotype: poor_metabolizer</w:t>
      </w:r>
    </w:p>
    <w:p>
      <w:pPr>
        <w:pStyle w:val="ListNumber"/>
      </w:pPr>
      <w:r>
        <w:t>Click Check Drug.</w:t>
      </w:r>
    </w:p>
    <w:p>
      <w:pPr>
        <w:pStyle w:val="ListNumber"/>
      </w:pPr>
      <w:r>
        <w:t>Review the response:</w:t>
      </w:r>
    </w:p>
    <w:p>
      <w:pPr>
        <w:ind w:left="720"/>
      </w:pPr>
      <w:r>
        <w:rPr>
          <w:rFonts w:ascii="Consolas" w:hAnsi="Consolas"/>
          <w:sz w:val="18"/>
        </w:rPr>
        <w:t xml:space="preserve">   +---------------------------------------------+</w:t>
        <w:br/>
        <w:t xml:space="preserve">   |  CLINICAL ALERT: CRITICAL                    |</w:t>
        <w:br/>
        <w:t xml:space="preserve">   |  Severity: CONTRAINDICATED                   |</w:t>
        <w:br/>
        <w:t xml:space="preserve">   |                                              |</w:t>
        <w:br/>
        <w:t xml:space="preserve">   |  Codeine is a CYP2D6 prodrug. Poor metab-   |</w:t>
        <w:br/>
        <w:t xml:space="preserve">   |  olizers cannot convert codeine to its       |</w:t>
        <w:br/>
        <w:t xml:space="preserve">   |  active metabolite morphine.                 |</w:t>
        <w:br/>
        <w:t xml:space="preserve">   |                                              |</w:t>
        <w:br/>
        <w:t xml:space="preserve">   |  Recommendation: AVOID codeine.              |</w:t>
        <w:br/>
        <w:t xml:space="preserve">   |  Alternatives:                               |</w:t>
        <w:br/>
        <w:t xml:space="preserve">   |  - Morphine (non-CYP2D6 pathway)            |</w:t>
        <w:br/>
        <w:t xml:space="preserve">   |  - Oxycodone (CYP3A4 primary pathway)       |</w:t>
        <w:br/>
        <w:t xml:space="preserve">   |  - Non-opioid analgesics                    |</w:t>
        <w:br/>
        <w:t xml:space="preserve">   |                                              |</w:t>
        <w:br/>
        <w:t xml:space="preserve">   |  Evidence: CPIC Level A                      |</w:t>
        <w:br/>
        <w:t xml:space="preserve">   |  Reference: Crews et al., CPT 2021          |</w:t>
        <w:br/>
        <w:t xml:space="preserve">   +---------------------------------------------+</w:t>
      </w:r>
    </w:p>
    <w:p>
      <w:r>
        <w:t>Follow-up query: Change phenotype to ultra_rapid_metabolizer:</w:t>
      </w:r>
    </w:p>
    <w:p>
      <w:pPr>
        <w:pStyle w:val="ListBullet"/>
      </w:pPr>
      <w:r>
        <w:t>System warns about excessive morphine production and respiratory depression risk.</w:t>
      </w:r>
    </w:p>
    <w:p>
      <w:pPr>
        <w:pStyle w:val="ListBullet"/>
      </w:pPr>
      <w:r>
        <w:t>Deaths reported in children and breastfeeding infants of UM mothers.</w:t>
      </w:r>
    </w:p>
    <w:p>
      <w:pPr>
        <w:pStyle w:val="ListBullet"/>
      </w:pPr>
      <w:r>
        <w:t>Recommendation: Also AVOID codeine for ultra-rapid metabolizers.</w:t>
      </w:r>
    </w:p>
    <w:p>
      <w:r>
        <w:t>Second follow-up: Try drug = clopidogrel, gene = CYP2C19, phenotype = poor_metabolizer:</w:t>
      </w:r>
    </w:p>
    <w:p>
      <w:pPr>
        <w:pStyle w:val="ListBullet"/>
      </w:pPr>
      <w:r>
        <w:t>System flags FDA Boxed Warning about reduced antiplatelet effect.</w:t>
      </w:r>
    </w:p>
    <w:p>
      <w:pPr>
        <w:pStyle w:val="ListBullet"/>
      </w:pPr>
      <w:r>
        <w:t>Recommends prasugrel or ticagrelor as alternatives.</w:t>
      </w:r>
    </w:p>
    <w:p>
      <w:pPr>
        <w:pStyle w:val="ListBullet"/>
      </w:pPr>
      <w:r>
        <w:t>Notes elevated risk of stent thrombosis and cardiovascular events.</w:t>
      </w:r>
    </w:p>
    <w:p>
      <w:pPr>
        <w:pStyle w:val="Heading3"/>
      </w:pPr>
      <w:r>
        <w:t>Tab 3: Polypharmacy Review</w:t>
      </w:r>
    </w:p>
    <w:p>
      <w:r>
        <w:t>Purpose: Show multi-drug interaction analysis with phenoconversion detection.</w:t>
      </w:r>
    </w:p>
    <w:p>
      <w:r>
        <w:t>Walkthrough:</w:t>
      </w:r>
    </w:p>
    <w:p>
      <w:pPr>
        <w:pStyle w:val="ListNumber"/>
      </w:pPr>
      <w:r>
        <w:t>Switch to the Medication Review tab.</w:t>
      </w:r>
    </w:p>
    <w:p>
      <w:pPr>
        <w:pStyle w:val="ListNumber"/>
      </w:pPr>
      <w:r>
        <w:t>Enter medications (comma-separated): codeine, fluoxetine, omeprazole, simvastatin</w:t>
      </w:r>
    </w:p>
    <w:p>
      <w:pPr>
        <w:pStyle w:val="ListNumber"/>
      </w:pPr>
      <w:r>
        <w:t>Click Review Medications.</w:t>
      </w:r>
    </w:p>
    <w:p>
      <w:pPr>
        <w:pStyle w:val="ListNumber"/>
      </w:pPr>
      <w:r>
        <w:t>Review the interaction analysis:</w:t>
      </w:r>
    </w:p>
    <w:p>
      <w:pPr>
        <w:ind w:left="720"/>
      </w:pPr>
      <w:r>
        <w:rPr>
          <w:rFonts w:ascii="Consolas" w:hAnsi="Consolas"/>
          <w:sz w:val="18"/>
        </w:rPr>
        <w:t xml:space="preserve">   +---------------------------------------------+</w:t>
        <w:br/>
        <w:t xml:space="preserve">   |  MEDICATION REVIEW RESULTS                   |</w:t>
        <w:br/>
        <w:t xml:space="preserve">   |                                              |</w:t>
        <w:br/>
        <w:t xml:space="preserve">   |  PHENOCONVERSION ALERT (CYP2D6):            |</w:t>
        <w:br/>
        <w:t xml:space="preserve">   |  Fluoxetine is a STRONG CYP2D6 inhibitor.   |</w:t>
        <w:br/>
        <w:t xml:space="preserve">   |  Any CYP2D6 Normal/Intermediate metabolizer |</w:t>
        <w:br/>
        <w:t xml:space="preserve">   |  is effectively converted to Poor Metab.    |</w:t>
        <w:br/>
        <w:t xml:space="preserve">   |                                              |</w:t>
        <w:br/>
        <w:t xml:space="preserve">   |  DRUG-DRUG-GENE INTERACTION:                 |</w:t>
        <w:br/>
        <w:t xml:space="preserve">   |  Codeine + Fluoxetine = codeine cannot be   |</w:t>
        <w:br/>
        <w:t xml:space="preserve">   |  activated (CYP2D6 inhibited by fluoxetine) |</w:t>
        <w:br/>
        <w:t xml:space="preserve">   |  Action: Avoid codeine while on fluoxetine  |</w:t>
        <w:br/>
        <w:t xml:space="preserve">   |                                              |</w:t>
        <w:br/>
        <w:t xml:space="preserve">   |  STATIN NOTE:                                |</w:t>
        <w:br/>
        <w:t xml:space="preserve">   |  Simvastatin: Check SLCO1B1 rs4149056       |</w:t>
        <w:br/>
        <w:t xml:space="preserve">   |  status for myopathy risk.                  |</w:t>
        <w:br/>
        <w:t xml:space="preserve">   |                                              |</w:t>
        <w:br/>
        <w:t xml:space="preserve">   |  OMEPRAZOLE NOTE:                            |</w:t>
        <w:br/>
        <w:t xml:space="preserve">   |  CYP2C19 metabolizer status affects PPI     |</w:t>
        <w:br/>
        <w:t xml:space="preserve">   |  efficacy and H. pylori eradication rates.  |</w:t>
        <w:br/>
        <w:t xml:space="preserve">   +---------------------------------------------+</w:t>
      </w:r>
    </w:p>
    <w:p>
      <w:r>
        <w:t>Talking points:</w:t>
      </w:r>
    </w:p>
    <w:p>
      <w:pPr>
        <w:pStyle w:val="ListBullet"/>
      </w:pPr>
      <w:r>
        <w:t>"The system detected that fluoxetine phenoconverts any CYP2D6 metabolizer to a poor metabolizer."</w:t>
      </w:r>
    </w:p>
    <w:p>
      <w:pPr>
        <w:pStyle w:val="ListBullet"/>
      </w:pPr>
      <w:r>
        <w:t>"This is a drug-drug-gene interaction -- something most drug interaction checkers miss entirely."</w:t>
      </w:r>
    </w:p>
    <w:p>
      <w:pPr>
        <w:pStyle w:val="ListBullet"/>
      </w:pPr>
      <w:r>
        <w:t>"Even if this patient has a normal CYP2D6 genotype, the fluoxetine makes them functionally a poor metabolizer for codeine."</w:t>
      </w:r>
    </w:p>
    <w:p>
      <w:pPr>
        <w:pStyle w:val="Heading3"/>
      </w:pPr>
      <w:r>
        <w:t>Tab 4: Warfarin Dosing</w:t>
      </w:r>
    </w:p>
    <w:p>
      <w:r>
        <w:t>Purpose: Demonstrate the IWPC genotype-guided warfarin dosing algorithm.</w:t>
      </w:r>
    </w:p>
    <w:p>
      <w:r>
        <w:t>Walkthrough:</w:t>
      </w:r>
    </w:p>
    <w:p>
      <w:pPr>
        <w:pStyle w:val="ListNumber"/>
      </w:pPr>
      <w:r>
        <w:t>Switch to the Warfarin Dosing tab.</w:t>
      </w:r>
    </w:p>
    <w:p>
      <w:pPr>
        <w:pStyle w:val="ListNumber"/>
      </w:pPr>
      <w:r>
        <w:t>Enter patient parameters:</w:t>
      </w:r>
    </w:p>
    <w:p>
      <w:pPr>
        <w:pStyle w:val="ListBullet"/>
      </w:pPr>
      <w:r>
        <w:t>Age: 65</w:t>
      </w:r>
    </w:p>
    <w:p>
      <w:pPr>
        <w:pStyle w:val="ListBullet"/>
      </w:pPr>
      <w:r>
        <w:t>Height: 170 cm</w:t>
      </w:r>
    </w:p>
    <w:p>
      <w:pPr>
        <w:pStyle w:val="ListBullet"/>
      </w:pPr>
      <w:r>
        <w:t>Weight: 80 kg</w:t>
      </w:r>
    </w:p>
    <w:p>
      <w:pPr>
        <w:pStyle w:val="ListBullet"/>
      </w:pPr>
      <w:r>
        <w:t>Race: Caucasian</w:t>
      </w:r>
    </w:p>
    <w:p>
      <w:pPr>
        <w:pStyle w:val="ListBullet"/>
      </w:pPr>
      <w:r>
        <w:t>CYP2C9: 1/3</w:t>
      </w:r>
    </w:p>
    <w:p>
      <w:pPr>
        <w:pStyle w:val="ListBullet"/>
      </w:pPr>
      <w:r>
        <w:t>VKORC1: A/G</w:t>
      </w:r>
    </w:p>
    <w:p>
      <w:pPr>
        <w:pStyle w:val="ListBullet"/>
      </w:pPr>
      <w:r>
        <w:t>Amiodarone: No</w:t>
      </w:r>
    </w:p>
    <w:p>
      <w:pPr>
        <w:pStyle w:val="ListBullet"/>
      </w:pPr>
      <w:r>
        <w:t>Enzyme inducer: No</w:t>
      </w:r>
    </w:p>
    <w:p>
      <w:pPr>
        <w:pStyle w:val="ListNumber"/>
      </w:pPr>
      <w:r>
        <w:t>Click Calculate Dose.</w:t>
      </w:r>
    </w:p>
    <w:p>
      <w:pPr>
        <w:pStyle w:val="ListNumber"/>
      </w:pPr>
      <w:r>
        <w:t>Review the output:</w:t>
      </w:r>
    </w:p>
    <w:p>
      <w:pPr>
        <w:ind w:left="720"/>
      </w:pPr>
      <w:r>
        <w:rPr>
          <w:rFonts w:ascii="Consolas" w:hAnsi="Consolas"/>
          <w:sz w:val="18"/>
        </w:rPr>
        <w:t xml:space="preserve">   +---------------------------------------------+</w:t>
        <w:br/>
        <w:t xml:space="preserve">   |  IWPC WARFARIN DOSE CALCULATION              |</w:t>
        <w:br/>
        <w:t xml:space="preserve">   |                                              |</w:t>
        <w:br/>
        <w:t xml:space="preserve">   |  Calculated Weekly Dose: 28.4 mg/week       |</w:t>
        <w:br/>
        <w:t xml:space="preserve">   |  Daily Dose Equivalent: 4.1 mg/day          |</w:t>
        <w:br/>
        <w:t xml:space="preserve">   |  Population Average: 35 mg/week             |</w:t>
        <w:br/>
        <w:t xml:space="preserve">   |                                              |</w:t>
        <w:br/>
        <w:t xml:space="preserve">   |  GENOTYPE IMPACT:                            |</w:t>
        <w:br/>
        <w:t xml:space="preserve">   |  CYP2C9 *1/*3: Decreased function allele    |</w:t>
        <w:br/>
        <w:t xml:space="preserve">   |  --&gt; Reduced warfarin clearance              |</w:t>
        <w:br/>
        <w:t xml:space="preserve">   |  --&gt; Lower dose requirement (-19%)           |</w:t>
        <w:br/>
        <w:t xml:space="preserve">   |                                              |</w:t>
        <w:br/>
        <w:t xml:space="preserve">   |  VKORC1 A/G: Intermediate sensitivity        |</w:t>
        <w:br/>
        <w:t xml:space="preserve">   |  --&gt; Moderately increased vitamin K cycle    |</w:t>
        <w:br/>
        <w:t xml:space="preserve">   |     sensitivity --&gt; Lower dose requirement   |</w:t>
        <w:br/>
        <w:t xml:space="preserve">   |                                              |</w:t>
        <w:br/>
        <w:t xml:space="preserve">   |  Reference: Klein et al., NEJM 2009         |</w:t>
        <w:br/>
        <w:t xml:space="preserve">   +---------------------------------------------+</w:t>
      </w:r>
    </w:p>
    <w:p>
      <w:r>
        <w:t>Variant demonstrations:</w:t>
      </w:r>
    </w:p>
    <w:p>
      <w:r>
        <w:t>Try CYP2C9 = 3/3, VKORC1 = A/A:</w:t>
      </w:r>
    </w:p>
    <w:p>
      <w:pPr>
        <w:pStyle w:val="ListBullet"/>
      </w:pPr>
      <w:r>
        <w:t>Dose drops to approximately 10-15 mg/week (extreme low-dose genotype)</w:t>
      </w:r>
    </w:p>
    <w:p>
      <w:pPr>
        <w:pStyle w:val="ListBullet"/>
      </w:pPr>
      <w:r>
        <w:t>System highlights very high over-anticoagulation risk</w:t>
      </w:r>
    </w:p>
    <w:p>
      <w:r>
        <w:t>Try CYP2C9 = 1/1, VKORC1 = G/G, enzyme inducer = Yes:</w:t>
      </w:r>
    </w:p>
    <w:p>
      <w:pPr>
        <w:pStyle w:val="ListBullet"/>
      </w:pPr>
      <w:r>
        <w:t>Dose increases to approximately 45-55 mg/week</w:t>
      </w:r>
    </w:p>
    <w:p>
      <w:pPr>
        <w:pStyle w:val="ListBullet"/>
      </w:pPr>
      <w:r>
        <w:t>System explains enzyme induction increases warfarin clearance</w:t>
      </w:r>
    </w:p>
    <w:p>
      <w:pPr>
        <w:pStyle w:val="Heading3"/>
      </w:pPr>
      <w:r>
        <w:t>Tab 5: Chemotherapy Toxicity Screening</w:t>
      </w:r>
    </w:p>
    <w:p>
      <w:r>
        <w:t>Purpose: Show pre-treatment DPYD screening for fluoropyrimidine chemotherapy.</w:t>
      </w:r>
    </w:p>
    <w:p>
      <w:r>
        <w:t>Walkthrough:</w:t>
      </w:r>
    </w:p>
    <w:p>
      <w:pPr>
        <w:pStyle w:val="ListNumber"/>
      </w:pPr>
      <w:r>
        <w:t>Switch to the Chemo Safety tab.</w:t>
      </w:r>
    </w:p>
    <w:p>
      <w:pPr>
        <w:pStyle w:val="ListNumber"/>
      </w:pPr>
      <w:r>
        <w:t>Enter: Gene = DPYD, Diplotype = 1/2A</w:t>
      </w:r>
    </w:p>
    <w:p>
      <w:pPr>
        <w:pStyle w:val="ListNumber"/>
      </w:pPr>
      <w:r>
        <w:t>Click Screen.</w:t>
      </w:r>
    </w:p>
    <w:p>
      <w:pPr>
        <w:pStyle w:val="ListNumber"/>
      </w:pPr>
      <w:r>
        <w:t>Review the output:</w:t>
      </w:r>
    </w:p>
    <w:p>
      <w:pPr>
        <w:ind w:left="720"/>
      </w:pPr>
      <w:r>
        <w:rPr>
          <w:rFonts w:ascii="Consolas" w:hAnsi="Consolas"/>
          <w:sz w:val="18"/>
        </w:rPr>
        <w:t xml:space="preserve">   +---------------------------------------------+</w:t>
        <w:br/>
        <w:t xml:space="preserve">   |  CHEMOTHERAPY SAFETY SCREEN                  |</w:t>
        <w:br/>
        <w:t xml:space="preserve">   |                                              |</w:t>
        <w:br/>
        <w:t xml:space="preserve">   |  ALERT: MAJOR                                |</w:t>
        <w:br/>
        <w:t xml:space="preserve">   |  DPYD*2A (IVS14+1G&gt;A) is a no-function     |</w:t>
        <w:br/>
        <w:t xml:space="preserve">   |  allele. Heterozygous carriers (*1/*2A)     |</w:t>
        <w:br/>
        <w:t xml:space="preserve">   |  have ~50% reduced DPD enzyme activity.     |</w:t>
        <w:br/>
        <w:t xml:space="preserve">   |                                              |</w:t>
        <w:br/>
        <w:t xml:space="preserve">   |  Activity Score: 1.0                         |</w:t>
        <w:br/>
        <w:t xml:space="preserve">   |  (1.0 normal + 0.0 no-function)             |</w:t>
        <w:br/>
        <w:t xml:space="preserve">   |                                              |</w:t>
        <w:br/>
        <w:t xml:space="preserve">   |  Recommendation: REDUCE 5-fluorouracil or   |</w:t>
        <w:br/>
        <w:t xml:space="preserve">   |  capecitabine dose by 50%.                  |</w:t>
        <w:br/>
        <w:t xml:space="preserve">   |                                              |</w:t>
        <w:br/>
        <w:t xml:space="preserve">   |  Without dose reduction: 73% risk of        |</w:t>
        <w:br/>
        <w:t xml:space="preserve">   |  grade 3+ toxicity (severe mucositis,       |</w:t>
        <w:br/>
        <w:t xml:space="preserve">   |  myelosuppression, hand-foot syndrome).     |</w:t>
        <w:br/>
        <w:t xml:space="preserve">   |                                              |</w:t>
        <w:br/>
        <w:t xml:space="preserve">   |  With 50% dose reduction: 28% risk          |</w:t>
        <w:br/>
        <w:t xml:space="preserve">   |  (comparable to wild-type patients).        |</w:t>
        <w:br/>
        <w:t xml:space="preserve">   |                                              |</w:t>
        <w:br/>
        <w:t xml:space="preserve">   |  Reference: Amstutz et al., CPT 2018        |</w:t>
        <w:br/>
        <w:t xml:space="preserve">   |  Reference: Henricks et al., Lancet Oncol   |</w:t>
        <w:br/>
        <w:t xml:space="preserve">   +---------------------------------------------+</w:t>
      </w:r>
    </w:p>
    <w:p>
      <w:r>
        <w:t>Follow-up: Enter Diplotype = 2A/2A:</w:t>
      </w:r>
    </w:p>
    <w:p>
      <w:pPr>
        <w:pStyle w:val="ListBullet"/>
      </w:pPr>
      <w:r>
        <w:t>System flags as CONTRAINDICATED (activity score 0.0)</w:t>
      </w:r>
    </w:p>
    <w:p>
      <w:pPr>
        <w:pStyle w:val="ListBullet"/>
      </w:pPr>
      <w:r>
        <w:t>Complete DPD deficiency; 10-20% mortality at standard doses</w:t>
      </w:r>
    </w:p>
    <w:p>
      <w:pPr>
        <w:pStyle w:val="ListBullet"/>
      </w:pPr>
      <w:r>
        <w:t>Recommendation: Avoid fluoropyrimidines entirely; use alternative regimens</w:t>
      </w:r>
    </w:p>
    <w:p>
      <w:pPr>
        <w:pStyle w:val="Heading3"/>
      </w:pPr>
      <w:r>
        <w:t>Tab 6: HLA Screening</w:t>
      </w:r>
    </w:p>
    <w:p>
      <w:r>
        <w:t>Purpose: Demonstrate pre-prescription HLA allele screening.</w:t>
      </w:r>
    </w:p>
    <w:p>
      <w:r>
        <w:t>Walkthrough:</w:t>
      </w:r>
    </w:p>
    <w:p>
      <w:pPr>
        <w:pStyle w:val="ListNumber"/>
      </w:pPr>
      <w:r>
        <w:t>Switch to the HLA Screening tab.</w:t>
      </w:r>
    </w:p>
    <w:p>
      <w:pPr>
        <w:pStyle w:val="ListNumber"/>
      </w:pPr>
      <w:r>
        <w:t>Enter: Drug = carbamazepine, HLA typing = HLA-B*15:02 positive</w:t>
      </w:r>
    </w:p>
    <w:p>
      <w:pPr>
        <w:pStyle w:val="ListNumber"/>
      </w:pPr>
      <w:r>
        <w:t>Click Screen.</w:t>
      </w:r>
    </w:p>
    <w:p>
      <w:pPr>
        <w:pStyle w:val="ListNumber"/>
      </w:pPr>
      <w:r>
        <w:t>Review the output:</w:t>
      </w:r>
    </w:p>
    <w:p>
      <w:pPr>
        <w:ind w:left="720"/>
      </w:pPr>
      <w:r>
        <w:rPr>
          <w:rFonts w:ascii="Consolas" w:hAnsi="Consolas"/>
          <w:sz w:val="18"/>
        </w:rPr>
        <w:t xml:space="preserve">   +---------------------------------------------+</w:t>
        <w:br/>
        <w:t xml:space="preserve">   |  HLA SCREENING RESULT                        |</w:t>
        <w:br/>
        <w:t xml:space="preserve">   |                                              |</w:t>
        <w:br/>
        <w:t xml:space="preserve">   |  Status: CONTRAINDICATED                     |</w:t>
        <w:br/>
        <w:t xml:space="preserve">   |  Severity: FATAL/SEVERE                      |</w:t>
        <w:br/>
        <w:t xml:space="preserve">   |                                              |</w:t>
        <w:br/>
        <w:t xml:space="preserve">   |  HLA-B*15:02 positive patients have a        |</w:t>
        <w:br/>
        <w:t xml:space="preserve">   |  10-30% risk of Stevens-Johnson syndrome    |</w:t>
        <w:br/>
        <w:t xml:space="preserve">   |  (SJS) / toxic epidermal necrolysis (TEN)   |</w:t>
        <w:br/>
        <w:t xml:space="preserve">   |  with carbamazepine exposure.               |</w:t>
        <w:br/>
        <w:t xml:space="preserve">   |                                              |</w:t>
        <w:br/>
        <w:t xml:space="preserve">   |  FDA Boxed Warning applies.                  |</w:t>
        <w:br/>
        <w:t xml:space="preserve">   |                                              |</w:t>
        <w:br/>
        <w:t xml:space="preserve">   |  ALTERNATIVES:                               |</w:t>
        <w:br/>
        <w:t xml:space="preserve">   |  - Lamotrigine (with slow titration)        |</w:t>
        <w:br/>
        <w:t xml:space="preserve">   |  - Levetiracetam                            |</w:t>
        <w:br/>
        <w:t xml:space="preserve">   |  - Valproic acid                            |</w:t>
        <w:br/>
        <w:t xml:space="preserve">   |                                              |</w:t>
        <w:br/>
        <w:t xml:space="preserve">   |  POPULATION NOTE:                            |</w:t>
        <w:br/>
        <w:t xml:space="preserve">   |  HLA-B*15:02 prevalence:                    |</w:t>
        <w:br/>
        <w:t xml:space="preserve">   |  Southeast Asian: 2-15%                     |</w:t>
        <w:br/>
        <w:t xml:space="preserve">   |  East Asian: 2-6%                           |</w:t>
        <w:br/>
        <w:t xml:space="preserve">   |  European: &lt; 1%                             |</w:t>
        <w:br/>
        <w:t xml:space="preserve">   |  African: &lt; 1%                              |</w:t>
        <w:br/>
        <w:t xml:space="preserve">   +---------------------------------------------+</w:t>
      </w:r>
    </w:p>
    <w:p>
      <w:r>
        <w:t>Follow-up screens:</w:t>
      </w:r>
    </w:p>
    <w:p>
      <w:r>
        <w:t>Drug = abacavir, HLA = HLA-B*57:01 positive:</w:t>
      </w:r>
    </w:p>
    <w:p>
      <w:pPr>
        <w:pStyle w:val="ListBullet"/>
      </w:pPr>
      <w:r>
        <w:t>Status: CONTRAINDICATED</w:t>
      </w:r>
    </w:p>
    <w:p>
      <w:pPr>
        <w:pStyle w:val="ListBullet"/>
      </w:pPr>
      <w:r>
        <w:t>FDA-mandated testing; hypersensitivity syndrome in 5-8% of carriers</w:t>
      </w:r>
    </w:p>
    <w:p>
      <w:pPr>
        <w:pStyle w:val="ListBullet"/>
      </w:pPr>
      <w:r>
        <w:t>No abacavir prescribing for HLA-B*57:01 positive patients</w:t>
      </w:r>
    </w:p>
    <w:p>
      <w:r>
        <w:t>Drug = allopurinol, HLA = HLA-B*58:01 positive:</w:t>
      </w:r>
    </w:p>
    <w:p>
      <w:pPr>
        <w:pStyle w:val="ListBullet"/>
      </w:pPr>
      <w:r>
        <w:t>Status: CONTRAINDICATED</w:t>
      </w:r>
    </w:p>
    <w:p>
      <w:pPr>
        <w:pStyle w:val="ListBullet"/>
      </w:pPr>
      <w:r>
        <w:t>SJS/TEN risk; more common in Southeast Asian and African populations</w:t>
      </w:r>
    </w:p>
    <w:p>
      <w:pPr>
        <w:pStyle w:val="ListBullet"/>
      </w:pPr>
      <w:r>
        <w:t>Alternative: febuxostat</w:t>
      </w:r>
    </w:p>
    <w:p>
      <w:r>
        <w:t>Drug = carbamazepine, HLA = HLA-B*15:02 negative:</w:t>
      </w:r>
    </w:p>
    <w:p>
      <w:pPr>
        <w:pStyle w:val="ListBullet"/>
      </w:pPr>
      <w:r>
        <w:t>Status: SAFE</w:t>
      </w:r>
    </w:p>
    <w:p>
      <w:pPr>
        <w:pStyle w:val="ListBullet"/>
      </w:pPr>
      <w:r>
        <w:t>Standard prescribing with routine monitoring</w:t>
      </w:r>
    </w:p>
    <w:p>
      <w:pPr>
        <w:pStyle w:val="Heading3"/>
      </w:pPr>
      <w:r>
        <w:t>Tab 7: Report Generation</w:t>
      </w:r>
    </w:p>
    <w:p>
      <w:r>
        <w:t>Purpose: Show clinical report export capabilities.</w:t>
      </w:r>
    </w:p>
    <w:p>
      <w:r>
        <w:t>Walkthrough:</w:t>
      </w:r>
    </w:p>
    <w:p>
      <w:pPr>
        <w:pStyle w:val="ListNumber"/>
      </w:pPr>
      <w:r>
        <w:t>Switch to the Report Generator tab.</w:t>
      </w:r>
    </w:p>
    <w:p>
      <w:pPr>
        <w:pStyle w:val="ListNumber"/>
      </w:pPr>
      <w:r>
        <w:t>Enter query: Complete PGx profile for CYP2D6 1/4, CYP2C19 1/2 patient on codeine, clopidogrel, and omeprazole</w:t>
      </w:r>
    </w:p>
    <w:p>
      <w:pPr>
        <w:pStyle w:val="ListNumber"/>
      </w:pPr>
      <w:r>
        <w:t>Click Generate Report.</w:t>
      </w:r>
    </w:p>
    <w:p>
      <w:pPr>
        <w:pStyle w:val="ListNumber"/>
      </w:pPr>
      <w:r>
        <w:t>Wait for the RAG pipeline to complete (evidence retrieval + LLM synthesis).</w:t>
      </w:r>
    </w:p>
    <w:p>
      <w:pPr>
        <w:pStyle w:val="ListNumber"/>
      </w:pPr>
      <w:r>
        <w:t>Review the generated report, which includes:</w:t>
      </w:r>
    </w:p>
    <w:p>
      <w:pPr>
        <w:pStyle w:val="ListBullet"/>
      </w:pPr>
      <w:r>
        <w:t>Patient pharmacogenomic profile summary</w:t>
      </w:r>
    </w:p>
    <w:p>
      <w:pPr>
        <w:pStyle w:val="ListBullet"/>
      </w:pPr>
      <w:r>
        <w:t>Drug-by-drug PGx analysis with alerts</w:t>
      </w:r>
    </w:p>
    <w:p>
      <w:pPr>
        <w:pStyle w:val="ListBullet"/>
      </w:pPr>
      <w:r>
        <w:t>Dosing recommendations</w:t>
      </w:r>
    </w:p>
    <w:p>
      <w:pPr>
        <w:pStyle w:val="ListBullet"/>
      </w:pPr>
      <w:r>
        <w:t>Evidence citations</w:t>
      </w:r>
    </w:p>
    <w:p>
      <w:pPr>
        <w:pStyle w:val="ListNumber"/>
      </w:pPr>
      <w:r>
        <w:t>Export in each format:</w:t>
      </w:r>
    </w:p>
    <w:p>
      <w:pPr>
        <w:ind w:left="720"/>
      </w:pPr>
      <w:r>
        <w:rPr>
          <w:rFonts w:ascii="Consolas" w:hAnsi="Consolas"/>
          <w:sz w:val="18"/>
        </w:rPr>
        <w:t xml:space="preserve">   +---------------------------------------------+</w:t>
        <w:br/>
        <w:t xml:space="preserve">   |  EXPORT OPTIONS                               |</w:t>
        <w:br/>
        <w:t xml:space="preserve">   |                                              |</w:t>
        <w:br/>
        <w:t xml:space="preserve">   |  [Download Markdown]  Human-readable report  |</w:t>
        <w:br/>
        <w:t xml:space="preserve">   |  [Download JSON]      Machine-readable data  |</w:t>
        <w:br/>
        <w:t xml:space="preserve">   |  [Download PDF]       Styled PGx Passport    |</w:t>
        <w:br/>
        <w:t xml:space="preserve">   |  [Download FHIR R4]   DiagnosticReport       |</w:t>
        <w:br/>
        <w:t xml:space="preserve">   |                       Bundle (LOINC 69548-6) |</w:t>
        <w:br/>
        <w:t xml:space="preserve">   +---------------------------------------------+</w:t>
      </w:r>
    </w:p>
    <w:p>
      <w:r>
        <w:t>Export format details:</w:t>
      </w:r>
    </w:p>
    <w:p>
      <w:pPr>
        <w:pStyle w:val="ListBullet"/>
      </w:pPr>
      <w:r>
        <w:t>Markdown: Alert table with severity color coding, drug interaction matrix, evidence citations with hyperlinks</w:t>
      </w:r>
    </w:p>
    <w:p>
      <w:pPr>
        <w:pStyle w:val="ListBullet"/>
      </w:pPr>
      <w:r>
        <w:t>JSON: Pydantic-serialized response with structured alert objects, evidence scores, and knowledge graph context</w:t>
      </w:r>
    </w:p>
    <w:p>
      <w:pPr>
        <w:pStyle w:val="ListBullet"/>
      </w:pPr>
      <w:r>
        <w:t>PDF: Styled report with header, patient identifier placeholder, PGx Passport format, alert summary table</w:t>
      </w:r>
    </w:p>
    <w:p>
      <w:pPr>
        <w:pStyle w:val="ListBullet"/>
      </w:pPr>
      <w:r>
        <w:t>FHIR R4: DiagnosticReport Bundle containing PGx Observations coded with LOINC 69548-6 (Pharmacogenomic Analysis Report), ready for EHR ingestion</w:t>
      </w:r>
    </w:p>
    <w:p>
      <w:pPr>
        <w:pStyle w:val="Heading3"/>
      </w:pPr>
      <w:r>
        <w:t>Tab 8: Evidence Explorer</w:t>
      </w:r>
    </w:p>
    <w:p>
      <w:r>
        <w:t>Purpose: Browse raw evidence across all 15 collections.</w:t>
      </w:r>
    </w:p>
    <w:p>
      <w:r>
        <w:t>Walkthrough:</w:t>
      </w:r>
    </w:p>
    <w:p>
      <w:pPr>
        <w:pStyle w:val="ListNumber"/>
      </w:pPr>
      <w:r>
        <w:t>Switch to the Evidence Explorer tab.</w:t>
      </w:r>
    </w:p>
    <w:p>
      <w:pPr>
        <w:pStyle w:val="ListNumber"/>
      </w:pPr>
      <w:r>
        <w:t>Enter search: CYP2D6 codeine metabolism</w:t>
      </w:r>
    </w:p>
    <w:p>
      <w:pPr>
        <w:pStyle w:val="ListNumber"/>
      </w:pPr>
      <w:r>
        <w:t>Click Search.</w:t>
      </w:r>
    </w:p>
    <w:p>
      <w:pPr>
        <w:pStyle w:val="ListNumber"/>
      </w:pPr>
      <w:r>
        <w:t>Review evidence grouped by collection:</w:t>
      </w:r>
    </w:p>
    <w:p>
      <w:pPr>
        <w:ind w:left="720"/>
      </w:pPr>
      <w:r>
        <w:rPr>
          <w:rFonts w:ascii="Consolas" w:hAnsi="Consolas"/>
          <w:sz w:val="18"/>
        </w:rPr>
        <w:t xml:space="preserve">   +---------------------------------------------+</w:t>
        <w:br/>
        <w:t xml:space="preserve">   |  EVIDENCE RESULTS (24 hits across 8         |</w:t>
        <w:br/>
        <w:t xml:space="preserve">   |  collections)                                |</w:t>
        <w:br/>
        <w:t xml:space="preserve">   |                                              |</w:t>
        <w:br/>
        <w:t xml:space="preserve">   |  pgx_drug_guidelines (5 hits)               |</w:t>
        <w:br/>
        <w:t xml:space="preserve">   |  [0.89] CPIC Level A: CYP2D6 UM - avoid   |</w:t>
        <w:br/>
        <w:t xml:space="preserve">   |         codeine; risk of morphine toxicity  |</w:t>
        <w:br/>
        <w:t xml:space="preserve">   |  [0.87] CPIC Level A: CYP2D6 PM - avoid   |</w:t>
        <w:br/>
        <w:t xml:space="preserve">   |         codeine; no analgesic effect        |</w:t>
        <w:br/>
        <w:t xml:space="preserve">   |  [0.82] CPIC Level A: CYP2D6 NM - use     |</w:t>
        <w:br/>
        <w:t xml:space="preserve">   |         per standard dosing                 |</w:t>
        <w:br/>
        <w:t xml:space="preserve">   |  ...                                        |</w:t>
        <w:br/>
        <w:t xml:space="preserve">   |                                              |</w:t>
        <w:br/>
        <w:t xml:space="preserve">   |  pgx_drug_interactions (4 hits)             |</w:t>
        <w:br/>
        <w:t xml:space="preserve">   |  [0.85] CYP2D6 activates codeine to        |</w:t>
        <w:br/>
        <w:t xml:space="preserve">   |         morphine; PK: metabolism             |</w:t>
        <w:br/>
        <w:t xml:space="preserve">   |  ...                                        |</w:t>
        <w:br/>
        <w:t xml:space="preserve">   |                                              |</w:t>
        <w:br/>
        <w:t xml:space="preserve">   |  pgx_gene_reference (3 hits)                |</w:t>
        <w:br/>
        <w:t xml:space="preserve">   |  [0.78] CYP2D6*4 - no function -           |</w:t>
        <w:br/>
        <w:t xml:space="preserve">   |         rs3892097 (1846G&gt;A, splice defect)  |</w:t>
        <w:br/>
        <w:t xml:space="preserve">   |  ...                                        |</w:t>
        <w:br/>
        <w:t xml:space="preserve">   +---------------------------------------------+</w:t>
      </w:r>
    </w:p>
    <w:p>
      <w:pPr>
        <w:pStyle w:val="ListNumber"/>
      </w:pPr>
      <w:r>
        <w:t>Use collection-specific filtering in the sidebar to narrow results.</w:t>
      </w:r>
    </w:p>
    <w:p>
      <w:pPr>
        <w:pStyle w:val="ListNumber"/>
      </w:pPr>
      <w:r>
        <w:t>Click citation links to navigate to PubMed/ClinicalTrials.gov sources.</w:t>
      </w:r>
    </w:p>
    <w:p>
      <w:r>
        <w:t>Talking points:</w:t>
      </w:r>
    </w:p>
    <w:p>
      <w:pPr>
        <w:pStyle w:val="ListBullet"/>
      </w:pPr>
      <w:r>
        <w:t>"Every piece of evidence has a relevance score based on cosine similarity weighted by collection importance."</w:t>
      </w:r>
    </w:p>
    <w:p>
      <w:pPr>
        <w:pStyle w:val="ListBullet"/>
      </w:pPr>
      <w:r>
        <w:t>"High relevance (&gt;= 0.75) citations are shown in green, medium (&gt;= 0.60) in yellow, and low (&lt; 0.60) in grey."</w:t>
      </w:r>
    </w:p>
    <w:p>
      <w:pPr>
        <w:pStyle w:val="ListBullet"/>
      </w:pPr>
      <w:r>
        <w:t>"You can filter by collection to see only drug guidelines, only clinical trials, or any combination."</w:t>
      </w:r>
    </w:p>
    <w:p>
      <w:pPr>
        <w:pStyle w:val="Heading3"/>
      </w:pPr>
      <w:r>
        <w:t>Tab 9: Phenoconversion Modeler</w:t>
      </w:r>
    </w:p>
    <w:p>
      <w:r>
        <w:t>Purpose: Interactive visualization of how concomitant medications alter metabolizer phenotype.</w:t>
      </w:r>
    </w:p>
    <w:p>
      <w:r>
        <w:t>Walkthrough:</w:t>
      </w:r>
    </w:p>
    <w:p>
      <w:pPr>
        <w:pStyle w:val="ListNumber"/>
      </w:pPr>
      <w:r>
        <w:t>Switch to the Phenoconversion Modeler tab.</w:t>
      </w:r>
    </w:p>
    <w:p>
      <w:pPr>
        <w:pStyle w:val="ListNumber"/>
      </w:pPr>
      <w:r>
        <w:t>Set genetic phenotype: CYP2D6 = Normal Metabolizer</w:t>
      </w:r>
    </w:p>
    <w:p>
      <w:pPr>
        <w:pStyle w:val="ListNumber"/>
      </w:pPr>
      <w:r>
        <w:t>Add medications one at a time and observe the phenotype shift:</w:t>
      </w:r>
    </w:p>
    <w:p>
      <w:r>
        <w:t>Step 1: No medications</w:t>
      </w:r>
    </w:p>
    <w:p>
      <w:pPr>
        <w:ind w:left="720"/>
      </w:pPr>
      <w:r>
        <w:rPr>
          <w:rFonts w:ascii="Consolas" w:hAnsi="Consolas"/>
          <w:sz w:val="18"/>
        </w:rPr>
        <w:t>Genetic Phenotype:   CYP2D6 Normal Metabolizer (AS = 2.0)</w:t>
        <w:br/>
        <w:t>Effective Phenotype: CYP2D6 Normal Metabolizer (AS = 2.0)</w:t>
        <w:br/>
        <w:t>Shift: None</w:t>
      </w:r>
    </w:p>
    <w:p>
      <w:r>
        <w:t>Step 2: Add fluoxetine</w:t>
      </w:r>
    </w:p>
    <w:p>
      <w:pPr>
        <w:ind w:left="720"/>
      </w:pPr>
      <w:r>
        <w:rPr>
          <w:rFonts w:ascii="Consolas" w:hAnsi="Consolas"/>
          <w:sz w:val="18"/>
        </w:rPr>
        <w:t>Genetic Phenotype:   CYP2D6 Normal Metabolizer (AS = 2.0)</w:t>
        <w:br/>
        <w:t>Medications:         fluoxetine (STRONG CYP2D6 inhibitor)</w:t>
        <w:br/>
        <w:t>Effective Phenotype: CYP2D6 Poor Metabolizer</w:t>
        <w:br/>
        <w:t>Shift: NM --&gt; PM (strong inhibition)</w:t>
      </w:r>
    </w:p>
    <w:p>
      <w:r>
        <w:t>Step 3: Add bupropion</w:t>
      </w:r>
    </w:p>
    <w:p>
      <w:pPr>
        <w:ind w:left="720"/>
      </w:pPr>
      <w:r>
        <w:rPr>
          <w:rFonts w:ascii="Consolas" w:hAnsi="Consolas"/>
          <w:sz w:val="18"/>
        </w:rPr>
        <w:t>Genetic Phenotype:   CYP2D6 Normal Metabolizer (AS = 2.0)</w:t>
        <w:br/>
        <w:t>Medications:         fluoxetine (STRONG), bupropion (STRONG)</w:t>
        <w:br/>
        <w:t>Effective Phenotype: CYP2D6 Poor Metabolizer</w:t>
        <w:br/>
        <w:t>Shift: Still PM (additional strong inhibitor does not worsen PM status)</w:t>
        <w:br/>
        <w:t>Note: Multiple strong inhibitors confirm the phenoconversion</w:t>
      </w:r>
    </w:p>
    <w:p>
      <w:r>
        <w:t>Step 4: Remove fluoxetine, keep bupropion</w:t>
      </w:r>
    </w:p>
    <w:p>
      <w:pPr>
        <w:ind w:left="720"/>
      </w:pPr>
      <w:r>
        <w:rPr>
          <w:rFonts w:ascii="Consolas" w:hAnsi="Consolas"/>
          <w:sz w:val="18"/>
        </w:rPr>
        <w:t>Genetic Phenotype:   CYP2D6 Normal Metabolizer (AS = 2.0)</w:t>
        <w:br/>
        <w:t>Medications:         bupropion (STRONG CYP2D6 inhibitor)</w:t>
        <w:br/>
        <w:t>Effective Phenotype: CYP2D6 Poor Metabolizer</w:t>
        <w:br/>
        <w:t>Shift: NM --&gt; PM (bupropion alone is sufficient)</w:t>
      </w:r>
    </w:p>
    <w:p>
      <w:r>
        <w:t>Step 5: Change to moderate inhibitor</w:t>
      </w:r>
    </w:p>
    <w:p>
      <w:pPr>
        <w:ind w:left="720"/>
      </w:pPr>
      <w:r>
        <w:rPr>
          <w:rFonts w:ascii="Consolas" w:hAnsi="Consolas"/>
          <w:sz w:val="18"/>
        </w:rPr>
        <w:t>Genetic Phenotype:   CYP2D6 Normal Metabolizer (AS = 2.0)</w:t>
        <w:br/>
        <w:t>Medications:         duloxetine (MODERATE CYP2D6 inhibitor)</w:t>
        <w:br/>
        <w:t>Effective Phenotype: CYP2D6 Intermediate Metabolizer</w:t>
        <w:br/>
        <w:t>Shift: NM --&gt; IM (moderate inhibition)</w:t>
      </w:r>
    </w:p>
    <w:p>
      <w:r>
        <w:t>Multi-enzyme demonstration: Show that a single medication can affect multiple CYP enzymes. Enter fluvoxamine:</w:t>
      </w:r>
    </w:p>
    <w:p>
      <w:pPr>
        <w:pStyle w:val="ListBullet"/>
      </w:pPr>
      <w:r>
        <w:t>CYP2C19: Strong inhibitor (NM --&gt; PM)</w:t>
      </w:r>
    </w:p>
    <w:p>
      <w:pPr>
        <w:pStyle w:val="ListBullet"/>
      </w:pPr>
      <w:r>
        <w:t>CYP1A2: Strong inhibitor (NM --&gt; PM)</w:t>
      </w:r>
    </w:p>
    <w:p>
      <w:pPr>
        <w:pStyle w:val="ListBullet"/>
      </w:pPr>
      <w:r>
        <w:t>CYP2C9: Moderate inhibitor (NM --&gt; IM)</w:t>
      </w:r>
    </w:p>
    <w:p>
      <w:pPr>
        <w:pStyle w:val="ListBullet"/>
      </w:pPr>
      <w:r>
        <w:t>Three enzymes affected by one drug</w:t>
      </w:r>
    </w:p>
    <w:p>
      <w:pPr>
        <w:pStyle w:val="Heading3"/>
      </w:pPr>
      <w:r>
        <w:t>Tab 10: Population Analytics</w:t>
      </w:r>
    </w:p>
    <w:p>
      <w:r>
        <w:t>Purpose: Show population-specific allele frequency comparisons.</w:t>
      </w:r>
    </w:p>
    <w:p>
      <w:r>
        <w:t>Walkthrough:</w:t>
      </w:r>
    </w:p>
    <w:p>
      <w:pPr>
        <w:pStyle w:val="ListNumber"/>
      </w:pPr>
      <w:r>
        <w:t>Switch to the Population Analytics tab.</w:t>
      </w:r>
    </w:p>
    <w:p>
      <w:pPr>
        <w:pStyle w:val="ListNumber"/>
      </w:pPr>
      <w:r>
        <w:t>Select gene: CYP2D6</w:t>
      </w:r>
    </w:p>
    <w:p>
      <w:pPr>
        <w:pStyle w:val="ListNumber"/>
      </w:pPr>
      <w:r>
        <w:t>View the population comparison:</w:t>
      </w:r>
    </w:p>
    <w:p>
      <w:pPr>
        <w:ind w:left="720"/>
      </w:pPr>
      <w:r>
        <w:rPr>
          <w:rFonts w:ascii="Consolas" w:hAnsi="Consolas"/>
          <w:sz w:val="18"/>
        </w:rPr>
        <w:t xml:space="preserve">   +---------------------------------------------+</w:t>
        <w:br/>
        <w:t xml:space="preserve">   |  CYP2D6 ALLELE FREQUENCIES BY POPULATION    |</w:t>
        <w:br/>
        <w:t xml:space="preserve">   |                                              |</w:t>
        <w:br/>
        <w:t xml:space="preserve">   |  Allele    EUR    EAS    AFR    SAS    AMR  |</w:t>
        <w:br/>
        <w:t xml:space="preserve">   |  *1 (NF)  35%    25%    35%    40%    35%  |</w:t>
        <w:br/>
        <w:t xml:space="preserve">   |  *2 (NF)  25%    10%    15%    20%    20%  |</w:t>
        <w:br/>
        <w:t xml:space="preserve">   |  *4 (NoF) 22%    1%     3%     8%     10%  |</w:t>
        <w:br/>
        <w:t xml:space="preserve">   |  *5 (NoF)  3%    6%     5%     3%     4%  |</w:t>
        <w:br/>
        <w:t xml:space="preserve">   |  *10 (DF)  2%    40%    4%     5%     5%  |</w:t>
        <w:br/>
        <w:t xml:space="preserve">   |  *17 (DF) &lt;1%   &lt;1%    25%    &lt;1%    &lt;1%  |</w:t>
        <w:br/>
        <w:t xml:space="preserve">   |  *41 (DF)  8%    3%    10%    15%    10%  |</w:t>
        <w:br/>
        <w:t xml:space="preserve">   |                                              |</w:t>
        <w:br/>
        <w:t xml:space="preserve">   |  NF=Normal Function, NoF=No Function,       |</w:t>
        <w:br/>
        <w:t xml:space="preserve">   |  DF=Decreased Function                      |</w:t>
        <w:br/>
        <w:t xml:space="preserve">   |                                              |</w:t>
        <w:br/>
        <w:t xml:space="preserve">   |  METABOLIZER PHENOTYPE DISTRIBUTION:         |</w:t>
        <w:br/>
        <w:t xml:space="preserve">   |  UM:  EUR 1-2% | EAS &lt;1%  | AFR 2-5%       |</w:t>
        <w:br/>
        <w:t xml:space="preserve">   |  NM:  EUR 70%  | EAS 55%  | AFR 65%        |</w:t>
        <w:br/>
        <w:t xml:space="preserve">   |  IM:  EUR 12%  | EAS 35%  | AFR 25%        |</w:t>
        <w:br/>
        <w:t xml:space="preserve">   |  PM:  EUR 7%   | EAS 1%   | AFR 3%         |</w:t>
        <w:br/>
        <w:t xml:space="preserve">   +---------------------------------------------+</w:t>
      </w:r>
    </w:p>
    <w:p>
      <w:pPr>
        <w:pStyle w:val="ListNumber"/>
      </w:pPr>
      <w:r>
        <w:t>Highlight key observations:</w:t>
      </w:r>
    </w:p>
    <w:p>
      <w:pPr>
        <w:pStyle w:val="ListBullet"/>
      </w:pPr>
      <w:r>
        <w:t>CYP2D6*10 is the most common decreased-function allele in East Asian populations (~40%) but rare in Europeans (~2%).</w:t>
      </w:r>
    </w:p>
    <w:p>
      <w:pPr>
        <w:pStyle w:val="ListBullet"/>
      </w:pPr>
      <w:r>
        <w:t>CYP2D6*4 is the most common no-function allele in Europeans (~22%) but rare in East Asians (~1%).</w:t>
      </w:r>
    </w:p>
    <w:p>
      <w:pPr>
        <w:pStyle w:val="ListBullet"/>
      </w:pPr>
      <w:r>
        <w:t>CYP2D6*17 is common in African populations (~25%) but rare elsewhere.</w:t>
      </w:r>
    </w:p>
    <w:p>
      <w:pPr>
        <w:pStyle w:val="ListNumber"/>
      </w:pPr>
      <w:r>
        <w:t>Switch to gene CYP2C19 and show:</w:t>
      </w:r>
    </w:p>
    <w:p>
      <w:pPr>
        <w:pStyle w:val="ListBullet"/>
      </w:pPr>
      <w:r>
        <w:t>*2 (no function): 25-35% in East Asian vs 12-15% in European</w:t>
      </w:r>
    </w:p>
    <w:p>
      <w:pPr>
        <w:pStyle w:val="ListBullet"/>
      </w:pPr>
      <w:r>
        <w:t>This explains why CYP2C19 poor metabolizer prevalence is 15-20% in East Asian populations vs 2-5% in European populations.</w:t>
      </w:r>
    </w:p>
    <w:p>
      <w:r>
        <w:t>Talking points:</w:t>
      </w:r>
    </w:p>
    <w:p>
      <w:pPr>
        <w:pStyle w:val="ListBullet"/>
      </w:pPr>
      <w:r>
        <w:t>"PGx testing panels developed primarily for European populations may miss clinically important alleles in other populations."</w:t>
      </w:r>
    </w:p>
    <w:p>
      <w:pPr>
        <w:pStyle w:val="ListBullet"/>
      </w:pPr>
      <w:r>
        <w:t>"CYP2D617 was not characterized until long after 4 and *5, despite being the most common decreased-function allele in African populations."</w:t>
      </w:r>
    </w:p>
    <w:p>
      <w:pPr>
        <w:pStyle w:val="ListBullet"/>
      </w:pPr>
      <w:r>
        <w:t>"Health equity requires population-aware PGx testing that includes alleles relevant to all ancestries."</w:t>
      </w:r>
    </w:p>
    <w:p>
      <w:pPr>
        <w:pStyle w:val="Heading2"/>
      </w:pPr>
      <w:r>
        <w:t>5. Sample API Queries</w:t>
      </w:r>
    </w:p>
    <w:p>
      <w:pPr>
        <w:pStyle w:val="Heading3"/>
      </w:pPr>
      <w:r>
        <w:t>5.1 Health and Status Endpoints</w:t>
      </w:r>
    </w:p>
    <w:p>
      <w:pPr>
        <w:ind w:left="720"/>
      </w:pPr>
      <w:r>
        <w:rPr>
          <w:rFonts w:ascii="Consolas" w:hAnsi="Consolas"/>
          <w:sz w:val="18"/>
        </w:rPr>
        <w:t># Health check</w:t>
        <w:br/>
        <w:t>curl http://localhost:8107/health | python -m json.tool</w:t>
        <w:br/>
        <w:br/>
        <w:t># Collection inventory</w:t>
        <w:br/>
        <w:t>curl http://localhost:8107/collections | python -m json.tool</w:t>
        <w:br/>
        <w:br/>
        <w:t># Knowledge graph statistics</w:t>
        <w:br/>
        <w:t>curl http://localhost:8107/knowledge/stats | python -m json.tool</w:t>
        <w:br/>
        <w:br/>
        <w:t># Prometheus metrics</w:t>
        <w:br/>
        <w:t>curl http://localhost:8107/metrics</w:t>
      </w:r>
    </w:p>
    <w:p>
      <w:pPr>
        <w:pStyle w:val="Heading3"/>
      </w:pPr>
      <w:r>
        <w:t>5.2 Full RAG Query</w:t>
      </w:r>
    </w:p>
    <w:p>
      <w:pPr>
        <w:ind w:left="720"/>
      </w:pPr>
      <w:r>
        <w:rPr>
          <w:rFonts w:ascii="Consolas" w:hAnsi="Consolas"/>
          <w:sz w:val="18"/>
        </w:rPr>
        <w:t>curl -X POST http://localhost:8107/query \</w:t>
        <w:br/>
        <w:t xml:space="preserve">  -H "Content-Type: application/json" \</w:t>
        <w:br/>
        <w:t xml:space="preserve">  -d '{"question": "What are the CYP2D6 implications for codeine prescribing?"}'</w:t>
      </w:r>
    </w:p>
    <w:p>
      <w:pPr>
        <w:pStyle w:val="Heading3"/>
      </w:pPr>
      <w:r>
        <w:t>5.3 Evidence-Only Search (No LLM)</w:t>
      </w:r>
    </w:p>
    <w:p>
      <w:pPr>
        <w:ind w:left="720"/>
      </w:pPr>
      <w:r>
        <w:rPr>
          <w:rFonts w:ascii="Consolas" w:hAnsi="Consolas"/>
          <w:sz w:val="18"/>
        </w:rPr>
        <w:t>curl -X POST http://localhost:8107/search \</w:t>
        <w:br/>
        <w:t xml:space="preserve">  -H "Content-Type: application/json" \</w:t>
        <w:br/>
        <w:t xml:space="preserve">  -d '{"question": "warfarin CYP2C9 VKORC1 dosing"}'</w:t>
      </w:r>
    </w:p>
    <w:p>
      <w:pPr>
        <w:pStyle w:val="Heading3"/>
      </w:pPr>
      <w:r>
        <w:t>5.4 Cross-Collection Entity Search</w:t>
      </w:r>
    </w:p>
    <w:p>
      <w:pPr>
        <w:ind w:left="720"/>
      </w:pPr>
      <w:r>
        <w:rPr>
          <w:rFonts w:ascii="Consolas" w:hAnsi="Consolas"/>
          <w:sz w:val="18"/>
        </w:rPr>
        <w:t>curl -X POST http://localhost:8107/find-related \</w:t>
        <w:br/>
        <w:t xml:space="preserve">  -H "Content-Type: application/json" \</w:t>
        <w:br/>
        <w:t xml:space="preserve">  -d '{"entity": "CYP2D6"}'</w:t>
      </w:r>
    </w:p>
    <w:p>
      <w:pPr>
        <w:pStyle w:val="Heading3"/>
      </w:pPr>
      <w:r>
        <w:t>5.5 Single Drug PGx Check</w:t>
      </w:r>
    </w:p>
    <w:p>
      <w:pPr>
        <w:ind w:left="720"/>
      </w:pPr>
      <w:r>
        <w:rPr>
          <w:rFonts w:ascii="Consolas" w:hAnsi="Consolas"/>
          <w:sz w:val="18"/>
        </w:rPr>
        <w:t># Codeine + CYP2D6 Poor Metabolizer</w:t>
        <w:br/>
        <w:t>curl -X POST http://localhost:8107/v1/pgx/drug-check \</w:t>
        <w:br/>
        <w:t xml:space="preserve">  -H "Content-Type: application/json" \</w:t>
        <w:br/>
        <w:t xml:space="preserve">  -d '{"drug": "codeine", "gene": "CYP2D6", "phenotype": "poor_metabolizer"}'</w:t>
        <w:br/>
        <w:br/>
        <w:t># Clopidogrel + CYP2C19 Poor Metabolizer</w:t>
        <w:br/>
        <w:t>curl -X POST http://localhost:8107/v1/pgx/drug-check \</w:t>
        <w:br/>
        <w:t xml:space="preserve">  -H "Content-Type: application/json" \</w:t>
        <w:br/>
        <w:t xml:space="preserve">  -d '{"drug": "clopidogrel", "gene": "CYP2C19", "phenotype": "poor_metabolizer"}'</w:t>
        <w:br/>
        <w:br/>
        <w:t># Simvastatin + SLCO1B1 Decreased Function</w:t>
        <w:br/>
        <w:t>curl -X POST http://localhost:8107/v1/pgx/drug-check \</w:t>
        <w:br/>
        <w:t xml:space="preserve">  -H "Content-Type: application/json" \</w:t>
        <w:br/>
        <w:t xml:space="preserve">  -d '{"drug": "simvastatin", "gene": "SLCO1B1", "phenotype": "decreased_function"}'</w:t>
        <w:br/>
        <w:br/>
        <w:t># Tamoxifen + CYP2D6 Intermediate Metabolizer</w:t>
        <w:br/>
        <w:t>curl -X POST http://localhost:8107/v1/pgx/drug-check \</w:t>
        <w:br/>
        <w:t xml:space="preserve">  -H "Content-Type: application/json" \</w:t>
        <w:br/>
        <w:t xml:space="preserve">  -d '{"drug": "tamoxifen", "gene": "CYP2D6", "phenotype": "intermediate_metabolizer"}'</w:t>
      </w:r>
    </w:p>
    <w:p>
      <w:pPr>
        <w:pStyle w:val="Heading3"/>
      </w:pPr>
      <w:r>
        <w:t>5.6 Polypharmacy Medication Review</w:t>
      </w:r>
    </w:p>
    <w:p>
      <w:pPr>
        <w:ind w:left="720"/>
      </w:pPr>
      <w:r>
        <w:rPr>
          <w:rFonts w:ascii="Consolas" w:hAnsi="Consolas"/>
          <w:sz w:val="18"/>
        </w:rPr>
        <w:t>curl -X POST http://localhost:8107/v1/pgx/medication-review \</w:t>
        <w:br/>
        <w:t xml:space="preserve">  -H "Content-Type: application/json" \</w:t>
        <w:br/>
        <w:t xml:space="preserve">  -d '{"medications": ["codeine", "fluoxetine", "omeprazole", "simvastatin"]}'</w:t>
      </w:r>
    </w:p>
    <w:p>
      <w:pPr>
        <w:pStyle w:val="Heading3"/>
      </w:pPr>
      <w:r>
        <w:t>5.7 IWPC Warfarin Dosing</w:t>
      </w:r>
    </w:p>
    <w:p>
      <w:pPr>
        <w:ind w:left="720"/>
      </w:pPr>
      <w:r>
        <w:rPr>
          <w:rFonts w:ascii="Consolas" w:hAnsi="Consolas"/>
          <w:sz w:val="18"/>
        </w:rPr>
        <w:t># Standard patient</w:t>
        <w:br/>
        <w:t>curl -X POST http://localhost:8107/v1/pgx/dosing/warfarin \</w:t>
        <w:br/>
        <w:t xml:space="preserve">  -H "Content-Type: application/json" \</w:t>
        <w:br/>
        <w:t xml:space="preserve">  -d '{</w:t>
        <w:br/>
        <w:t xml:space="preserve">    "age": 65,</w:t>
        <w:br/>
        <w:t xml:space="preserve">    "height_cm": 170,</w:t>
        <w:br/>
        <w:t xml:space="preserve">    "weight_kg": 80,</w:t>
        <w:br/>
        <w:t xml:space="preserve">    "race": "caucasian",</w:t>
        <w:br/>
        <w:t xml:space="preserve">    "cyp2c9_genotype": "*1/*3",</w:t>
        <w:br/>
        <w:t xml:space="preserve">    "vkorc1_genotype": "A/G",</w:t>
        <w:br/>
        <w:t xml:space="preserve">    "amiodarone": false,</w:t>
        <w:br/>
        <w:t xml:space="preserve">    "enzyme_inducer": false</w:t>
        <w:br/>
        <w:t xml:space="preserve">  }'</w:t>
        <w:br/>
        <w:br/>
        <w:t># Extreme low-dose genotype</w:t>
        <w:br/>
        <w:t>curl -X POST http://localhost:8107/v1/pgx/dosing/warfarin \</w:t>
        <w:br/>
        <w:t xml:space="preserve">  -H "Content-Type: application/json" \</w:t>
        <w:br/>
        <w:t xml:space="preserve">  -d '{</w:t>
        <w:br/>
        <w:t xml:space="preserve">    "age": 75,</w:t>
        <w:br/>
        <w:t xml:space="preserve">    "height_cm": 160,</w:t>
        <w:br/>
        <w:t xml:space="preserve">    "weight_kg": 65,</w:t>
        <w:br/>
        <w:t xml:space="preserve">    "race": "asian",</w:t>
        <w:br/>
        <w:t xml:space="preserve">    "cyp2c9_genotype": "*3/*3",</w:t>
        <w:br/>
        <w:t xml:space="preserve">    "vkorc1_genotype": "A/A",</w:t>
        <w:br/>
        <w:t xml:space="preserve">    "amiodarone": true,</w:t>
        <w:br/>
        <w:t xml:space="preserve">    "enzyme_inducer": false</w:t>
        <w:br/>
        <w:t xml:space="preserve">  }'</w:t>
        <w:br/>
        <w:br/>
        <w:t># High-dose genotype with enzyme inducer</w:t>
        <w:br/>
        <w:t>curl -X POST http://localhost:8107/v1/pgx/dosing/warfarin \</w:t>
        <w:br/>
        <w:t xml:space="preserve">  -H "Content-Type: application/json" \</w:t>
        <w:br/>
        <w:t xml:space="preserve">  -d '{</w:t>
        <w:br/>
        <w:t xml:space="preserve">    "age": 45,</w:t>
        <w:br/>
        <w:t xml:space="preserve">    "height_cm": 185,</w:t>
        <w:br/>
        <w:t xml:space="preserve">    "weight_kg": 95,</w:t>
        <w:br/>
        <w:t xml:space="preserve">    "race": "black",</w:t>
        <w:br/>
        <w:t xml:space="preserve">    "cyp2c9_genotype": "*1/*1",</w:t>
        <w:br/>
        <w:t xml:space="preserve">    "vkorc1_genotype": "G/G",</w:t>
        <w:br/>
        <w:t xml:space="preserve">    "amiodarone": false,</w:t>
        <w:br/>
        <w:t xml:space="preserve">    "enzyme_inducer": true</w:t>
        <w:br/>
        <w:t xml:space="preserve">  }'</w:t>
      </w:r>
    </w:p>
    <w:p>
      <w:pPr>
        <w:pStyle w:val="Heading3"/>
      </w:pPr>
      <w:r>
        <w:t>5.8 HLA Screening</w:t>
      </w:r>
    </w:p>
    <w:p>
      <w:pPr>
        <w:ind w:left="720"/>
      </w:pPr>
      <w:r>
        <w:rPr>
          <w:rFonts w:ascii="Consolas" w:hAnsi="Consolas"/>
          <w:sz w:val="18"/>
        </w:rPr>
        <w:t># Abacavir + HLA-B*57:01</w:t>
        <w:br/>
        <w:t>curl -X POST http://localhost:8107/v1/pgx/hla-screen \</w:t>
        <w:br/>
        <w:t xml:space="preserve">  -H "Content-Type: application/json" \</w:t>
        <w:br/>
        <w:t xml:space="preserve">  -d '{"drug": "abacavir", "hla_alleles": ["HLA-B*57:01"]}'</w:t>
        <w:br/>
        <w:br/>
        <w:t># Carbamazepine + HLA-B*15:02</w:t>
        <w:br/>
        <w:t>curl -X POST http://localhost:8107/v1/pgx/hla-screen \</w:t>
        <w:br/>
        <w:t xml:space="preserve">  -H "Content-Type: application/json" \</w:t>
        <w:br/>
        <w:t xml:space="preserve">  -d '{"drug": "carbamazepine", "hla_alleles": ["HLA-B*15:02"]}'</w:t>
        <w:br/>
        <w:br/>
        <w:t># Allopurinol + HLA-B*58:01</w:t>
        <w:br/>
        <w:t>curl -X POST http://localhost:8107/v1/pgx/hla-screen \</w:t>
        <w:br/>
        <w:t xml:space="preserve">  -H "Content-Type: application/json" \</w:t>
        <w:br/>
        <w:t xml:space="preserve">  -d '{"drug": "allopurinol", "hla_alleles": ["HLA-B*58:01"]}'</w:t>
        <w:br/>
        <w:br/>
        <w:t># Carbamazepine with NEGATIVE HLA (safe result)</w:t>
        <w:br/>
        <w:t>curl -X POST http://localhost:8107/v1/pgx/hla-screen \</w:t>
        <w:br/>
        <w:t xml:space="preserve">  -H "Content-Type: application/json" \</w:t>
        <w:br/>
        <w:t xml:space="preserve">  -d '{"drug": "carbamazepine", "hla_alleles": []}'</w:t>
      </w:r>
    </w:p>
    <w:p>
      <w:pPr>
        <w:pStyle w:val="Heading3"/>
      </w:pPr>
      <w:r>
        <w:t>5.9 Phenoconversion Analysis</w:t>
      </w:r>
    </w:p>
    <w:p>
      <w:pPr>
        <w:ind w:left="720"/>
      </w:pPr>
      <w:r>
        <w:rPr>
          <w:rFonts w:ascii="Consolas" w:hAnsi="Consolas"/>
          <w:sz w:val="18"/>
        </w:rPr>
        <w:t>curl -X POST http://localhost:8107/v1/pgx/phenoconversion \</w:t>
        <w:br/>
        <w:t xml:space="preserve">  -H "Content-Type: application/json" \</w:t>
        <w:br/>
        <w:t xml:space="preserve">  -d '{</w:t>
        <w:br/>
        <w:t xml:space="preserve">    "baseline_phenotype": "normal_metabolizer",</w:t>
        <w:br/>
        <w:t xml:space="preserve">    "enzyme": "CYP2D6",</w:t>
        <w:br/>
        <w:t xml:space="preserve">    "concomitant_drugs": ["fluoxetine", "omeprazole"]</w:t>
        <w:br/>
        <w:t xml:space="preserve">  }'</w:t>
      </w:r>
    </w:p>
    <w:p>
      <w:pPr>
        <w:pStyle w:val="Heading3"/>
      </w:pPr>
      <w:r>
        <w:t>5.10 Gene Reference Lookup</w:t>
      </w:r>
    </w:p>
    <w:p>
      <w:pPr>
        <w:ind w:left="720"/>
      </w:pPr>
      <w:r>
        <w:rPr>
          <w:rFonts w:ascii="Consolas" w:hAnsi="Consolas"/>
          <w:sz w:val="18"/>
        </w:rPr>
        <w:t># List all pharmacogenes</w:t>
        <w:br/>
        <w:t>curl http://localhost:8107/v1/pgx/genes | python -m json.tool</w:t>
      </w:r>
    </w:p>
    <w:p>
      <w:pPr>
        <w:pStyle w:val="Heading3"/>
      </w:pPr>
      <w:r>
        <w:t>5.11 Drug Guideline Lookup</w:t>
      </w:r>
    </w:p>
    <w:p>
      <w:pPr>
        <w:ind w:left="720"/>
      </w:pPr>
      <w:r>
        <w:rPr>
          <w:rFonts w:ascii="Consolas" w:hAnsi="Consolas"/>
          <w:sz w:val="18"/>
        </w:rPr>
        <w:t># List all drugs with PGx guidelines</w:t>
        <w:br/>
        <w:t>curl http://localhost:8107/v1/pgx/drugs | python -m json.tool</w:t>
      </w:r>
    </w:p>
    <w:p>
      <w:pPr>
        <w:pStyle w:val="Heading2"/>
      </w:pPr>
      <w:r>
        <w:t>6. Demo Talking Points</w:t>
      </w:r>
    </w:p>
    <w:p>
      <w:pPr>
        <w:pStyle w:val="Heading3"/>
      </w:pPr>
      <w:r>
        <w:t>Opening Statement</w:t>
      </w:r>
    </w:p>
    <w:p>
      <w:r>
        <w:t>"The Pharmacogenomics Intelligence Agent translates genetic data into actionable drug prescribing recommendations. It integrates 15 specialized knowledge collections, 9 validated dosing algorithms, and a 25-pharmacogene knowledge graph into a single conversational interface -- all running on a single NVIDIA DGX Spark."</w:t>
      </w:r>
    </w:p>
    <w:p>
      <w:pPr>
        <w:pStyle w:val="Heading3"/>
      </w:pPr>
      <w:r>
        <w:t>Key Messages by Audience</w:t>
      </w:r>
    </w:p>
    <w:p>
      <w:r>
        <w:t>For clinicians:</w:t>
      </w:r>
    </w:p>
    <w:p>
      <w:pPr>
        <w:pStyle w:val="ListBullet"/>
      </w:pPr>
      <w:r>
        <w:t>"This system checks for drug-drug-gene interactions that standard drug interaction checkers miss."</w:t>
      </w:r>
    </w:p>
    <w:p>
      <w:pPr>
        <w:pStyle w:val="ListBullet"/>
      </w:pPr>
      <w:r>
        <w:t>"Every recommendation traces to a CPIC guideline, FDA label, or peer-reviewed publication."</w:t>
      </w:r>
    </w:p>
    <w:p>
      <w:pPr>
        <w:pStyle w:val="ListBullet"/>
      </w:pPr>
      <w:r>
        <w:t>"The warfarin dosing calculator implements the exact IWPC algorithm from Klein et al., NEJM 2009."</w:t>
      </w:r>
    </w:p>
    <w:p>
      <w:pPr>
        <w:pStyle w:val="ListBullet"/>
      </w:pPr>
      <w:r>
        <w:t>"HLA screening prevents life-threatening hypersensitivity reactions like Stevens-Johnson syndrome."</w:t>
      </w:r>
    </w:p>
    <w:p>
      <w:r>
        <w:t>For pharmacists:</w:t>
      </w:r>
    </w:p>
    <w:p>
      <w:pPr>
        <w:pStyle w:val="ListBullet"/>
      </w:pPr>
      <w:r>
        <w:t>"Phenoconversion modeling shows how concomitant medications change effective metabolizer status."</w:t>
      </w:r>
    </w:p>
    <w:p>
      <w:pPr>
        <w:pStyle w:val="ListBullet"/>
      </w:pPr>
      <w:r>
        <w:t>"The system covers 30+ CYP inhibitors and inducers classified by FDA potency."</w:t>
      </w:r>
    </w:p>
    <w:p>
      <w:pPr>
        <w:pStyle w:val="ListBullet"/>
      </w:pPr>
      <w:r>
        <w:t>"Multi-drug reviews identify interactions that emerge only when the full medication list is analyzed together."</w:t>
      </w:r>
    </w:p>
    <w:p>
      <w:r>
        <w:t>For IT/technical audiences:</w:t>
      </w:r>
    </w:p>
    <w:p>
      <w:pPr>
        <w:pStyle w:val="ListBullet"/>
      </w:pPr>
      <w:r>
        <w:t>"The multi-collection RAG architecture uses 15 Milvus vector collections with weighted search."</w:t>
      </w:r>
    </w:p>
    <w:p>
      <w:pPr>
        <w:pStyle w:val="ListBullet"/>
      </w:pPr>
      <w:r>
        <w:t>"Parallel search across all 15 collections completes in under 1 second."</w:t>
      </w:r>
    </w:p>
    <w:p>
      <w:pPr>
        <w:pStyle w:val="ListBullet"/>
      </w:pPr>
      <w:r>
        <w:t>"The system includes 1,001 tests covering all clinical logic, with 100% pass rate."</w:t>
      </w:r>
    </w:p>
    <w:p>
      <w:pPr>
        <w:pStyle w:val="ListBullet"/>
      </w:pPr>
      <w:r>
        <w:t>"FHIR R4 export supports EHR integration via DiagnosticReport Bundles."</w:t>
      </w:r>
    </w:p>
    <w:p>
      <w:r>
        <w:t>For executives/administrators:</w:t>
      </w:r>
    </w:p>
    <w:p>
      <w:pPr>
        <w:pStyle w:val="ListBullet"/>
      </w:pPr>
      <w:r>
        <w:t>"Adverse drug reactions cost $528 billion per year globally. PGx-guided prescribing reduces ADRs by 30% (PREPARE study, Lancet 2023)."</w:t>
      </w:r>
    </w:p>
    <w:p>
      <w:pPr>
        <w:pStyle w:val="ListBullet"/>
      </w:pPr>
      <w:r>
        <w:t>"The system runs on a single workstation -- no cloud infrastructure or per-patient licensing fees."</w:t>
      </w:r>
    </w:p>
    <w:p>
      <w:pPr>
        <w:pStyle w:val="ListBullet"/>
      </w:pPr>
      <w:r>
        <w:t>"Open-source with 23,049 lines of Python, zero proprietary dependencies."</w:t>
      </w:r>
    </w:p>
    <w:p>
      <w:pPr>
        <w:pStyle w:val="Heading3"/>
      </w:pPr>
      <w:r>
        <w:t>Differentiators vs. Competitors</w:t>
      </w:r>
    </w:p>
    <w:p>
      <w:pPr>
        <w:pStyle w:val="ListBullet"/>
      </w:pPr>
      <w:r>
        <w:t>"Unlike OneOme or GeneSight, our algorithms are open-source and transparent."</w:t>
      </w:r>
    </w:p>
    <w:p>
      <w:pPr>
        <w:pStyle w:val="ListBullet"/>
      </w:pPr>
      <w:r>
        <w:t>"Unlike PharmCAT, we provide a conversational interface with LLM-powered synthesis."</w:t>
      </w:r>
    </w:p>
    <w:p>
      <w:pPr>
        <w:pStyle w:val="ListBullet"/>
      </w:pPr>
      <w:r>
        <w:t>"We are the only system that integrates phenoconversion modeling, HLA screening, dosing algorithms, and RAG-based evidence retrieval in a single platform."</w:t>
      </w:r>
    </w:p>
    <w:p>
      <w:pPr>
        <w:pStyle w:val="Heading2"/>
      </w:pPr>
      <w:r>
        <w:t>7. Troubleshooting</w:t>
      </w:r>
    </w:p>
    <w:p>
      <w:pPr>
        <w:pStyle w:val="Heading3"/>
      </w:pPr>
      <w:r>
        <w:t>Milvus Connection Failed</w:t>
      </w:r>
    </w:p>
    <w:p>
      <w:pPr>
        <w:ind w:left="720"/>
      </w:pPr>
      <w:r>
        <w:rPr>
          <w:rFonts w:ascii="Consolas" w:hAnsi="Consolas"/>
          <w:sz w:val="18"/>
        </w:rPr>
        <w:t>Error: Cannot connect to Milvus at localhost:19530</w:t>
      </w:r>
    </w:p>
    <w:p>
      <w:r>
        <w:t>Fix: Ensure Milvus is running and healthy:</w:t>
      </w:r>
    </w:p>
    <w:p>
      <w:pPr>
        <w:ind w:left="720"/>
      </w:pPr>
      <w:r>
        <w:rPr>
          <w:rFonts w:ascii="Consolas" w:hAnsi="Consolas"/>
          <w:sz w:val="18"/>
        </w:rPr>
        <w:t>docker compose ps milvus-standalone</w:t>
        <w:br/>
        <w:t>docker compose logs milvus-standalone | tail -20</w:t>
        <w:br/>
        <w:br/>
        <w:t># If Milvus is not running:</w:t>
        <w:br/>
        <w:t>docker compose up -d milvus-standalone</w:t>
        <w:br/>
        <w:br/>
        <w:t># Wait for health check to pass:</w:t>
        <w:br/>
        <w:t>curl http://localhost:9091/healthz</w:t>
      </w:r>
    </w:p>
    <w:p>
      <w:pPr>
        <w:pStyle w:val="Heading3"/>
      </w:pPr>
      <w:r>
        <w:t>No Collections Found</w:t>
      </w:r>
    </w:p>
    <w:p>
      <w:pPr>
        <w:ind w:left="720"/>
      </w:pPr>
      <w:r>
        <w:rPr>
          <w:rFonts w:ascii="Consolas" w:hAnsi="Consolas"/>
          <w:sz w:val="18"/>
        </w:rPr>
        <w:t>Error: 0 collections connected</w:t>
      </w:r>
    </w:p>
    <w:p>
      <w:r>
        <w:t>Fix: Run the setup script:</w:t>
      </w:r>
    </w:p>
    <w:p>
      <w:pPr>
        <w:ind w:left="720"/>
      </w:pPr>
      <w:r>
        <w:rPr>
          <w:rFonts w:ascii="Consolas" w:hAnsi="Consolas"/>
          <w:sz w:val="18"/>
        </w:rPr>
        <w:t>docker compose run --rm pgx-setup</w:t>
        <w:br/>
        <w:t># or manually:</w:t>
        <w:br/>
        <w:t>python scripts/setup_collections.py --drop-existing --seed</w:t>
      </w:r>
    </w:p>
    <w:p>
      <w:pPr>
        <w:pStyle w:val="Heading3"/>
      </w:pPr>
      <w:r>
        <w:t>LLM API Errors</w:t>
      </w:r>
    </w:p>
    <w:p>
      <w:pPr>
        <w:ind w:left="720"/>
      </w:pPr>
      <w:r>
        <w:rPr>
          <w:rFonts w:ascii="Consolas" w:hAnsi="Consolas"/>
          <w:sz w:val="18"/>
        </w:rPr>
        <w:t>Error: Anthropic API key not found</w:t>
      </w:r>
    </w:p>
    <w:p>
      <w:r>
        <w:t>Fix: Ensure ANTHROPIC_API_KEY is set:</w:t>
      </w:r>
    </w:p>
    <w:p>
      <w:pPr>
        <w:ind w:left="720"/>
      </w:pPr>
      <w:r>
        <w:rPr>
          <w:rFonts w:ascii="Consolas" w:hAnsi="Consolas"/>
          <w:sz w:val="18"/>
        </w:rPr>
        <w:t>echo $ANTHROPIC_API_KEY  # Should show sk-ant-...</w:t>
        <w:br/>
        <w:t># or add to .env file</w:t>
      </w:r>
    </w:p>
    <w:p>
      <w:pPr>
        <w:ind w:left="720"/>
      </w:pPr>
      <w:r>
        <w:rPr>
          <w:rFonts w:ascii="Consolas" w:hAnsi="Consolas"/>
          <w:sz w:val="18"/>
        </w:rPr>
        <w:t>Error: Anthropic API rate limit exceeded</w:t>
      </w:r>
    </w:p>
    <w:p>
      <w:r>
        <w:t>Fix: Wait 60 seconds and retry. For sustained use, check your Anthropic API usage tier and consider upgrading. Reduce concurrent queries if running multiple demo sessions.</w:t>
      </w:r>
    </w:p>
    <w:p>
      <w:pPr>
        <w:pStyle w:val="Heading3"/>
      </w:pPr>
      <w:r>
        <w:t>Streamlit Not Loading</w:t>
      </w:r>
    </w:p>
    <w:p>
      <w:pPr>
        <w:ind w:left="720"/>
      </w:pPr>
      <w:r>
        <w:rPr>
          <w:rFonts w:ascii="Consolas" w:hAnsi="Consolas"/>
          <w:sz w:val="18"/>
        </w:rPr>
        <w:t>Error: ModuleNotFoundError</w:t>
      </w:r>
    </w:p>
    <w:p>
      <w:r>
        <w:t>Fix: Ensure project root is on PYTHONPATH:</w:t>
      </w:r>
    </w:p>
    <w:p>
      <w:pPr>
        <w:ind w:left="720"/>
      </w:pPr>
      <w:r>
        <w:rPr>
          <w:rFonts w:ascii="Consolas" w:hAnsi="Consolas"/>
          <w:sz w:val="18"/>
        </w:rPr>
        <w:t>export PYTHONPATH=/path/to/pharmacogenomics_intelligence_agent:$PYTHONPATH</w:t>
        <w:br/>
        <w:t>streamlit run app/pgx_ui.py --server.port 8507</w:t>
      </w:r>
    </w:p>
    <w:p>
      <w:pPr>
        <w:pStyle w:val="Heading3"/>
      </w:pPr>
      <w:r>
        <w:t>Slow Query Response</w:t>
      </w:r>
    </w:p>
    <w:p>
      <w:r>
        <w:t>If queries take longer than 5 seconds:</w:t>
      </w:r>
    </w:p>
    <w:p>
      <w:pPr>
        <w:pStyle w:val="ListNumber"/>
      </w:pPr>
      <w:r>
        <w:t>Check Milvus memory usage: docker stats pgx-milvus-standalone</w:t>
      </w:r>
    </w:p>
    <w:p>
      <w:pPr>
        <w:pStyle w:val="ListNumber"/>
      </w:pPr>
      <w:r>
        <w:t>Verify index is loaded: Check /health endpoint for collection status</w:t>
      </w:r>
    </w:p>
    <w:p>
      <w:pPr>
        <w:pStyle w:val="ListNumber"/>
      </w:pPr>
      <w:r>
        <w:t>Reduce TOP_K_PER_COLLECTION from 5 to 3 for faster results</w:t>
      </w:r>
    </w:p>
    <w:p>
      <w:pPr>
        <w:pStyle w:val="ListNumber"/>
      </w:pPr>
      <w:r>
        <w:t>Check LLM API latency in Prometheus metrics: curl http://localhost:8107/metrics | grep llm_api_latency</w:t>
      </w:r>
    </w:p>
    <w:p>
      <w:pPr>
        <w:pStyle w:val="Heading3"/>
      </w:pPr>
      <w:r>
        <w:t>Empty or Low-Quality Responses</w:t>
      </w:r>
    </w:p>
    <w:p>
      <w:r>
        <w:t>If the LLM response seems thin or generic:</w:t>
      </w:r>
    </w:p>
    <w:p>
      <w:pPr>
        <w:pStyle w:val="ListNumber"/>
      </w:pPr>
      <w:r>
        <w:t>Verify collections have data: curl http://localhost:8107/collections | python -m json.tool</w:t>
      </w:r>
    </w:p>
    <w:p>
      <w:pPr>
        <w:pStyle w:val="ListNumber"/>
      </w:pPr>
      <w:r>
        <w:t>Check that seed data was loaded: total vectors should be 240</w:t>
      </w:r>
    </w:p>
    <w:p>
      <w:pPr>
        <w:pStyle w:val="ListNumber"/>
      </w:pPr>
      <w:r>
        <w:t>Try a more specific query (include gene name, drug name, and phenotype)</w:t>
      </w:r>
    </w:p>
    <w:p>
      <w:pPr>
        <w:pStyle w:val="ListNumber"/>
      </w:pPr>
      <w:r>
        <w:t>Check the Evidence Explorer tab to see what evidence is being retrieved</w:t>
      </w:r>
    </w:p>
    <w:p>
      <w:pPr>
        <w:pStyle w:val="Heading3"/>
      </w:pPr>
      <w:r>
        <w:t>Port Conflicts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Port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Resolution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8507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Streamlit UI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Set `PGX_STREAMLIT_PORT` to alternate port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8107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FastAPI 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Set `PGX_API_PORT` to alternate port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19530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Milvus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Set `PGX_MILVUS_PORT` to alternate port</w:t>
            </w:r>
          </w:p>
        </w:tc>
      </w:tr>
    </w:tbl>
    <w:p>
      <w:pPr>
        <w:pStyle w:val="Heading3"/>
      </w:pPr>
      <w:r>
        <w:t>Docker Resource Issues</w:t>
      </w:r>
    </w:p>
    <w:p>
      <w:pPr>
        <w:ind w:left="720"/>
      </w:pPr>
      <w:r>
        <w:rPr>
          <w:rFonts w:ascii="Consolas" w:hAnsi="Consolas"/>
          <w:sz w:val="18"/>
        </w:rPr>
        <w:t>Error: Container killed by OOM</w:t>
      </w:r>
    </w:p>
    <w:p>
      <w:r>
        <w:t>Fix: Increase Docker memory limit:</w:t>
      </w:r>
    </w:p>
    <w:p>
      <w:pPr>
        <w:ind w:left="720"/>
      </w:pPr>
      <w:r>
        <w:rPr>
          <w:rFonts w:ascii="Consolas" w:hAnsi="Consolas"/>
          <w:sz w:val="18"/>
        </w:rPr>
        <w:t># Check current Docker resource limits</w:t>
        <w:br/>
        <w:t>docker info | grep -i memory</w:t>
        <w:br/>
        <w:br/>
        <w:t># For Docker Desktop, increase memory in Settings &gt; Resources</w:t>
        <w:br/>
        <w:t># For Linux, check /etc/docker/daemon.json or systemd configuration</w:t>
      </w:r>
    </w:p>
    <w:p>
      <w:pPr>
        <w:pStyle w:val="Heading3"/>
      </w:pPr>
      <w:r>
        <w:t>Demo Reset</w:t>
      </w:r>
    </w:p>
    <w:p>
      <w:r>
        <w:t>To reset the system to a clean demo state:</w:t>
      </w:r>
    </w:p>
    <w:p>
      <w:pPr>
        <w:ind w:left="720"/>
      </w:pPr>
      <w:r>
        <w:rPr>
          <w:rFonts w:ascii="Consolas" w:hAnsi="Consolas"/>
          <w:sz w:val="18"/>
        </w:rPr>
        <w:t># Stop everything and remove data</w:t>
        <w:br/>
        <w:t>docker compose down -v</w:t>
        <w:br/>
        <w:br/>
        <w:t># Restart fresh</w:t>
        <w:br/>
        <w:t>docker compose up -d</w:t>
        <w:br/>
        <w:br/>
        <w:t># Wait for setup</w:t>
        <w:br/>
        <w:t>docker compose logs -f pgx-setup</w:t>
      </w:r>
    </w:p>
    <w:p>
      <w:r>
        <w:t>This will recreate all 15 collections and re-seed all 240 records. Total reset time: approximately 2 minutes.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