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Learning Guide: Advanced Topics</w:t>
      </w:r>
    </w:p>
    <w:p>
      <w:r>
        <w:t>Version: 1.0.0</w:t>
      </w:r>
    </w:p>
    <w:p>
      <w:r>
        <w:t>Author: Adam Jones</w:t>
      </w:r>
    </w:p>
    <w:p>
      <w:r>
        <w:t>Date: March 2026</w:t>
      </w:r>
    </w:p>
    <w:p>
      <w:r>
        <w:t>License: Apache 2.0</w:t>
      </w:r>
    </w:p>
    <w:p>
      <w:pPr>
        <w:pStyle w:val="Heading2"/>
      </w:pPr>
      <w:r>
        <w:t>Table of Contents</w:t>
      </w:r>
    </w:p>
    <w:p>
      <w:pPr>
        <w:pStyle w:val="ListNumber"/>
      </w:pPr>
      <w:r>
        <w:t>Phenoconversion Modeling</w:t>
      </w:r>
    </w:p>
    <w:p>
      <w:pPr>
        <w:pStyle w:val="ListNumber"/>
      </w:pPr>
      <w:r>
        <w:t>Multi-Gene Interactions</w:t>
      </w:r>
    </w:p>
    <w:p>
      <w:pPr>
        <w:pStyle w:val="ListNumber"/>
      </w:pPr>
      <w:r>
        <w:t>The IWPC Warfarin Algorithm</w:t>
      </w:r>
    </w:p>
    <w:p>
      <w:pPr>
        <w:pStyle w:val="ListNumber"/>
      </w:pPr>
      <w:r>
        <w:t>DPYD and Fluoropyrimidine Toxicity</w:t>
      </w:r>
    </w:p>
    <w:p>
      <w:pPr>
        <w:pStyle w:val="ListNumber"/>
      </w:pPr>
      <w:r>
        <w:t>TPMT and NUDT15 Combined Dosing</w:t>
      </w:r>
    </w:p>
    <w:p>
      <w:pPr>
        <w:pStyle w:val="ListNumber"/>
      </w:pPr>
      <w:r>
        <w:t>HLA Pharmacovigilance</w:t>
      </w:r>
    </w:p>
    <w:p>
      <w:pPr>
        <w:pStyle w:val="ListNumber"/>
      </w:pPr>
      <w:r>
        <w:t>Population Disparities in Pharmacogenomics</w:t>
      </w:r>
    </w:p>
    <w:p>
      <w:pPr>
        <w:pStyle w:val="ListNumber"/>
      </w:pPr>
      <w:r>
        <w:t>CYP2D6 Structural Variation</w:t>
      </w:r>
    </w:p>
    <w:p>
      <w:pPr>
        <w:pStyle w:val="ListNumber"/>
      </w:pPr>
      <w:r>
        <w:t>RAG Architecture Deep Dive</w:t>
      </w:r>
    </w:p>
    <w:p>
      <w:pPr>
        <w:pStyle w:val="ListNumber"/>
      </w:pPr>
      <w:r>
        <w:t>Clinical Implementation Challenges</w:t>
      </w:r>
    </w:p>
    <w:p>
      <w:pPr>
        <w:pStyle w:val="ListNumber"/>
      </w:pPr>
      <w:r>
        <w:t>Emerging Topics</w:t>
      </w:r>
    </w:p>
    <w:p>
      <w:pPr>
        <w:pStyle w:val="Heading2"/>
      </w:pPr>
      <w:r>
        <w:t>1. Phenoconversion Modeling</w:t>
      </w:r>
    </w:p>
    <w:p>
      <w:pPr>
        <w:pStyle w:val="Heading3"/>
      </w:pPr>
      <w:r>
        <w:t>The Problem</w:t>
      </w:r>
    </w:p>
    <w:p>
      <w:r>
        <w:t>A patient's genetic phenotype (predicted from their DNA) may not match their effective phenotype (actual enzyme activity) when they are taking medications that inhibit or induce CYP enzymes. This discrepancy is called phenoconversion.</w:t>
      </w:r>
    </w:p>
    <w:p>
      <w:r>
        <w:t>Phenoconversion is one of the most underappreciated phenomena in clinical pharmacogenomics. Studies estimate that 30-50% of genotypic phenotype designations would change if concomitant medications were properly accounted for (Shah and Smith, Br J Clin Pharmacol 2015). The PGx Intelligence Agent addresses this gap by incorporating phenoconversion modeling as a first-class component of every medication review.</w:t>
      </w:r>
    </w:p>
    <w:p>
      <w:pPr>
        <w:pStyle w:val="Heading3"/>
      </w:pPr>
      <w:r>
        <w:t>Example</w:t>
      </w:r>
    </w:p>
    <w:p>
      <w:r>
        <w:t>Consider a patient who is genetically a CYP2D6 Normal Metabolizer (1/1, activity score 2.0). If this patient is also taking fluoxetine (a strong CYP2D6 inhibitor), their effective CYP2D6 activity is reduced to Poor Metabolizer status. Any CYP2D6-metabolized drugs should now be dosed as if the patient were a PM.</w:t>
      </w:r>
    </w:p>
    <w:p>
      <w:pPr>
        <w:ind w:left="720"/>
      </w:pPr>
      <w:r>
        <w:rPr>
          <w:rFonts w:ascii="Consolas" w:hAnsi="Consolas"/>
          <w:sz w:val="18"/>
        </w:rPr>
        <w:t>Genetic Phenotype:  CYP2D6 *1/*1 --&gt; Normal Metabolizer (AS = 2.0)</w:t>
        <w:br/>
        <w:t>Concomitant Drug:   Fluoxetine (strong CYP2D6 inhibitor)</w:t>
        <w:br/>
        <w:t>Effective Phenotype: CYP2D6 Poor Metabolizer</w:t>
        <w:br/>
        <w:br/>
        <w:t>Clinical Impact:    If codeine is prescribed, the PM recommendation applies:</w:t>
        <w:br/>
        <w:t xml:space="preserve">                    AVOID codeine (prodrug cannot be activated)</w:t>
      </w:r>
    </w:p>
    <w:p>
      <w:pPr>
        <w:pStyle w:val="Heading3"/>
      </w:pPr>
      <w:r>
        <w:t>How the Agent Models Phenoconversion</w:t>
      </w:r>
    </w:p>
    <w:p>
      <w:r>
        <w:t>The PhenoconversionDetector in phenoconversion.py (517 lines) maintains a knowledge base of 60 CYP inhibitors and inducers classified by FDA potency.</w:t>
      </w:r>
    </w:p>
    <w:p>
      <w:pPr>
        <w:pStyle w:val="Heading3"/>
      </w:pPr>
      <w:r>
        <w:t>Complete CYP2D6 Phenoconversion Shift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Genetic Phenotype</w:t>
            </w:r>
          </w:p>
        </w:tc>
        <w:tc>
          <w:tcPr>
            <w:tcW w:type="dxa" w:w="1728"/>
          </w:tcPr>
          <w:p>
            <w:r>
              <w:rPr>
                <w:b/>
                <w:sz w:val="20"/>
              </w:rPr>
              <w:t>No Inhibitor</w:t>
            </w:r>
          </w:p>
        </w:tc>
        <w:tc>
          <w:tcPr>
            <w:tcW w:type="dxa" w:w="1728"/>
          </w:tcPr>
          <w:p>
            <w:r>
              <w:rPr>
                <w:b/>
                <w:sz w:val="20"/>
              </w:rPr>
              <w:t>+ Weak Inhibitor</w:t>
            </w:r>
          </w:p>
        </w:tc>
        <w:tc>
          <w:tcPr>
            <w:tcW w:type="dxa" w:w="1728"/>
          </w:tcPr>
          <w:p>
            <w:r>
              <w:rPr>
                <w:b/>
                <w:sz w:val="20"/>
              </w:rPr>
              <w:t>+ Moderate Inhibitor</w:t>
            </w:r>
          </w:p>
        </w:tc>
        <w:tc>
          <w:tcPr>
            <w:tcW w:type="dxa" w:w="1728"/>
          </w:tcPr>
          <w:p>
            <w:r>
              <w:rPr>
                <w:b/>
                <w:sz w:val="20"/>
              </w:rPr>
              <w:t>+ Strong Inhibitor</w:t>
            </w:r>
          </w:p>
        </w:tc>
      </w:tr>
      <w:tr>
        <w:tc>
          <w:tcPr>
            <w:tcW w:type="dxa" w:w="1728"/>
          </w:tcPr>
          <w:p>
            <w:r>
              <w:rPr>
                <w:sz w:val="20"/>
              </w:rPr>
              <w:t>Ultra-Rapid Metabolizer (UM)</w:t>
            </w:r>
          </w:p>
        </w:tc>
        <w:tc>
          <w:tcPr>
            <w:tcW w:type="dxa" w:w="1728"/>
          </w:tcPr>
          <w:p>
            <w:r>
              <w:rPr>
                <w:sz w:val="20"/>
              </w:rPr>
              <w:t>UM</w:t>
            </w:r>
          </w:p>
        </w:tc>
        <w:tc>
          <w:tcPr>
            <w:tcW w:type="dxa" w:w="1728"/>
          </w:tcPr>
          <w:p>
            <w:r>
              <w:rPr>
                <w:sz w:val="20"/>
              </w:rPr>
              <w:t>UM (monitor)</w:t>
            </w:r>
          </w:p>
        </w:tc>
        <w:tc>
          <w:tcPr>
            <w:tcW w:type="dxa" w:w="1728"/>
          </w:tcPr>
          <w:p>
            <w:r>
              <w:rPr>
                <w:sz w:val="20"/>
              </w:rPr>
              <w:t>NM to RM</w:t>
            </w:r>
          </w:p>
        </w:tc>
        <w:tc>
          <w:tcPr>
            <w:tcW w:type="dxa" w:w="1728"/>
          </w:tcPr>
          <w:p>
            <w:r>
              <w:rPr>
                <w:sz w:val="20"/>
              </w:rPr>
              <w:t>IM</w:t>
            </w:r>
          </w:p>
        </w:tc>
      </w:tr>
      <w:tr>
        <w:tc>
          <w:tcPr>
            <w:tcW w:type="dxa" w:w="1728"/>
          </w:tcPr>
          <w:p>
            <w:r>
              <w:rPr>
                <w:sz w:val="20"/>
              </w:rPr>
              <w:t>Rapid Metabolizer (RM)</w:t>
            </w:r>
          </w:p>
        </w:tc>
        <w:tc>
          <w:tcPr>
            <w:tcW w:type="dxa" w:w="1728"/>
          </w:tcPr>
          <w:p>
            <w:r>
              <w:rPr>
                <w:sz w:val="20"/>
              </w:rPr>
              <w:t>RM</w:t>
            </w:r>
          </w:p>
        </w:tc>
        <w:tc>
          <w:tcPr>
            <w:tcW w:type="dxa" w:w="1728"/>
          </w:tcPr>
          <w:p>
            <w:r>
              <w:rPr>
                <w:sz w:val="20"/>
              </w:rPr>
              <w:t>RM (monitor)</w:t>
            </w:r>
          </w:p>
        </w:tc>
        <w:tc>
          <w:tcPr>
            <w:tcW w:type="dxa" w:w="1728"/>
          </w:tcPr>
          <w:p>
            <w:r>
              <w:rPr>
                <w:sz w:val="20"/>
              </w:rPr>
              <w:t>NM to IM</w:t>
            </w:r>
          </w:p>
        </w:tc>
        <w:tc>
          <w:tcPr>
            <w:tcW w:type="dxa" w:w="1728"/>
          </w:tcPr>
          <w:p>
            <w:r>
              <w:rPr>
                <w:sz w:val="20"/>
              </w:rPr>
              <w:t>IM to PM</w:t>
            </w:r>
          </w:p>
        </w:tc>
      </w:tr>
      <w:tr>
        <w:tc>
          <w:tcPr>
            <w:tcW w:type="dxa" w:w="1728"/>
          </w:tcPr>
          <w:p>
            <w:r>
              <w:rPr>
                <w:sz w:val="20"/>
              </w:rPr>
              <w:t>Normal Metabolizer (NM)</w:t>
            </w:r>
          </w:p>
        </w:tc>
        <w:tc>
          <w:tcPr>
            <w:tcW w:type="dxa" w:w="1728"/>
          </w:tcPr>
          <w:p>
            <w:r>
              <w:rPr>
                <w:sz w:val="20"/>
              </w:rPr>
              <w:t>NM</w:t>
            </w:r>
          </w:p>
        </w:tc>
        <w:tc>
          <w:tcPr>
            <w:tcW w:type="dxa" w:w="1728"/>
          </w:tcPr>
          <w:p>
            <w:r>
              <w:rPr>
                <w:sz w:val="20"/>
              </w:rPr>
              <w:t>NM (monitor)</w:t>
            </w:r>
          </w:p>
        </w:tc>
        <w:tc>
          <w:tcPr>
            <w:tcW w:type="dxa" w:w="1728"/>
          </w:tcPr>
          <w:p>
            <w:r>
              <w:rPr>
                <w:sz w:val="20"/>
              </w:rPr>
              <w:t>IM</w:t>
            </w:r>
          </w:p>
        </w:tc>
        <w:tc>
          <w:tcPr>
            <w:tcW w:type="dxa" w:w="1728"/>
          </w:tcPr>
          <w:p>
            <w:r>
              <w:rPr>
                <w:sz w:val="20"/>
              </w:rPr>
              <w:t>PM</w:t>
            </w:r>
          </w:p>
        </w:tc>
      </w:tr>
      <w:tr>
        <w:tc>
          <w:tcPr>
            <w:tcW w:type="dxa" w:w="1728"/>
          </w:tcPr>
          <w:p>
            <w:r>
              <w:rPr>
                <w:sz w:val="20"/>
              </w:rPr>
              <w:t>Intermediate Metabolizer (IM)</w:t>
            </w:r>
          </w:p>
        </w:tc>
        <w:tc>
          <w:tcPr>
            <w:tcW w:type="dxa" w:w="1728"/>
          </w:tcPr>
          <w:p>
            <w:r>
              <w:rPr>
                <w:sz w:val="20"/>
              </w:rPr>
              <w:t>IM</w:t>
            </w:r>
          </w:p>
        </w:tc>
        <w:tc>
          <w:tcPr>
            <w:tcW w:type="dxa" w:w="1728"/>
          </w:tcPr>
          <w:p>
            <w:r>
              <w:rPr>
                <w:sz w:val="20"/>
              </w:rPr>
              <w:t>IM (monitor)</w:t>
            </w:r>
          </w:p>
        </w:tc>
        <w:tc>
          <w:tcPr>
            <w:tcW w:type="dxa" w:w="1728"/>
          </w:tcPr>
          <w:p>
            <w:r>
              <w:rPr>
                <w:sz w:val="20"/>
              </w:rPr>
              <w:t>PM</w:t>
            </w:r>
          </w:p>
        </w:tc>
        <w:tc>
          <w:tcPr>
            <w:tcW w:type="dxa" w:w="1728"/>
          </w:tcPr>
          <w:p>
            <w:r>
              <w:rPr>
                <w:sz w:val="20"/>
              </w:rPr>
              <w:t>PM</w:t>
            </w:r>
          </w:p>
        </w:tc>
      </w:tr>
      <w:tr>
        <w:tc>
          <w:tcPr>
            <w:tcW w:type="dxa" w:w="1728"/>
          </w:tcPr>
          <w:p>
            <w:r>
              <w:rPr>
                <w:sz w:val="20"/>
              </w:rPr>
              <w:t>Poor Metabolizer (PM)</w:t>
            </w:r>
          </w:p>
        </w:tc>
        <w:tc>
          <w:tcPr>
            <w:tcW w:type="dxa" w:w="1728"/>
          </w:tcPr>
          <w:p>
            <w:r>
              <w:rPr>
                <w:sz w:val="20"/>
              </w:rPr>
              <w:t>PM</w:t>
            </w:r>
          </w:p>
        </w:tc>
        <w:tc>
          <w:tcPr>
            <w:tcW w:type="dxa" w:w="1728"/>
          </w:tcPr>
          <w:p>
            <w:r>
              <w:rPr>
                <w:sz w:val="20"/>
              </w:rPr>
              <w:t>PM</w:t>
            </w:r>
          </w:p>
        </w:tc>
        <w:tc>
          <w:tcPr>
            <w:tcW w:type="dxa" w:w="1728"/>
          </w:tcPr>
          <w:p>
            <w:r>
              <w:rPr>
                <w:sz w:val="20"/>
              </w:rPr>
              <w:t>PM</w:t>
            </w:r>
          </w:p>
        </w:tc>
        <w:tc>
          <w:tcPr>
            <w:tcW w:type="dxa" w:w="1728"/>
          </w:tcPr>
          <w:p>
            <w:r>
              <w:rPr>
                <w:sz w:val="20"/>
              </w:rPr>
              <w:t>PM</w:t>
            </w:r>
          </w:p>
        </w:tc>
      </w:tr>
    </w:tbl>
    <w:p>
      <w:pPr>
        <w:pStyle w:val="Heading3"/>
      </w:pPr>
      <w:r>
        <w:t>Complete CYP2C19 Phenoconversion Shift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Genetic Phenotype</w:t>
            </w:r>
          </w:p>
        </w:tc>
        <w:tc>
          <w:tcPr>
            <w:tcW w:type="dxa" w:w="1728"/>
          </w:tcPr>
          <w:p>
            <w:r>
              <w:rPr>
                <w:b/>
                <w:sz w:val="20"/>
              </w:rPr>
              <w:t>No Inhibitor</w:t>
            </w:r>
          </w:p>
        </w:tc>
        <w:tc>
          <w:tcPr>
            <w:tcW w:type="dxa" w:w="1728"/>
          </w:tcPr>
          <w:p>
            <w:r>
              <w:rPr>
                <w:b/>
                <w:sz w:val="20"/>
              </w:rPr>
              <w:t>+ Weak Inhibitor</w:t>
            </w:r>
          </w:p>
        </w:tc>
        <w:tc>
          <w:tcPr>
            <w:tcW w:type="dxa" w:w="1728"/>
          </w:tcPr>
          <w:p>
            <w:r>
              <w:rPr>
                <w:b/>
                <w:sz w:val="20"/>
              </w:rPr>
              <w:t>+ Moderate Inhibitor</w:t>
            </w:r>
          </w:p>
        </w:tc>
        <w:tc>
          <w:tcPr>
            <w:tcW w:type="dxa" w:w="1728"/>
          </w:tcPr>
          <w:p>
            <w:r>
              <w:rPr>
                <w:b/>
                <w:sz w:val="20"/>
              </w:rPr>
              <w:t>+ Strong Inhibitor</w:t>
            </w:r>
          </w:p>
        </w:tc>
      </w:tr>
      <w:tr>
        <w:tc>
          <w:tcPr>
            <w:tcW w:type="dxa" w:w="1728"/>
          </w:tcPr>
          <w:p>
            <w:r>
              <w:rPr>
                <w:sz w:val="20"/>
              </w:rPr>
              <w:t>Ultra-Rapid Metabolizer (UM)</w:t>
            </w:r>
          </w:p>
        </w:tc>
        <w:tc>
          <w:tcPr>
            <w:tcW w:type="dxa" w:w="1728"/>
          </w:tcPr>
          <w:p>
            <w:r>
              <w:rPr>
                <w:sz w:val="20"/>
              </w:rPr>
              <w:t>UM</w:t>
            </w:r>
          </w:p>
        </w:tc>
        <w:tc>
          <w:tcPr>
            <w:tcW w:type="dxa" w:w="1728"/>
          </w:tcPr>
          <w:p>
            <w:r>
              <w:rPr>
                <w:sz w:val="20"/>
              </w:rPr>
              <w:t>UM (monitor)</w:t>
            </w:r>
          </w:p>
        </w:tc>
        <w:tc>
          <w:tcPr>
            <w:tcW w:type="dxa" w:w="1728"/>
          </w:tcPr>
          <w:p>
            <w:r>
              <w:rPr>
                <w:sz w:val="20"/>
              </w:rPr>
              <w:t>NM to RM</w:t>
            </w:r>
          </w:p>
        </w:tc>
        <w:tc>
          <w:tcPr>
            <w:tcW w:type="dxa" w:w="1728"/>
          </w:tcPr>
          <w:p>
            <w:r>
              <w:rPr>
                <w:sz w:val="20"/>
              </w:rPr>
              <w:t>IM</w:t>
            </w:r>
          </w:p>
        </w:tc>
      </w:tr>
      <w:tr>
        <w:tc>
          <w:tcPr>
            <w:tcW w:type="dxa" w:w="1728"/>
          </w:tcPr>
          <w:p>
            <w:r>
              <w:rPr>
                <w:sz w:val="20"/>
              </w:rPr>
              <w:t>Rapid Metabolizer (RM)</w:t>
            </w:r>
          </w:p>
        </w:tc>
        <w:tc>
          <w:tcPr>
            <w:tcW w:type="dxa" w:w="1728"/>
          </w:tcPr>
          <w:p>
            <w:r>
              <w:rPr>
                <w:sz w:val="20"/>
              </w:rPr>
              <w:t>RM</w:t>
            </w:r>
          </w:p>
        </w:tc>
        <w:tc>
          <w:tcPr>
            <w:tcW w:type="dxa" w:w="1728"/>
          </w:tcPr>
          <w:p>
            <w:r>
              <w:rPr>
                <w:sz w:val="20"/>
              </w:rPr>
              <w:t>RM (monitor)</w:t>
            </w:r>
          </w:p>
        </w:tc>
        <w:tc>
          <w:tcPr>
            <w:tcW w:type="dxa" w:w="1728"/>
          </w:tcPr>
          <w:p>
            <w:r>
              <w:rPr>
                <w:sz w:val="20"/>
              </w:rPr>
              <w:t>IM</w:t>
            </w:r>
          </w:p>
        </w:tc>
        <w:tc>
          <w:tcPr>
            <w:tcW w:type="dxa" w:w="1728"/>
          </w:tcPr>
          <w:p>
            <w:r>
              <w:rPr>
                <w:sz w:val="20"/>
              </w:rPr>
              <w:t>PM</w:t>
            </w:r>
          </w:p>
        </w:tc>
      </w:tr>
      <w:tr>
        <w:tc>
          <w:tcPr>
            <w:tcW w:type="dxa" w:w="1728"/>
          </w:tcPr>
          <w:p>
            <w:r>
              <w:rPr>
                <w:sz w:val="20"/>
              </w:rPr>
              <w:t>Normal Metabolizer (NM)</w:t>
            </w:r>
          </w:p>
        </w:tc>
        <w:tc>
          <w:tcPr>
            <w:tcW w:type="dxa" w:w="1728"/>
          </w:tcPr>
          <w:p>
            <w:r>
              <w:rPr>
                <w:sz w:val="20"/>
              </w:rPr>
              <w:t>NM</w:t>
            </w:r>
          </w:p>
        </w:tc>
        <w:tc>
          <w:tcPr>
            <w:tcW w:type="dxa" w:w="1728"/>
          </w:tcPr>
          <w:p>
            <w:r>
              <w:rPr>
                <w:sz w:val="20"/>
              </w:rPr>
              <w:t>NM (monitor)</w:t>
            </w:r>
          </w:p>
        </w:tc>
        <w:tc>
          <w:tcPr>
            <w:tcW w:type="dxa" w:w="1728"/>
          </w:tcPr>
          <w:p>
            <w:r>
              <w:rPr>
                <w:sz w:val="20"/>
              </w:rPr>
              <w:t>IM</w:t>
            </w:r>
          </w:p>
        </w:tc>
        <w:tc>
          <w:tcPr>
            <w:tcW w:type="dxa" w:w="1728"/>
          </w:tcPr>
          <w:p>
            <w:r>
              <w:rPr>
                <w:sz w:val="20"/>
              </w:rPr>
              <w:t>PM</w:t>
            </w:r>
          </w:p>
        </w:tc>
      </w:tr>
      <w:tr>
        <w:tc>
          <w:tcPr>
            <w:tcW w:type="dxa" w:w="1728"/>
          </w:tcPr>
          <w:p>
            <w:r>
              <w:rPr>
                <w:sz w:val="20"/>
              </w:rPr>
              <w:t>Intermediate Metabolizer (IM)</w:t>
            </w:r>
          </w:p>
        </w:tc>
        <w:tc>
          <w:tcPr>
            <w:tcW w:type="dxa" w:w="1728"/>
          </w:tcPr>
          <w:p>
            <w:r>
              <w:rPr>
                <w:sz w:val="20"/>
              </w:rPr>
              <w:t>IM</w:t>
            </w:r>
          </w:p>
        </w:tc>
        <w:tc>
          <w:tcPr>
            <w:tcW w:type="dxa" w:w="1728"/>
          </w:tcPr>
          <w:p>
            <w:r>
              <w:rPr>
                <w:sz w:val="20"/>
              </w:rPr>
              <w:t>IM (monitor)</w:t>
            </w:r>
          </w:p>
        </w:tc>
        <w:tc>
          <w:tcPr>
            <w:tcW w:type="dxa" w:w="1728"/>
          </w:tcPr>
          <w:p>
            <w:r>
              <w:rPr>
                <w:sz w:val="20"/>
              </w:rPr>
              <w:t>PM</w:t>
            </w:r>
          </w:p>
        </w:tc>
        <w:tc>
          <w:tcPr>
            <w:tcW w:type="dxa" w:w="1728"/>
          </w:tcPr>
          <w:p>
            <w:r>
              <w:rPr>
                <w:sz w:val="20"/>
              </w:rPr>
              <w:t>PM</w:t>
            </w:r>
          </w:p>
        </w:tc>
      </w:tr>
      <w:tr>
        <w:tc>
          <w:tcPr>
            <w:tcW w:type="dxa" w:w="1728"/>
          </w:tcPr>
          <w:p>
            <w:r>
              <w:rPr>
                <w:sz w:val="20"/>
              </w:rPr>
              <w:t>Poor Metabolizer (PM)</w:t>
            </w:r>
          </w:p>
        </w:tc>
        <w:tc>
          <w:tcPr>
            <w:tcW w:type="dxa" w:w="1728"/>
          </w:tcPr>
          <w:p>
            <w:r>
              <w:rPr>
                <w:sz w:val="20"/>
              </w:rPr>
              <w:t>PM</w:t>
            </w:r>
          </w:p>
        </w:tc>
        <w:tc>
          <w:tcPr>
            <w:tcW w:type="dxa" w:w="1728"/>
          </w:tcPr>
          <w:p>
            <w:r>
              <w:rPr>
                <w:sz w:val="20"/>
              </w:rPr>
              <w:t>PM</w:t>
            </w:r>
          </w:p>
        </w:tc>
        <w:tc>
          <w:tcPr>
            <w:tcW w:type="dxa" w:w="1728"/>
          </w:tcPr>
          <w:p>
            <w:r>
              <w:rPr>
                <w:sz w:val="20"/>
              </w:rPr>
              <w:t>PM</w:t>
            </w:r>
          </w:p>
        </w:tc>
        <w:tc>
          <w:tcPr>
            <w:tcW w:type="dxa" w:w="1728"/>
          </w:tcPr>
          <w:p>
            <w:r>
              <w:rPr>
                <w:sz w:val="20"/>
              </w:rPr>
              <w:t>PM</w:t>
            </w:r>
          </w:p>
        </w:tc>
      </w:tr>
    </w:tbl>
    <w:p>
      <w:pPr>
        <w:pStyle w:val="Heading3"/>
      </w:pPr>
      <w:r>
        <w:t>CYP Inducer Phenotype Shift Table</w:t>
      </w:r>
    </w:p>
    <w:p>
      <w:r>
        <w:t>Inducers increase enzyme expression, potentially shifting phenotypes in the opposite direction: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Genetic Phenotype</w:t>
            </w:r>
          </w:p>
        </w:tc>
        <w:tc>
          <w:tcPr>
            <w:tcW w:type="dxa" w:w="2880"/>
          </w:tcPr>
          <w:p>
            <w:r>
              <w:rPr>
                <w:b/>
                <w:sz w:val="20"/>
              </w:rPr>
              <w:t>+ Moderate Inducer</w:t>
            </w:r>
          </w:p>
        </w:tc>
        <w:tc>
          <w:tcPr>
            <w:tcW w:type="dxa" w:w="2880"/>
          </w:tcPr>
          <w:p>
            <w:r>
              <w:rPr>
                <w:b/>
                <w:sz w:val="20"/>
              </w:rPr>
              <w:t>+ Strong Inducer</w:t>
            </w:r>
          </w:p>
        </w:tc>
      </w:tr>
      <w:tr>
        <w:tc>
          <w:tcPr>
            <w:tcW w:type="dxa" w:w="2880"/>
          </w:tcPr>
          <w:p>
            <w:r>
              <w:rPr>
                <w:sz w:val="20"/>
              </w:rPr>
              <w:t>Poor Metabolizer (PM)</w:t>
            </w:r>
          </w:p>
        </w:tc>
        <w:tc>
          <w:tcPr>
            <w:tcW w:type="dxa" w:w="2880"/>
          </w:tcPr>
          <w:p>
            <w:r>
              <w:rPr>
                <w:sz w:val="20"/>
              </w:rPr>
              <w:t>PM (minimal rescue)</w:t>
            </w:r>
          </w:p>
        </w:tc>
        <w:tc>
          <w:tcPr>
            <w:tcW w:type="dxa" w:w="2880"/>
          </w:tcPr>
          <w:p>
            <w:r>
              <w:rPr>
                <w:sz w:val="20"/>
              </w:rPr>
              <w:t>IM (partial rescue, if any residual enzyme)</w:t>
            </w:r>
          </w:p>
        </w:tc>
      </w:tr>
      <w:tr>
        <w:tc>
          <w:tcPr>
            <w:tcW w:type="dxa" w:w="2880"/>
          </w:tcPr>
          <w:p>
            <w:r>
              <w:rPr>
                <w:sz w:val="20"/>
              </w:rPr>
              <w:t>Intermediate Metabolizer (IM)</w:t>
            </w:r>
          </w:p>
        </w:tc>
        <w:tc>
          <w:tcPr>
            <w:tcW w:type="dxa" w:w="2880"/>
          </w:tcPr>
          <w:p>
            <w:r>
              <w:rPr>
                <w:sz w:val="20"/>
              </w:rPr>
              <w:t>IM to NM</w:t>
            </w:r>
          </w:p>
        </w:tc>
        <w:tc>
          <w:tcPr>
            <w:tcW w:type="dxa" w:w="2880"/>
          </w:tcPr>
          <w:p>
            <w:r>
              <w:rPr>
                <w:sz w:val="20"/>
              </w:rPr>
              <w:t>NM to RM</w:t>
            </w:r>
          </w:p>
        </w:tc>
      </w:tr>
      <w:tr>
        <w:tc>
          <w:tcPr>
            <w:tcW w:type="dxa" w:w="2880"/>
          </w:tcPr>
          <w:p>
            <w:r>
              <w:rPr>
                <w:sz w:val="20"/>
              </w:rPr>
              <w:t>Normal Metabolizer (NM)</w:t>
            </w:r>
          </w:p>
        </w:tc>
        <w:tc>
          <w:tcPr>
            <w:tcW w:type="dxa" w:w="2880"/>
          </w:tcPr>
          <w:p>
            <w:r>
              <w:rPr>
                <w:sz w:val="20"/>
              </w:rPr>
              <w:t>NM to RM</w:t>
            </w:r>
          </w:p>
        </w:tc>
        <w:tc>
          <w:tcPr>
            <w:tcW w:type="dxa" w:w="2880"/>
          </w:tcPr>
          <w:p>
            <w:r>
              <w:rPr>
                <w:sz w:val="20"/>
              </w:rPr>
              <w:t>RM to UM</w:t>
            </w:r>
          </w:p>
        </w:tc>
      </w:tr>
      <w:tr>
        <w:tc>
          <w:tcPr>
            <w:tcW w:type="dxa" w:w="2880"/>
          </w:tcPr>
          <w:p>
            <w:r>
              <w:rPr>
                <w:sz w:val="20"/>
              </w:rPr>
              <w:t>Ultra-Rapid Metabolizer (UM)</w:t>
            </w:r>
          </w:p>
        </w:tc>
        <w:tc>
          <w:tcPr>
            <w:tcW w:type="dxa" w:w="2880"/>
          </w:tcPr>
          <w:p>
            <w:r>
              <w:rPr>
                <w:sz w:val="20"/>
              </w:rPr>
              <w:t>UM (ceiling effect)</w:t>
            </w:r>
          </w:p>
        </w:tc>
        <w:tc>
          <w:tcPr>
            <w:tcW w:type="dxa" w:w="2880"/>
          </w:tcPr>
          <w:p>
            <w:r>
              <w:rPr>
                <w:sz w:val="20"/>
              </w:rPr>
              <w:t>UM (ceiling effect)</w:t>
            </w:r>
          </w:p>
        </w:tc>
      </w:tr>
    </w:tbl>
    <w:p>
      <w:r>
        <w:t>Note: Induction effects on genetically poor metabolizers are limited because induction requires the presence of a functional gene to upregulate. CYP2D6 poor metabolizers carrying two null alleles (4/4, 5/5) have no functional gene to induce, so induction has no clinical effect for CYP2D6 PM patients.</w:t>
      </w:r>
    </w:p>
    <w:p>
      <w:pPr>
        <w:pStyle w:val="Heading3"/>
      </w:pPr>
      <w:r>
        <w:t>Comprehensive CYP Inhibitor Catalog</w:t>
      </w:r>
    </w:p>
    <w:p>
      <w:r>
        <w:t>CYP2D6 Inhibitors: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Drug</w:t>
            </w:r>
          </w:p>
        </w:tc>
        <w:tc>
          <w:tcPr>
            <w:tcW w:type="dxa" w:w="1728"/>
          </w:tcPr>
          <w:p>
            <w:r>
              <w:rPr>
                <w:b/>
                <w:sz w:val="20"/>
              </w:rPr>
              <w:t>Inhibitor Strength</w:t>
            </w:r>
          </w:p>
        </w:tc>
        <w:tc>
          <w:tcPr>
            <w:tcW w:type="dxa" w:w="1728"/>
          </w:tcPr>
          <w:p>
            <w:r>
              <w:rPr>
                <w:b/>
                <w:sz w:val="20"/>
              </w:rPr>
              <w:t>Drug Class</w:t>
            </w:r>
          </w:p>
        </w:tc>
        <w:tc>
          <w:tcPr>
            <w:tcW w:type="dxa" w:w="1728"/>
          </w:tcPr>
          <w:p>
            <w:r>
              <w:rPr>
                <w:b/>
                <w:sz w:val="20"/>
              </w:rPr>
              <w:t>Ki (nM)</w:t>
            </w:r>
          </w:p>
        </w:tc>
        <w:tc>
          <w:tcPr>
            <w:tcW w:type="dxa" w:w="1728"/>
          </w:tcPr>
          <w:p>
            <w:r>
              <w:rPr>
                <w:b/>
                <w:sz w:val="20"/>
              </w:rPr>
              <w:t>Clinical Notes</w:t>
            </w:r>
          </w:p>
        </w:tc>
      </w:tr>
      <w:tr>
        <w:tc>
          <w:tcPr>
            <w:tcW w:type="dxa" w:w="1728"/>
          </w:tcPr>
          <w:p>
            <w:r>
              <w:rPr>
                <w:sz w:val="20"/>
              </w:rPr>
              <w:t>Fluoxetine</w:t>
            </w:r>
          </w:p>
        </w:tc>
        <w:tc>
          <w:tcPr>
            <w:tcW w:type="dxa" w:w="1728"/>
          </w:tcPr>
          <w:p>
            <w:r>
              <w:rPr>
                <w:sz w:val="20"/>
              </w:rPr>
              <w:t>Strong</w:t>
            </w:r>
          </w:p>
        </w:tc>
        <w:tc>
          <w:tcPr>
            <w:tcW w:type="dxa" w:w="1728"/>
          </w:tcPr>
          <w:p>
            <w:r>
              <w:rPr>
                <w:sz w:val="20"/>
              </w:rPr>
              <w:t>SSRI antidepressant</w:t>
            </w:r>
          </w:p>
        </w:tc>
        <w:tc>
          <w:tcPr>
            <w:tcW w:type="dxa" w:w="1728"/>
          </w:tcPr>
          <w:p>
            <w:r>
              <w:rPr>
                <w:sz w:val="20"/>
              </w:rPr>
              <w:t>~10</w:t>
            </w:r>
          </w:p>
        </w:tc>
        <w:tc>
          <w:tcPr>
            <w:tcW w:type="dxa" w:w="1728"/>
          </w:tcPr>
          <w:p>
            <w:r>
              <w:rPr>
                <w:sz w:val="20"/>
              </w:rPr>
              <w:t>Active metabolite norfluoxetine also inhibits; effect persists 4-6 weeks after discontinuation due to long half-life</w:t>
            </w:r>
          </w:p>
        </w:tc>
      </w:tr>
      <w:tr>
        <w:tc>
          <w:tcPr>
            <w:tcW w:type="dxa" w:w="1728"/>
          </w:tcPr>
          <w:p>
            <w:r>
              <w:rPr>
                <w:sz w:val="20"/>
              </w:rPr>
              <w:t>Paroxetine</w:t>
            </w:r>
          </w:p>
        </w:tc>
        <w:tc>
          <w:tcPr>
            <w:tcW w:type="dxa" w:w="1728"/>
          </w:tcPr>
          <w:p>
            <w:r>
              <w:rPr>
                <w:sz w:val="20"/>
              </w:rPr>
              <w:t>Strong</w:t>
            </w:r>
          </w:p>
        </w:tc>
        <w:tc>
          <w:tcPr>
            <w:tcW w:type="dxa" w:w="1728"/>
          </w:tcPr>
          <w:p>
            <w:r>
              <w:rPr>
                <w:sz w:val="20"/>
              </w:rPr>
              <w:t>SSRI antidepressant</w:t>
            </w:r>
          </w:p>
        </w:tc>
        <w:tc>
          <w:tcPr>
            <w:tcW w:type="dxa" w:w="1728"/>
          </w:tcPr>
          <w:p>
            <w:r>
              <w:rPr>
                <w:sz w:val="20"/>
              </w:rPr>
              <w:t>~1-2</w:t>
            </w:r>
          </w:p>
        </w:tc>
        <w:tc>
          <w:tcPr>
            <w:tcW w:type="dxa" w:w="1728"/>
          </w:tcPr>
          <w:p>
            <w:r>
              <w:rPr>
                <w:sz w:val="20"/>
              </w:rPr>
              <w:t>Most potent CYP2D6 inhibitor; mechanism-based (irreversible) inhibition</w:t>
            </w:r>
          </w:p>
        </w:tc>
      </w:tr>
      <w:tr>
        <w:tc>
          <w:tcPr>
            <w:tcW w:type="dxa" w:w="1728"/>
          </w:tcPr>
          <w:p>
            <w:r>
              <w:rPr>
                <w:sz w:val="20"/>
              </w:rPr>
              <w:t>Bupropion</w:t>
            </w:r>
          </w:p>
        </w:tc>
        <w:tc>
          <w:tcPr>
            <w:tcW w:type="dxa" w:w="1728"/>
          </w:tcPr>
          <w:p>
            <w:r>
              <w:rPr>
                <w:sz w:val="20"/>
              </w:rPr>
              <w:t>Strong</w:t>
            </w:r>
          </w:p>
        </w:tc>
        <w:tc>
          <w:tcPr>
            <w:tcW w:type="dxa" w:w="1728"/>
          </w:tcPr>
          <w:p>
            <w:r>
              <w:rPr>
                <w:sz w:val="20"/>
              </w:rPr>
              <w:t>Antidepressant (NDRI)</w:t>
            </w:r>
          </w:p>
        </w:tc>
        <w:tc>
          <w:tcPr>
            <w:tcW w:type="dxa" w:w="1728"/>
          </w:tcPr>
          <w:p>
            <w:r>
              <w:rPr>
                <w:sz w:val="20"/>
              </w:rPr>
              <w:t>~20</w:t>
            </w:r>
          </w:p>
        </w:tc>
        <w:tc>
          <w:tcPr>
            <w:tcW w:type="dxa" w:w="1728"/>
          </w:tcPr>
          <w:p>
            <w:r>
              <w:rPr>
                <w:sz w:val="20"/>
              </w:rPr>
              <w:t>Hydroxybupropion metabolite is a competitive inhibitor</w:t>
            </w:r>
          </w:p>
        </w:tc>
      </w:tr>
      <w:tr>
        <w:tc>
          <w:tcPr>
            <w:tcW w:type="dxa" w:w="1728"/>
          </w:tcPr>
          <w:p>
            <w:r>
              <w:rPr>
                <w:sz w:val="20"/>
              </w:rPr>
              <w:t>Quinidine</w:t>
            </w:r>
          </w:p>
        </w:tc>
        <w:tc>
          <w:tcPr>
            <w:tcW w:type="dxa" w:w="1728"/>
          </w:tcPr>
          <w:p>
            <w:r>
              <w:rPr>
                <w:sz w:val="20"/>
              </w:rPr>
              <w:t>Strong</w:t>
            </w:r>
          </w:p>
        </w:tc>
        <w:tc>
          <w:tcPr>
            <w:tcW w:type="dxa" w:w="1728"/>
          </w:tcPr>
          <w:p>
            <w:r>
              <w:rPr>
                <w:sz w:val="20"/>
              </w:rPr>
              <w:t>Antiarrhythmic</w:t>
            </w:r>
          </w:p>
        </w:tc>
        <w:tc>
          <w:tcPr>
            <w:tcW w:type="dxa" w:w="1728"/>
          </w:tcPr>
          <w:p>
            <w:r>
              <w:rPr>
                <w:sz w:val="20"/>
              </w:rPr>
              <w:t>~1</w:t>
            </w:r>
          </w:p>
        </w:tc>
        <w:tc>
          <w:tcPr>
            <w:tcW w:type="dxa" w:w="1728"/>
          </w:tcPr>
          <w:p>
            <w:r>
              <w:rPr>
                <w:sz w:val="20"/>
              </w:rPr>
              <w:t>Historically used as a CYP2D6 inhibitor probe; rarely used clinically today</w:t>
            </w:r>
          </w:p>
        </w:tc>
      </w:tr>
      <w:tr>
        <w:tc>
          <w:tcPr>
            <w:tcW w:type="dxa" w:w="1728"/>
          </w:tcPr>
          <w:p>
            <w:r>
              <w:rPr>
                <w:sz w:val="20"/>
              </w:rPr>
              <w:t>Terbinafine</w:t>
            </w:r>
          </w:p>
        </w:tc>
        <w:tc>
          <w:tcPr>
            <w:tcW w:type="dxa" w:w="1728"/>
          </w:tcPr>
          <w:p>
            <w:r>
              <w:rPr>
                <w:sz w:val="20"/>
              </w:rPr>
              <w:t>Strong</w:t>
            </w:r>
          </w:p>
        </w:tc>
        <w:tc>
          <w:tcPr>
            <w:tcW w:type="dxa" w:w="1728"/>
          </w:tcPr>
          <w:p>
            <w:r>
              <w:rPr>
                <w:sz w:val="20"/>
              </w:rPr>
              <w:t>Antifungal</w:t>
            </w:r>
          </w:p>
        </w:tc>
        <w:tc>
          <w:tcPr>
            <w:tcW w:type="dxa" w:w="1728"/>
          </w:tcPr>
          <w:p>
            <w:r>
              <w:rPr>
                <w:sz w:val="20"/>
              </w:rPr>
              <w:t>~5</w:t>
            </w:r>
          </w:p>
        </w:tc>
        <w:tc>
          <w:tcPr>
            <w:tcW w:type="dxa" w:w="1728"/>
          </w:tcPr>
          <w:p>
            <w:r>
              <w:rPr>
                <w:sz w:val="20"/>
              </w:rPr>
              <w:t>Mechanism-based inhibitor; effect persists after discontinuation</w:t>
            </w:r>
          </w:p>
        </w:tc>
      </w:tr>
      <w:tr>
        <w:tc>
          <w:tcPr>
            <w:tcW w:type="dxa" w:w="1728"/>
          </w:tcPr>
          <w:p>
            <w:r>
              <w:rPr>
                <w:sz w:val="20"/>
              </w:rPr>
              <w:t>Duloxetine</w:t>
            </w:r>
          </w:p>
        </w:tc>
        <w:tc>
          <w:tcPr>
            <w:tcW w:type="dxa" w:w="1728"/>
          </w:tcPr>
          <w:p>
            <w:r>
              <w:rPr>
                <w:sz w:val="20"/>
              </w:rPr>
              <w:t>Moderate</w:t>
            </w:r>
          </w:p>
        </w:tc>
        <w:tc>
          <w:tcPr>
            <w:tcW w:type="dxa" w:w="1728"/>
          </w:tcPr>
          <w:p>
            <w:r>
              <w:rPr>
                <w:sz w:val="20"/>
              </w:rPr>
              <w:t>SNRI antidepressant</w:t>
            </w:r>
          </w:p>
        </w:tc>
        <w:tc>
          <w:tcPr>
            <w:tcW w:type="dxa" w:w="1728"/>
          </w:tcPr>
          <w:p>
            <w:r>
              <w:rPr>
                <w:sz w:val="20"/>
              </w:rPr>
              <w:t>~100</w:t>
            </w:r>
          </w:p>
        </w:tc>
        <w:tc>
          <w:tcPr>
            <w:tcW w:type="dxa" w:w="1728"/>
          </w:tcPr>
          <w:p>
            <w:r>
              <w:rPr>
                <w:sz w:val="20"/>
              </w:rPr>
              <w:t>Moderate inhibition; clinically relevant for CYP2D6 IM patients</w:t>
            </w:r>
          </w:p>
        </w:tc>
      </w:tr>
      <w:tr>
        <w:tc>
          <w:tcPr>
            <w:tcW w:type="dxa" w:w="1728"/>
          </w:tcPr>
          <w:p>
            <w:r>
              <w:rPr>
                <w:sz w:val="20"/>
              </w:rPr>
              <w:t>Sertraline</w:t>
            </w:r>
          </w:p>
        </w:tc>
        <w:tc>
          <w:tcPr>
            <w:tcW w:type="dxa" w:w="1728"/>
          </w:tcPr>
          <w:p>
            <w:r>
              <w:rPr>
                <w:sz w:val="20"/>
              </w:rPr>
              <w:t>Moderate</w:t>
            </w:r>
          </w:p>
        </w:tc>
        <w:tc>
          <w:tcPr>
            <w:tcW w:type="dxa" w:w="1728"/>
          </w:tcPr>
          <w:p>
            <w:r>
              <w:rPr>
                <w:sz w:val="20"/>
              </w:rPr>
              <w:t>SSRI antidepressant</w:t>
            </w:r>
          </w:p>
        </w:tc>
        <w:tc>
          <w:tcPr>
            <w:tcW w:type="dxa" w:w="1728"/>
          </w:tcPr>
          <w:p>
            <w:r>
              <w:rPr>
                <w:sz w:val="20"/>
              </w:rPr>
              <w:t>~200</w:t>
            </w:r>
          </w:p>
        </w:tc>
        <w:tc>
          <w:tcPr>
            <w:tcW w:type="dxa" w:w="1728"/>
          </w:tcPr>
          <w:p>
            <w:r>
              <w:rPr>
                <w:sz w:val="20"/>
              </w:rPr>
              <w:t>Dose-dependent inhibition; moderate at high doses</w:t>
            </w:r>
          </w:p>
        </w:tc>
      </w:tr>
      <w:tr>
        <w:tc>
          <w:tcPr>
            <w:tcW w:type="dxa" w:w="1728"/>
          </w:tcPr>
          <w:p>
            <w:r>
              <w:rPr>
                <w:sz w:val="20"/>
              </w:rPr>
              <w:t>Diphenhydramine</w:t>
            </w:r>
          </w:p>
        </w:tc>
        <w:tc>
          <w:tcPr>
            <w:tcW w:type="dxa" w:w="1728"/>
          </w:tcPr>
          <w:p>
            <w:r>
              <w:rPr>
                <w:sz w:val="20"/>
              </w:rPr>
              <w:t>Moderate</w:t>
            </w:r>
          </w:p>
        </w:tc>
        <w:tc>
          <w:tcPr>
            <w:tcW w:type="dxa" w:w="1728"/>
          </w:tcPr>
          <w:p>
            <w:r>
              <w:rPr>
                <w:sz w:val="20"/>
              </w:rPr>
              <w:t>Antihistamine</w:t>
            </w:r>
          </w:p>
        </w:tc>
        <w:tc>
          <w:tcPr>
            <w:tcW w:type="dxa" w:w="1728"/>
          </w:tcPr>
          <w:p>
            <w:r>
              <w:rPr>
                <w:sz w:val="20"/>
              </w:rPr>
              <w:t>~150</w:t>
            </w:r>
          </w:p>
        </w:tc>
        <w:tc>
          <w:tcPr>
            <w:tcW w:type="dxa" w:w="1728"/>
          </w:tcPr>
          <w:p>
            <w:r>
              <w:rPr>
                <w:sz w:val="20"/>
              </w:rPr>
              <w:t>Often overlooked as OTC CYP2D6 inhibitor</w:t>
            </w:r>
          </w:p>
        </w:tc>
      </w:tr>
      <w:tr>
        <w:tc>
          <w:tcPr>
            <w:tcW w:type="dxa" w:w="1728"/>
          </w:tcPr>
          <w:p>
            <w:r>
              <w:rPr>
                <w:sz w:val="20"/>
              </w:rPr>
              <w:t>Cimetidine</w:t>
            </w:r>
          </w:p>
        </w:tc>
        <w:tc>
          <w:tcPr>
            <w:tcW w:type="dxa" w:w="1728"/>
          </w:tcPr>
          <w:p>
            <w:r>
              <w:rPr>
                <w:sz w:val="20"/>
              </w:rPr>
              <w:t>Weak</w:t>
            </w:r>
          </w:p>
        </w:tc>
        <w:tc>
          <w:tcPr>
            <w:tcW w:type="dxa" w:w="1728"/>
          </w:tcPr>
          <w:p>
            <w:r>
              <w:rPr>
                <w:sz w:val="20"/>
              </w:rPr>
              <w:t>H2 blocker</w:t>
            </w:r>
          </w:p>
        </w:tc>
        <w:tc>
          <w:tcPr>
            <w:tcW w:type="dxa" w:w="1728"/>
          </w:tcPr>
          <w:p>
            <w:r>
              <w:rPr>
                <w:sz w:val="20"/>
              </w:rPr>
              <w:t>~500</w:t>
            </w:r>
          </w:p>
        </w:tc>
        <w:tc>
          <w:tcPr>
            <w:tcW w:type="dxa" w:w="1728"/>
          </w:tcPr>
          <w:p>
            <w:r>
              <w:rPr>
                <w:sz w:val="20"/>
              </w:rPr>
              <w:t>Non-selective; weak inhibitor of multiple CYPs</w:t>
            </w:r>
          </w:p>
        </w:tc>
      </w:tr>
    </w:tbl>
    <w:p>
      <w:r>
        <w:t>CYP2C19 Inhibitors: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Inhibitor Strength</w:t>
            </w:r>
          </w:p>
        </w:tc>
        <w:tc>
          <w:tcPr>
            <w:tcW w:type="dxa" w:w="2160"/>
          </w:tcPr>
          <w:p>
            <w:r>
              <w:rPr>
                <w:b/>
                <w:sz w:val="20"/>
              </w:rPr>
              <w:t>Drug Class</w:t>
            </w:r>
          </w:p>
        </w:tc>
        <w:tc>
          <w:tcPr>
            <w:tcW w:type="dxa" w:w="2160"/>
          </w:tcPr>
          <w:p>
            <w:r>
              <w:rPr>
                <w:b/>
                <w:sz w:val="20"/>
              </w:rPr>
              <w:t>Clinical Notes</w:t>
            </w:r>
          </w:p>
        </w:tc>
      </w:tr>
      <w:tr>
        <w:tc>
          <w:tcPr>
            <w:tcW w:type="dxa" w:w="2160"/>
          </w:tcPr>
          <w:p>
            <w:r>
              <w:rPr>
                <w:sz w:val="20"/>
              </w:rPr>
              <w:t>Fluvoxamine</w:t>
            </w:r>
          </w:p>
        </w:tc>
        <w:tc>
          <w:tcPr>
            <w:tcW w:type="dxa" w:w="2160"/>
          </w:tcPr>
          <w:p>
            <w:r>
              <w:rPr>
                <w:sz w:val="20"/>
              </w:rPr>
              <w:t>Strong</w:t>
            </w:r>
          </w:p>
        </w:tc>
        <w:tc>
          <w:tcPr>
            <w:tcW w:type="dxa" w:w="2160"/>
          </w:tcPr>
          <w:p>
            <w:r>
              <w:rPr>
                <w:sz w:val="20"/>
              </w:rPr>
              <w:t>SSRI antidepressant</w:t>
            </w:r>
          </w:p>
        </w:tc>
        <w:tc>
          <w:tcPr>
            <w:tcW w:type="dxa" w:w="2160"/>
          </w:tcPr>
          <w:p>
            <w:r>
              <w:rPr>
                <w:sz w:val="20"/>
              </w:rPr>
              <w:t>Also strong CYP1A2 inhibitor; multi-CYP effects</w:t>
            </w:r>
          </w:p>
        </w:tc>
      </w:tr>
      <w:tr>
        <w:tc>
          <w:tcPr>
            <w:tcW w:type="dxa" w:w="2160"/>
          </w:tcPr>
          <w:p>
            <w:r>
              <w:rPr>
                <w:sz w:val="20"/>
              </w:rPr>
              <w:t>Fluconazole</w:t>
            </w:r>
          </w:p>
        </w:tc>
        <w:tc>
          <w:tcPr>
            <w:tcW w:type="dxa" w:w="2160"/>
          </w:tcPr>
          <w:p>
            <w:r>
              <w:rPr>
                <w:sz w:val="20"/>
              </w:rPr>
              <w:t>Strong</w:t>
            </w:r>
          </w:p>
        </w:tc>
        <w:tc>
          <w:tcPr>
            <w:tcW w:type="dxa" w:w="2160"/>
          </w:tcPr>
          <w:p>
            <w:r>
              <w:rPr>
                <w:sz w:val="20"/>
              </w:rPr>
              <w:t>Azole antifungal</w:t>
            </w:r>
          </w:p>
        </w:tc>
        <w:tc>
          <w:tcPr>
            <w:tcW w:type="dxa" w:w="2160"/>
          </w:tcPr>
          <w:p>
            <w:r>
              <w:rPr>
                <w:sz w:val="20"/>
              </w:rPr>
              <w:t>Dose-dependent; strong at doses &gt;= 200 mg/day</w:t>
            </w:r>
          </w:p>
        </w:tc>
      </w:tr>
      <w:tr>
        <w:tc>
          <w:tcPr>
            <w:tcW w:type="dxa" w:w="2160"/>
          </w:tcPr>
          <w:p>
            <w:r>
              <w:rPr>
                <w:sz w:val="20"/>
              </w:rPr>
              <w:t>Ticlopidine</w:t>
            </w:r>
          </w:p>
        </w:tc>
        <w:tc>
          <w:tcPr>
            <w:tcW w:type="dxa" w:w="2160"/>
          </w:tcPr>
          <w:p>
            <w:r>
              <w:rPr>
                <w:sz w:val="20"/>
              </w:rPr>
              <w:t>Strong</w:t>
            </w:r>
          </w:p>
        </w:tc>
        <w:tc>
          <w:tcPr>
            <w:tcW w:type="dxa" w:w="2160"/>
          </w:tcPr>
          <w:p>
            <w:r>
              <w:rPr>
                <w:sz w:val="20"/>
              </w:rPr>
              <w:t>Antiplatelet</w:t>
            </w:r>
          </w:p>
        </w:tc>
        <w:tc>
          <w:tcPr>
            <w:tcW w:type="dxa" w:w="2160"/>
          </w:tcPr>
          <w:p>
            <w:r>
              <w:rPr>
                <w:sz w:val="20"/>
              </w:rPr>
              <w:t>Also inhibits CYP2D6; multiple CYP effects</w:t>
            </w:r>
          </w:p>
        </w:tc>
      </w:tr>
      <w:tr>
        <w:tc>
          <w:tcPr>
            <w:tcW w:type="dxa" w:w="2160"/>
          </w:tcPr>
          <w:p>
            <w:r>
              <w:rPr>
                <w:sz w:val="20"/>
              </w:rPr>
              <w:t>Omeprazole</w:t>
            </w:r>
          </w:p>
        </w:tc>
        <w:tc>
          <w:tcPr>
            <w:tcW w:type="dxa" w:w="2160"/>
          </w:tcPr>
          <w:p>
            <w:r>
              <w:rPr>
                <w:sz w:val="20"/>
              </w:rPr>
              <w:t>Moderate</w:t>
            </w:r>
          </w:p>
        </w:tc>
        <w:tc>
          <w:tcPr>
            <w:tcW w:type="dxa" w:w="2160"/>
          </w:tcPr>
          <w:p>
            <w:r>
              <w:rPr>
                <w:sz w:val="20"/>
              </w:rPr>
              <w:t>Proton pump inhibitor</w:t>
            </w:r>
          </w:p>
        </w:tc>
        <w:tc>
          <w:tcPr>
            <w:tcW w:type="dxa" w:w="2160"/>
          </w:tcPr>
          <w:p>
            <w:r>
              <w:rPr>
                <w:sz w:val="20"/>
              </w:rPr>
              <w:t>Self-inhibition; CYP2C19 metabolizes PPIs</w:t>
            </w:r>
          </w:p>
        </w:tc>
      </w:tr>
      <w:tr>
        <w:tc>
          <w:tcPr>
            <w:tcW w:type="dxa" w:w="2160"/>
          </w:tcPr>
          <w:p>
            <w:r>
              <w:rPr>
                <w:sz w:val="20"/>
              </w:rPr>
              <w:t>Esomeprazole</w:t>
            </w:r>
          </w:p>
        </w:tc>
        <w:tc>
          <w:tcPr>
            <w:tcW w:type="dxa" w:w="2160"/>
          </w:tcPr>
          <w:p>
            <w:r>
              <w:rPr>
                <w:sz w:val="20"/>
              </w:rPr>
              <w:t>Moderate</w:t>
            </w:r>
          </w:p>
        </w:tc>
        <w:tc>
          <w:tcPr>
            <w:tcW w:type="dxa" w:w="2160"/>
          </w:tcPr>
          <w:p>
            <w:r>
              <w:rPr>
                <w:sz w:val="20"/>
              </w:rPr>
              <w:t>Proton pump inhibitor</w:t>
            </w:r>
          </w:p>
        </w:tc>
        <w:tc>
          <w:tcPr>
            <w:tcW w:type="dxa" w:w="2160"/>
          </w:tcPr>
          <w:p>
            <w:r>
              <w:rPr>
                <w:sz w:val="20"/>
              </w:rPr>
              <w:t>S-enantiomer of omeprazole; similar inhibition</w:t>
            </w:r>
          </w:p>
        </w:tc>
      </w:tr>
      <w:tr>
        <w:tc>
          <w:tcPr>
            <w:tcW w:type="dxa" w:w="2160"/>
          </w:tcPr>
          <w:p>
            <w:r>
              <w:rPr>
                <w:sz w:val="20"/>
              </w:rPr>
              <w:t>Cimetidine</w:t>
            </w:r>
          </w:p>
        </w:tc>
        <w:tc>
          <w:tcPr>
            <w:tcW w:type="dxa" w:w="2160"/>
          </w:tcPr>
          <w:p>
            <w:r>
              <w:rPr>
                <w:sz w:val="20"/>
              </w:rPr>
              <w:t>Weak</w:t>
            </w:r>
          </w:p>
        </w:tc>
        <w:tc>
          <w:tcPr>
            <w:tcW w:type="dxa" w:w="2160"/>
          </w:tcPr>
          <w:p>
            <w:r>
              <w:rPr>
                <w:sz w:val="20"/>
              </w:rPr>
              <w:t>H2 blocker</w:t>
            </w:r>
          </w:p>
        </w:tc>
        <w:tc>
          <w:tcPr>
            <w:tcW w:type="dxa" w:w="2160"/>
          </w:tcPr>
          <w:p>
            <w:r>
              <w:rPr>
                <w:sz w:val="20"/>
              </w:rPr>
              <w:t>Non-selective weak inhibitor</w:t>
            </w:r>
          </w:p>
        </w:tc>
      </w:tr>
    </w:tbl>
    <w:p>
      <w:r>
        <w:t>CYP2C9 Inhibitors: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Inhibitor Strength</w:t>
            </w:r>
          </w:p>
        </w:tc>
        <w:tc>
          <w:tcPr>
            <w:tcW w:type="dxa" w:w="2160"/>
          </w:tcPr>
          <w:p>
            <w:r>
              <w:rPr>
                <w:b/>
                <w:sz w:val="20"/>
              </w:rPr>
              <w:t>Drug Class</w:t>
            </w:r>
          </w:p>
        </w:tc>
        <w:tc>
          <w:tcPr>
            <w:tcW w:type="dxa" w:w="2160"/>
          </w:tcPr>
          <w:p>
            <w:r>
              <w:rPr>
                <w:b/>
                <w:sz w:val="20"/>
              </w:rPr>
              <w:t>Clinical Notes</w:t>
            </w:r>
          </w:p>
        </w:tc>
      </w:tr>
      <w:tr>
        <w:tc>
          <w:tcPr>
            <w:tcW w:type="dxa" w:w="2160"/>
          </w:tcPr>
          <w:p>
            <w:r>
              <w:rPr>
                <w:sz w:val="20"/>
              </w:rPr>
              <w:t>Fluconazole</w:t>
            </w:r>
          </w:p>
        </w:tc>
        <w:tc>
          <w:tcPr>
            <w:tcW w:type="dxa" w:w="2160"/>
          </w:tcPr>
          <w:p>
            <w:r>
              <w:rPr>
                <w:sz w:val="20"/>
              </w:rPr>
              <w:t>Strong</w:t>
            </w:r>
          </w:p>
        </w:tc>
        <w:tc>
          <w:tcPr>
            <w:tcW w:type="dxa" w:w="2160"/>
          </w:tcPr>
          <w:p>
            <w:r>
              <w:rPr>
                <w:sz w:val="20"/>
              </w:rPr>
              <w:t>Azole antifungal</w:t>
            </w:r>
          </w:p>
        </w:tc>
        <w:tc>
          <w:tcPr>
            <w:tcW w:type="dxa" w:w="2160"/>
          </w:tcPr>
          <w:p>
            <w:r>
              <w:rPr>
                <w:sz w:val="20"/>
              </w:rPr>
              <w:t>Significantly increases warfarin levels</w:t>
            </w:r>
          </w:p>
        </w:tc>
      </w:tr>
      <w:tr>
        <w:tc>
          <w:tcPr>
            <w:tcW w:type="dxa" w:w="2160"/>
          </w:tcPr>
          <w:p>
            <w:r>
              <w:rPr>
                <w:sz w:val="20"/>
              </w:rPr>
              <w:t>Amiodarone</w:t>
            </w:r>
          </w:p>
        </w:tc>
        <w:tc>
          <w:tcPr>
            <w:tcW w:type="dxa" w:w="2160"/>
          </w:tcPr>
          <w:p>
            <w:r>
              <w:rPr>
                <w:sz w:val="20"/>
              </w:rPr>
              <w:t>Moderate</w:t>
            </w:r>
          </w:p>
        </w:tc>
        <w:tc>
          <w:tcPr>
            <w:tcW w:type="dxa" w:w="2160"/>
          </w:tcPr>
          <w:p>
            <w:r>
              <w:rPr>
                <w:sz w:val="20"/>
              </w:rPr>
              <w:t>Antiarrhythmic</w:t>
            </w:r>
          </w:p>
        </w:tc>
        <w:tc>
          <w:tcPr>
            <w:tcW w:type="dxa" w:w="2160"/>
          </w:tcPr>
          <w:p>
            <w:r>
              <w:rPr>
                <w:sz w:val="20"/>
              </w:rPr>
              <w:t>Also inhibits CYP3A4; major drug interaction with warfarin</w:t>
            </w:r>
          </w:p>
        </w:tc>
      </w:tr>
      <w:tr>
        <w:tc>
          <w:tcPr>
            <w:tcW w:type="dxa" w:w="2160"/>
          </w:tcPr>
          <w:p>
            <w:r>
              <w:rPr>
                <w:sz w:val="20"/>
              </w:rPr>
              <w:t>Fluvoxamine</w:t>
            </w:r>
          </w:p>
        </w:tc>
        <w:tc>
          <w:tcPr>
            <w:tcW w:type="dxa" w:w="2160"/>
          </w:tcPr>
          <w:p>
            <w:r>
              <w:rPr>
                <w:sz w:val="20"/>
              </w:rPr>
              <w:t>Moderate</w:t>
            </w:r>
          </w:p>
        </w:tc>
        <w:tc>
          <w:tcPr>
            <w:tcW w:type="dxa" w:w="2160"/>
          </w:tcPr>
          <w:p>
            <w:r>
              <w:rPr>
                <w:sz w:val="20"/>
              </w:rPr>
              <w:t>SSRI antidepressant</w:t>
            </w:r>
          </w:p>
        </w:tc>
        <w:tc>
          <w:tcPr>
            <w:tcW w:type="dxa" w:w="2160"/>
          </w:tcPr>
          <w:p>
            <w:r>
              <w:rPr>
                <w:sz w:val="20"/>
              </w:rPr>
              <w:t>Multi-CYP inhibitor</w:t>
            </w:r>
          </w:p>
        </w:tc>
      </w:tr>
      <w:tr>
        <w:tc>
          <w:tcPr>
            <w:tcW w:type="dxa" w:w="2160"/>
          </w:tcPr>
          <w:p>
            <w:r>
              <w:rPr>
                <w:sz w:val="20"/>
              </w:rPr>
              <w:t>Metronidazole</w:t>
            </w:r>
          </w:p>
        </w:tc>
        <w:tc>
          <w:tcPr>
            <w:tcW w:type="dxa" w:w="2160"/>
          </w:tcPr>
          <w:p>
            <w:r>
              <w:rPr>
                <w:sz w:val="20"/>
              </w:rPr>
              <w:t>Moderate</w:t>
            </w:r>
          </w:p>
        </w:tc>
        <w:tc>
          <w:tcPr>
            <w:tcW w:type="dxa" w:w="2160"/>
          </w:tcPr>
          <w:p>
            <w:r>
              <w:rPr>
                <w:sz w:val="20"/>
              </w:rPr>
              <w:t>Antibiotic</w:t>
            </w:r>
          </w:p>
        </w:tc>
        <w:tc>
          <w:tcPr>
            <w:tcW w:type="dxa" w:w="2160"/>
          </w:tcPr>
          <w:p>
            <w:r>
              <w:rPr>
                <w:sz w:val="20"/>
              </w:rPr>
              <w:t>Interaction with warfarin well-documented</w:t>
            </w:r>
          </w:p>
        </w:tc>
      </w:tr>
    </w:tbl>
    <w:p>
      <w:r>
        <w:t>CYP3A4/5 Inhibitors: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Inhibitor Strength</w:t>
            </w:r>
          </w:p>
        </w:tc>
        <w:tc>
          <w:tcPr>
            <w:tcW w:type="dxa" w:w="2160"/>
          </w:tcPr>
          <w:p>
            <w:r>
              <w:rPr>
                <w:b/>
                <w:sz w:val="20"/>
              </w:rPr>
              <w:t>Drug Class</w:t>
            </w:r>
          </w:p>
        </w:tc>
        <w:tc>
          <w:tcPr>
            <w:tcW w:type="dxa" w:w="2160"/>
          </w:tcPr>
          <w:p>
            <w:r>
              <w:rPr>
                <w:b/>
                <w:sz w:val="20"/>
              </w:rPr>
              <w:t>Clinical Notes</w:t>
            </w:r>
          </w:p>
        </w:tc>
      </w:tr>
      <w:tr>
        <w:tc>
          <w:tcPr>
            <w:tcW w:type="dxa" w:w="2160"/>
          </w:tcPr>
          <w:p>
            <w:r>
              <w:rPr>
                <w:sz w:val="20"/>
              </w:rPr>
              <w:t>Ketoconazole</w:t>
            </w:r>
          </w:p>
        </w:tc>
        <w:tc>
          <w:tcPr>
            <w:tcW w:type="dxa" w:w="2160"/>
          </w:tcPr>
          <w:p>
            <w:r>
              <w:rPr>
                <w:sz w:val="20"/>
              </w:rPr>
              <w:t>Strong</w:t>
            </w:r>
          </w:p>
        </w:tc>
        <w:tc>
          <w:tcPr>
            <w:tcW w:type="dxa" w:w="2160"/>
          </w:tcPr>
          <w:p>
            <w:r>
              <w:rPr>
                <w:sz w:val="20"/>
              </w:rPr>
              <w:t>Azole antifungal</w:t>
            </w:r>
          </w:p>
        </w:tc>
        <w:tc>
          <w:tcPr>
            <w:tcW w:type="dxa" w:w="2160"/>
          </w:tcPr>
          <w:p>
            <w:r>
              <w:rPr>
                <w:sz w:val="20"/>
              </w:rPr>
              <w:t>Prototypical CYP3A4 inhibitor; used as probe</w:t>
            </w:r>
          </w:p>
        </w:tc>
      </w:tr>
      <w:tr>
        <w:tc>
          <w:tcPr>
            <w:tcW w:type="dxa" w:w="2160"/>
          </w:tcPr>
          <w:p>
            <w:r>
              <w:rPr>
                <w:sz w:val="20"/>
              </w:rPr>
              <w:t>Itraconazole</w:t>
            </w:r>
          </w:p>
        </w:tc>
        <w:tc>
          <w:tcPr>
            <w:tcW w:type="dxa" w:w="2160"/>
          </w:tcPr>
          <w:p>
            <w:r>
              <w:rPr>
                <w:sz w:val="20"/>
              </w:rPr>
              <w:t>Strong</w:t>
            </w:r>
          </w:p>
        </w:tc>
        <w:tc>
          <w:tcPr>
            <w:tcW w:type="dxa" w:w="2160"/>
          </w:tcPr>
          <w:p>
            <w:r>
              <w:rPr>
                <w:sz w:val="20"/>
              </w:rPr>
              <w:t>Azole antifungal</w:t>
            </w:r>
          </w:p>
        </w:tc>
        <w:tc>
          <w:tcPr>
            <w:tcW w:type="dxa" w:w="2160"/>
          </w:tcPr>
          <w:p>
            <w:r>
              <w:rPr>
                <w:sz w:val="20"/>
              </w:rPr>
              <w:t>Also inhibits P-glycoprotein</w:t>
            </w:r>
          </w:p>
        </w:tc>
      </w:tr>
      <w:tr>
        <w:tc>
          <w:tcPr>
            <w:tcW w:type="dxa" w:w="2160"/>
          </w:tcPr>
          <w:p>
            <w:r>
              <w:rPr>
                <w:sz w:val="20"/>
              </w:rPr>
              <w:t>Clarithromycin</w:t>
            </w:r>
          </w:p>
        </w:tc>
        <w:tc>
          <w:tcPr>
            <w:tcW w:type="dxa" w:w="2160"/>
          </w:tcPr>
          <w:p>
            <w:r>
              <w:rPr>
                <w:sz w:val="20"/>
              </w:rPr>
              <w:t>Strong</w:t>
            </w:r>
          </w:p>
        </w:tc>
        <w:tc>
          <w:tcPr>
            <w:tcW w:type="dxa" w:w="2160"/>
          </w:tcPr>
          <w:p>
            <w:r>
              <w:rPr>
                <w:sz w:val="20"/>
              </w:rPr>
              <w:t>Macrolide antibiotic</w:t>
            </w:r>
          </w:p>
        </w:tc>
        <w:tc>
          <w:tcPr>
            <w:tcW w:type="dxa" w:w="2160"/>
          </w:tcPr>
          <w:p>
            <w:r>
              <w:rPr>
                <w:sz w:val="20"/>
              </w:rPr>
              <w:t>Mechanism-based inhibitor</w:t>
            </w:r>
          </w:p>
        </w:tc>
      </w:tr>
      <w:tr>
        <w:tc>
          <w:tcPr>
            <w:tcW w:type="dxa" w:w="2160"/>
          </w:tcPr>
          <w:p>
            <w:r>
              <w:rPr>
                <w:sz w:val="20"/>
              </w:rPr>
              <w:t>Ritonavir</w:t>
            </w:r>
          </w:p>
        </w:tc>
        <w:tc>
          <w:tcPr>
            <w:tcW w:type="dxa" w:w="2160"/>
          </w:tcPr>
          <w:p>
            <w:r>
              <w:rPr>
                <w:sz w:val="20"/>
              </w:rPr>
              <w:t>Strong</w:t>
            </w:r>
          </w:p>
        </w:tc>
        <w:tc>
          <w:tcPr>
            <w:tcW w:type="dxa" w:w="2160"/>
          </w:tcPr>
          <w:p>
            <w:r>
              <w:rPr>
                <w:sz w:val="20"/>
              </w:rPr>
              <w:t>HIV protease inhibitor</w:t>
            </w:r>
          </w:p>
        </w:tc>
        <w:tc>
          <w:tcPr>
            <w:tcW w:type="dxa" w:w="2160"/>
          </w:tcPr>
          <w:p>
            <w:r>
              <w:rPr>
                <w:sz w:val="20"/>
              </w:rPr>
              <w:t>Used as pharmacokinetic booster for other antivirals</w:t>
            </w:r>
          </w:p>
        </w:tc>
      </w:tr>
      <w:tr>
        <w:tc>
          <w:tcPr>
            <w:tcW w:type="dxa" w:w="2160"/>
          </w:tcPr>
          <w:p>
            <w:r>
              <w:rPr>
                <w:sz w:val="20"/>
              </w:rPr>
              <w:t>Grapefruit juice</w:t>
            </w:r>
          </w:p>
        </w:tc>
        <w:tc>
          <w:tcPr>
            <w:tcW w:type="dxa" w:w="2160"/>
          </w:tcPr>
          <w:p>
            <w:r>
              <w:rPr>
                <w:sz w:val="20"/>
              </w:rPr>
              <w:t>Moderate</w:t>
            </w:r>
          </w:p>
        </w:tc>
        <w:tc>
          <w:tcPr>
            <w:tcW w:type="dxa" w:w="2160"/>
          </w:tcPr>
          <w:p>
            <w:r>
              <w:rPr>
                <w:sz w:val="20"/>
              </w:rPr>
              <w:t>Food</w:t>
            </w:r>
          </w:p>
        </w:tc>
        <w:tc>
          <w:tcPr>
            <w:tcW w:type="dxa" w:w="2160"/>
          </w:tcPr>
          <w:p>
            <w:r>
              <w:rPr>
                <w:sz w:val="20"/>
              </w:rPr>
              <w:t>Furanocoumarins in grapefruit inhibit intestinal CYP3A4</w:t>
            </w:r>
          </w:p>
        </w:tc>
      </w:tr>
      <w:tr>
        <w:tc>
          <w:tcPr>
            <w:tcW w:type="dxa" w:w="2160"/>
          </w:tcPr>
          <w:p>
            <w:r>
              <w:rPr>
                <w:sz w:val="20"/>
              </w:rPr>
              <w:t>Erythromycin</w:t>
            </w:r>
          </w:p>
        </w:tc>
        <w:tc>
          <w:tcPr>
            <w:tcW w:type="dxa" w:w="2160"/>
          </w:tcPr>
          <w:p>
            <w:r>
              <w:rPr>
                <w:sz w:val="20"/>
              </w:rPr>
              <w:t>Moderate</w:t>
            </w:r>
          </w:p>
        </w:tc>
        <w:tc>
          <w:tcPr>
            <w:tcW w:type="dxa" w:w="2160"/>
          </w:tcPr>
          <w:p>
            <w:r>
              <w:rPr>
                <w:sz w:val="20"/>
              </w:rPr>
              <w:t>Macrolide antibiotic</w:t>
            </w:r>
          </w:p>
        </w:tc>
        <w:tc>
          <w:tcPr>
            <w:tcW w:type="dxa" w:w="2160"/>
          </w:tcPr>
          <w:p>
            <w:r>
              <w:rPr>
                <w:sz w:val="20"/>
              </w:rPr>
              <w:t>Mechanism-based inhibitor</w:t>
            </w:r>
          </w:p>
        </w:tc>
      </w:tr>
      <w:tr>
        <w:tc>
          <w:tcPr>
            <w:tcW w:type="dxa" w:w="2160"/>
          </w:tcPr>
          <w:p>
            <w:r>
              <w:rPr>
                <w:sz w:val="20"/>
              </w:rPr>
              <w:t>Diltiazem</w:t>
            </w:r>
          </w:p>
        </w:tc>
        <w:tc>
          <w:tcPr>
            <w:tcW w:type="dxa" w:w="2160"/>
          </w:tcPr>
          <w:p>
            <w:r>
              <w:rPr>
                <w:sz w:val="20"/>
              </w:rPr>
              <w:t>Moderate</w:t>
            </w:r>
          </w:p>
        </w:tc>
        <w:tc>
          <w:tcPr>
            <w:tcW w:type="dxa" w:w="2160"/>
          </w:tcPr>
          <w:p>
            <w:r>
              <w:rPr>
                <w:sz w:val="20"/>
              </w:rPr>
              <w:t>Calcium channel blocker</w:t>
            </w:r>
          </w:p>
        </w:tc>
        <w:tc>
          <w:tcPr>
            <w:tcW w:type="dxa" w:w="2160"/>
          </w:tcPr>
          <w:p>
            <w:r>
              <w:rPr>
                <w:sz w:val="20"/>
              </w:rPr>
              <w:t>Clinically relevant with tacrolimus, statins</w:t>
            </w:r>
          </w:p>
        </w:tc>
      </w:tr>
      <w:tr>
        <w:tc>
          <w:tcPr>
            <w:tcW w:type="dxa" w:w="2160"/>
          </w:tcPr>
          <w:p>
            <w:r>
              <w:rPr>
                <w:sz w:val="20"/>
              </w:rPr>
              <w:t>Verapamil</w:t>
            </w:r>
          </w:p>
        </w:tc>
        <w:tc>
          <w:tcPr>
            <w:tcW w:type="dxa" w:w="2160"/>
          </w:tcPr>
          <w:p>
            <w:r>
              <w:rPr>
                <w:sz w:val="20"/>
              </w:rPr>
              <w:t>Moderate</w:t>
            </w:r>
          </w:p>
        </w:tc>
        <w:tc>
          <w:tcPr>
            <w:tcW w:type="dxa" w:w="2160"/>
          </w:tcPr>
          <w:p>
            <w:r>
              <w:rPr>
                <w:sz w:val="20"/>
              </w:rPr>
              <w:t>Calcium channel blocker</w:t>
            </w:r>
          </w:p>
        </w:tc>
        <w:tc>
          <w:tcPr>
            <w:tcW w:type="dxa" w:w="2160"/>
          </w:tcPr>
          <w:p>
            <w:r>
              <w:rPr>
                <w:sz w:val="20"/>
              </w:rPr>
              <w:t>Also inhibits P-glycoprotein</w:t>
            </w:r>
          </w:p>
        </w:tc>
      </w:tr>
    </w:tbl>
    <w:p>
      <w:pPr>
        <w:pStyle w:val="Heading3"/>
      </w:pPr>
      <w:r>
        <w:t>CYP Inducer Catalog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Enzymes Induced</w:t>
            </w:r>
          </w:p>
        </w:tc>
        <w:tc>
          <w:tcPr>
            <w:tcW w:type="dxa" w:w="2160"/>
          </w:tcPr>
          <w:p>
            <w:r>
              <w:rPr>
                <w:b/>
                <w:sz w:val="20"/>
              </w:rPr>
              <w:t>Inducer Strength</w:t>
            </w:r>
          </w:p>
        </w:tc>
        <w:tc>
          <w:tcPr>
            <w:tcW w:type="dxa" w:w="2160"/>
          </w:tcPr>
          <w:p>
            <w:r>
              <w:rPr>
                <w:b/>
                <w:sz w:val="20"/>
              </w:rPr>
              <w:t>Clinical Notes</w:t>
            </w:r>
          </w:p>
        </w:tc>
      </w:tr>
      <w:tr>
        <w:tc>
          <w:tcPr>
            <w:tcW w:type="dxa" w:w="2160"/>
          </w:tcPr>
          <w:p>
            <w:r>
              <w:rPr>
                <w:sz w:val="20"/>
              </w:rPr>
              <w:t>Rifampin</w:t>
            </w:r>
          </w:p>
        </w:tc>
        <w:tc>
          <w:tcPr>
            <w:tcW w:type="dxa" w:w="2160"/>
          </w:tcPr>
          <w:p>
            <w:r>
              <w:rPr>
                <w:sz w:val="20"/>
              </w:rPr>
              <w:t>CYP3A4, CYP2C9, CYP2C19, CYP1A2</w:t>
            </w:r>
          </w:p>
        </w:tc>
        <w:tc>
          <w:tcPr>
            <w:tcW w:type="dxa" w:w="2160"/>
          </w:tcPr>
          <w:p>
            <w:r>
              <w:rPr>
                <w:sz w:val="20"/>
              </w:rPr>
              <w:t>Strong (all)</w:t>
            </w:r>
          </w:p>
        </w:tc>
        <w:tc>
          <w:tcPr>
            <w:tcW w:type="dxa" w:w="2160"/>
          </w:tcPr>
          <w:p>
            <w:r>
              <w:rPr>
                <w:sz w:val="20"/>
              </w:rPr>
              <w:t>Most potent CYP inducer; reduces efficacy of many drugs by 50-90%</w:t>
            </w:r>
          </w:p>
        </w:tc>
      </w:tr>
      <w:tr>
        <w:tc>
          <w:tcPr>
            <w:tcW w:type="dxa" w:w="2160"/>
          </w:tcPr>
          <w:p>
            <w:r>
              <w:rPr>
                <w:sz w:val="20"/>
              </w:rPr>
              <w:t>Carbamazepine</w:t>
            </w:r>
          </w:p>
        </w:tc>
        <w:tc>
          <w:tcPr>
            <w:tcW w:type="dxa" w:w="2160"/>
          </w:tcPr>
          <w:p>
            <w:r>
              <w:rPr>
                <w:sz w:val="20"/>
              </w:rPr>
              <w:t>CYP3A4, CYP2C9, CYP1A2</w:t>
            </w:r>
          </w:p>
        </w:tc>
        <w:tc>
          <w:tcPr>
            <w:tcW w:type="dxa" w:w="2160"/>
          </w:tcPr>
          <w:p>
            <w:r>
              <w:rPr>
                <w:sz w:val="20"/>
              </w:rPr>
              <w:t>Strong</w:t>
            </w:r>
          </w:p>
        </w:tc>
        <w:tc>
          <w:tcPr>
            <w:tcW w:type="dxa" w:w="2160"/>
          </w:tcPr>
          <w:p>
            <w:r>
              <w:rPr>
                <w:sz w:val="20"/>
              </w:rPr>
              <w:t>Also induces its own metabolism (autoinduction)</w:t>
            </w:r>
          </w:p>
        </w:tc>
      </w:tr>
      <w:tr>
        <w:tc>
          <w:tcPr>
            <w:tcW w:type="dxa" w:w="2160"/>
          </w:tcPr>
          <w:p>
            <w:r>
              <w:rPr>
                <w:sz w:val="20"/>
              </w:rPr>
              <w:t>Phenytoin</w:t>
            </w:r>
          </w:p>
        </w:tc>
        <w:tc>
          <w:tcPr>
            <w:tcW w:type="dxa" w:w="2160"/>
          </w:tcPr>
          <w:p>
            <w:r>
              <w:rPr>
                <w:sz w:val="20"/>
              </w:rPr>
              <w:t>CYP3A4, CYP2C9, CYP2C19</w:t>
            </w:r>
          </w:p>
        </w:tc>
        <w:tc>
          <w:tcPr>
            <w:tcW w:type="dxa" w:w="2160"/>
          </w:tcPr>
          <w:p>
            <w:r>
              <w:rPr>
                <w:sz w:val="20"/>
              </w:rPr>
              <w:t>Strong</w:t>
            </w:r>
          </w:p>
        </w:tc>
        <w:tc>
          <w:tcPr>
            <w:tcW w:type="dxa" w:w="2160"/>
          </w:tcPr>
          <w:p>
            <w:r>
              <w:rPr>
                <w:sz w:val="20"/>
              </w:rPr>
              <w:t>Also a CYP2C9 substrate (complex kinetics)</w:t>
            </w:r>
          </w:p>
        </w:tc>
      </w:tr>
      <w:tr>
        <w:tc>
          <w:tcPr>
            <w:tcW w:type="dxa" w:w="2160"/>
          </w:tcPr>
          <w:p>
            <w:r>
              <w:rPr>
                <w:sz w:val="20"/>
              </w:rPr>
              <w:t>Phenobarbital</w:t>
            </w:r>
          </w:p>
        </w:tc>
        <w:tc>
          <w:tcPr>
            <w:tcW w:type="dxa" w:w="2160"/>
          </w:tcPr>
          <w:p>
            <w:r>
              <w:rPr>
                <w:sz w:val="20"/>
              </w:rPr>
              <w:t>CYP3A4, CYP2C9, CYP1A2</w:t>
            </w:r>
          </w:p>
        </w:tc>
        <w:tc>
          <w:tcPr>
            <w:tcW w:type="dxa" w:w="2160"/>
          </w:tcPr>
          <w:p>
            <w:r>
              <w:rPr>
                <w:sz w:val="20"/>
              </w:rPr>
              <w:t>Strong</w:t>
            </w:r>
          </w:p>
        </w:tc>
        <w:tc>
          <w:tcPr>
            <w:tcW w:type="dxa" w:w="2160"/>
          </w:tcPr>
          <w:p>
            <w:r>
              <w:rPr>
                <w:sz w:val="20"/>
              </w:rPr>
              <w:t>Long half-life; induction effect persists weeks after discontinuation</w:t>
            </w:r>
          </w:p>
        </w:tc>
      </w:tr>
      <w:tr>
        <w:tc>
          <w:tcPr>
            <w:tcW w:type="dxa" w:w="2160"/>
          </w:tcPr>
          <w:p>
            <w:r>
              <w:rPr>
                <w:sz w:val="20"/>
              </w:rPr>
              <w:t>St. John's wort</w:t>
            </w:r>
          </w:p>
        </w:tc>
        <w:tc>
          <w:tcPr>
            <w:tcW w:type="dxa" w:w="2160"/>
          </w:tcPr>
          <w:p>
            <w:r>
              <w:rPr>
                <w:sz w:val="20"/>
              </w:rPr>
              <w:t>CYP3A4, CYP2C9, CYP1A2</w:t>
            </w:r>
          </w:p>
        </w:tc>
        <w:tc>
          <w:tcPr>
            <w:tcW w:type="dxa" w:w="2160"/>
          </w:tcPr>
          <w:p>
            <w:r>
              <w:rPr>
                <w:sz w:val="20"/>
              </w:rPr>
              <w:t>Moderate</w:t>
            </w:r>
          </w:p>
        </w:tc>
        <w:tc>
          <w:tcPr>
            <w:tcW w:type="dxa" w:w="2160"/>
          </w:tcPr>
          <w:p>
            <w:r>
              <w:rPr>
                <w:sz w:val="20"/>
              </w:rPr>
              <w:t>Herbal supplement; often taken without clinician knowledge</w:t>
            </w:r>
          </w:p>
        </w:tc>
      </w:tr>
      <w:tr>
        <w:tc>
          <w:tcPr>
            <w:tcW w:type="dxa" w:w="2160"/>
          </w:tcPr>
          <w:p>
            <w:r>
              <w:rPr>
                <w:sz w:val="20"/>
              </w:rPr>
              <w:t>Efavirenz</w:t>
            </w:r>
          </w:p>
        </w:tc>
        <w:tc>
          <w:tcPr>
            <w:tcW w:type="dxa" w:w="2160"/>
          </w:tcPr>
          <w:p>
            <w:r>
              <w:rPr>
                <w:sz w:val="20"/>
              </w:rPr>
              <w:t>CYP3A4, CYP2B6</w:t>
            </w:r>
          </w:p>
        </w:tc>
        <w:tc>
          <w:tcPr>
            <w:tcW w:type="dxa" w:w="2160"/>
          </w:tcPr>
          <w:p>
            <w:r>
              <w:rPr>
                <w:sz w:val="20"/>
              </w:rPr>
              <w:t>Moderate</w:t>
            </w:r>
          </w:p>
        </w:tc>
        <w:tc>
          <w:tcPr>
            <w:tcW w:type="dxa" w:w="2160"/>
          </w:tcPr>
          <w:p>
            <w:r>
              <w:rPr>
                <w:sz w:val="20"/>
              </w:rPr>
              <w:t>HIV antiretroviral; induces its own metabolism</w:t>
            </w:r>
          </w:p>
        </w:tc>
      </w:tr>
      <w:tr>
        <w:tc>
          <w:tcPr>
            <w:tcW w:type="dxa" w:w="2160"/>
          </w:tcPr>
          <w:p>
            <w:r>
              <w:rPr>
                <w:sz w:val="20"/>
              </w:rPr>
              <w:t>Smoking (tobacco)</w:t>
            </w:r>
          </w:p>
        </w:tc>
        <w:tc>
          <w:tcPr>
            <w:tcW w:type="dxa" w:w="2160"/>
          </w:tcPr>
          <w:p>
            <w:r>
              <w:rPr>
                <w:sz w:val="20"/>
              </w:rPr>
              <w:t>CYP1A2</w:t>
            </w:r>
          </w:p>
        </w:tc>
        <w:tc>
          <w:tcPr>
            <w:tcW w:type="dxa" w:w="2160"/>
          </w:tcPr>
          <w:p>
            <w:r>
              <w:rPr>
                <w:sz w:val="20"/>
              </w:rPr>
              <w:t>Strong</w:t>
            </w:r>
          </w:p>
        </w:tc>
        <w:tc>
          <w:tcPr>
            <w:tcW w:type="dxa" w:w="2160"/>
          </w:tcPr>
          <w:p>
            <w:r>
              <w:rPr>
                <w:sz w:val="20"/>
              </w:rPr>
              <w:t>Polycyclic aromatic hydrocarbons induce CYP1A2; affects clozapine, theophylline, caffeine</w:t>
            </w:r>
          </w:p>
        </w:tc>
      </w:tr>
    </w:tbl>
    <w:p>
      <w:pPr>
        <w:pStyle w:val="Heading3"/>
      </w:pPr>
      <w:r>
        <w:t>Clinical Significance of Phenoconversion</w:t>
      </w:r>
    </w:p>
    <w:p>
      <w:r>
        <w:t>Phenoconversion is underappreciated in clinical practice for several reasons:</w:t>
      </w:r>
    </w:p>
    <w:p>
      <w:pPr>
        <w:pStyle w:val="ListNumber"/>
      </w:pPr>
      <w:r>
        <w:t>Most drug interaction checkers ignore genotype. Standard drug-drug interaction databases flag drug-drug interactions but do not consider the patient's CYP genotype. A drug interaction between codeine and fluoxetine may be flagged, but the checker does not know the patient is already a CYP2D6 intermediate metabolizer -- making the interaction far more clinically significant.</w:t>
      </w:r>
    </w:p>
    <w:p>
      <w:pPr>
        <w:pStyle w:val="ListNumber"/>
      </w:pPr>
      <w:r>
        <w:t>PGx reports often ignore concomitant medications. Most PGx test reports provide genotype-based phenotypes without adjusting for medications the patient is currently taking. A patient genotyped as CYP2D6 NM may be effectively PM if they are taking paroxetine, but their PGx report still says "Normal Metabolizer."</w:t>
      </w:r>
    </w:p>
    <w:p>
      <w:pPr>
        <w:pStyle w:val="ListNumber"/>
      </w:pPr>
      <w:r>
        <w:t>Time-dependent effects. Inhibition typically begins within hours to days of starting the inhibitor (competitive inhibition) or after 3-5 half-lives for mechanism-based inhibitors. Induction takes 1-2 weeks to reach full effect and persists for a similar period after stopping the inducer.</w:t>
      </w:r>
    </w:p>
    <w:p>
      <w:pPr>
        <w:pStyle w:val="ListNumber"/>
      </w:pPr>
      <w:r>
        <w:t>Dose-dependent effects. Some inhibitors (e.g., sertraline) are weak inhibitors at low doses but moderate inhibitors at high doses. The clinical significance of phenoconversion depends on both the inhibitor's potency and its dose.</w:t>
      </w:r>
    </w:p>
    <w:p>
      <w:r>
        <w:t>The agent's Medication Review tab (Tab 3) and the /v1/pgx/phenoconversion API endpoint both check for phenoconversion as part of every drug review, addressing this critical gap.</w:t>
      </w:r>
    </w:p>
    <w:p>
      <w:pPr>
        <w:pStyle w:val="Heading2"/>
      </w:pPr>
      <w:r>
        <w:t>2. Multi-Gene Interactions</w:t>
      </w:r>
    </w:p>
    <w:p>
      <w:pPr>
        <w:pStyle w:val="Heading3"/>
      </w:pPr>
      <w:r>
        <w:t>Beyond Single-Gene PGx</w:t>
      </w:r>
    </w:p>
    <w:p>
      <w:r>
        <w:t>Most CPIC guidelines focus on single gene-drug pairs. In clinical practice, however, many drugs are metabolized by multiple CYP enzymes, and patients carry variants in multiple pharmacogenes simultaneously.</w:t>
      </w:r>
    </w:p>
    <w:p>
      <w:pPr>
        <w:pStyle w:val="Heading3"/>
      </w:pPr>
      <w:r>
        <w:t>Example 1: Oxycodone Metabolism (CYP3A4 + CYP2D6)</w:t>
      </w:r>
    </w:p>
    <w:p>
      <w:r>
        <w:t>Oxycodone is metabolized by both CYP3A4 (to noroxycodone, inactive) and CYP2D6 (to oxymorphone, active and potent). The clinical impact depends on both pathways: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CYP3A4 Status</w:t>
            </w:r>
          </w:p>
        </w:tc>
        <w:tc>
          <w:tcPr>
            <w:tcW w:type="dxa" w:w="2880"/>
          </w:tcPr>
          <w:p>
            <w:r>
              <w:rPr>
                <w:b/>
                <w:sz w:val="20"/>
              </w:rPr>
              <w:t>CYP2D6 Status</w:t>
            </w:r>
          </w:p>
        </w:tc>
        <w:tc>
          <w:tcPr>
            <w:tcW w:type="dxa" w:w="2880"/>
          </w:tcPr>
          <w:p>
            <w:r>
              <w:rPr>
                <w:b/>
                <w:sz w:val="20"/>
              </w:rPr>
              <w:t>Clinical Effect</w:t>
            </w:r>
          </w:p>
        </w:tc>
      </w:tr>
      <w:tr>
        <w:tc>
          <w:tcPr>
            <w:tcW w:type="dxa" w:w="2880"/>
          </w:tcPr>
          <w:p>
            <w:r>
              <w:rPr>
                <w:sz w:val="20"/>
              </w:rPr>
              <w:t>Normal</w:t>
            </w:r>
          </w:p>
        </w:tc>
        <w:tc>
          <w:tcPr>
            <w:tcW w:type="dxa" w:w="2880"/>
          </w:tcPr>
          <w:p>
            <w:r>
              <w:rPr>
                <w:sz w:val="20"/>
              </w:rPr>
              <w:t>Normal</w:t>
            </w:r>
          </w:p>
        </w:tc>
        <w:tc>
          <w:tcPr>
            <w:tcW w:type="dxa" w:w="2880"/>
          </w:tcPr>
          <w:p>
            <w:r>
              <w:rPr>
                <w:sz w:val="20"/>
              </w:rPr>
              <w:t>Standard response</w:t>
            </w:r>
          </w:p>
        </w:tc>
      </w:tr>
      <w:tr>
        <w:tc>
          <w:tcPr>
            <w:tcW w:type="dxa" w:w="2880"/>
          </w:tcPr>
          <w:p>
            <w:r>
              <w:rPr>
                <w:sz w:val="20"/>
              </w:rPr>
              <w:t>Normal</w:t>
            </w:r>
          </w:p>
        </w:tc>
        <w:tc>
          <w:tcPr>
            <w:tcW w:type="dxa" w:w="2880"/>
          </w:tcPr>
          <w:p>
            <w:r>
              <w:rPr>
                <w:sz w:val="20"/>
              </w:rPr>
              <w:t>Poor Metabolizer</w:t>
            </w:r>
          </w:p>
        </w:tc>
        <w:tc>
          <w:tcPr>
            <w:tcW w:type="dxa" w:w="2880"/>
          </w:tcPr>
          <w:p>
            <w:r>
              <w:rPr>
                <w:sz w:val="20"/>
              </w:rPr>
              <w:t>Reduced active metabolite; may need higher dose</w:t>
            </w:r>
          </w:p>
        </w:tc>
      </w:tr>
      <w:tr>
        <w:tc>
          <w:tcPr>
            <w:tcW w:type="dxa" w:w="2880"/>
          </w:tcPr>
          <w:p>
            <w:r>
              <w:rPr>
                <w:sz w:val="20"/>
              </w:rPr>
              <w:t>Normal</w:t>
            </w:r>
          </w:p>
        </w:tc>
        <w:tc>
          <w:tcPr>
            <w:tcW w:type="dxa" w:w="2880"/>
          </w:tcPr>
          <w:p>
            <w:r>
              <w:rPr>
                <w:sz w:val="20"/>
              </w:rPr>
              <w:t>Ultra-Rapid</w:t>
            </w:r>
          </w:p>
        </w:tc>
        <w:tc>
          <w:tcPr>
            <w:tcW w:type="dxa" w:w="2880"/>
          </w:tcPr>
          <w:p>
            <w:r>
              <w:rPr>
                <w:sz w:val="20"/>
              </w:rPr>
              <w:t>Increased oxymorphone; toxicity risk</w:t>
            </w:r>
          </w:p>
        </w:tc>
      </w:tr>
      <w:tr>
        <w:tc>
          <w:tcPr>
            <w:tcW w:type="dxa" w:w="2880"/>
          </w:tcPr>
          <w:p>
            <w:r>
              <w:rPr>
                <w:sz w:val="20"/>
              </w:rPr>
              <w:t>Inhibited (e.g., ketoconazole)</w:t>
            </w:r>
          </w:p>
        </w:tc>
        <w:tc>
          <w:tcPr>
            <w:tcW w:type="dxa" w:w="2880"/>
          </w:tcPr>
          <w:p>
            <w:r>
              <w:rPr>
                <w:sz w:val="20"/>
              </w:rPr>
              <w:t>Normal</w:t>
            </w:r>
          </w:p>
        </w:tc>
        <w:tc>
          <w:tcPr>
            <w:tcW w:type="dxa" w:w="2880"/>
          </w:tcPr>
          <w:p>
            <w:r>
              <w:rPr>
                <w:sz w:val="20"/>
              </w:rPr>
              <w:t>Increased parent drug + active metabolite</w:t>
            </w:r>
          </w:p>
        </w:tc>
      </w:tr>
      <w:tr>
        <w:tc>
          <w:tcPr>
            <w:tcW w:type="dxa" w:w="2880"/>
          </w:tcPr>
          <w:p>
            <w:r>
              <w:rPr>
                <w:sz w:val="20"/>
              </w:rPr>
              <w:t>Inhibited</w:t>
            </w:r>
          </w:p>
        </w:tc>
        <w:tc>
          <w:tcPr>
            <w:tcW w:type="dxa" w:w="2880"/>
          </w:tcPr>
          <w:p>
            <w:r>
              <w:rPr>
                <w:sz w:val="20"/>
              </w:rPr>
              <w:t>Ultra-Rapid</w:t>
            </w:r>
          </w:p>
        </w:tc>
        <w:tc>
          <w:tcPr>
            <w:tcW w:type="dxa" w:w="2880"/>
          </w:tcPr>
          <w:p>
            <w:r>
              <w:rPr>
                <w:sz w:val="20"/>
              </w:rPr>
              <w:t>Dangerous: both pathways converge on high oxymorphone</w:t>
            </w:r>
          </w:p>
        </w:tc>
      </w:tr>
    </w:tbl>
    <w:p>
      <w:pPr>
        <w:pStyle w:val="Heading3"/>
      </w:pPr>
      <w:r>
        <w:t>Example 2: Warfarin Multi-Gene Dosing (CYP2C9 + VKORC1 + CYP4F2)</w:t>
      </w:r>
    </w:p>
    <w:p>
      <w:r>
        <w:t>Warfarin dose requirements are influenced by at least three genes: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Gene</w:t>
            </w:r>
          </w:p>
        </w:tc>
        <w:tc>
          <w:tcPr>
            <w:tcW w:type="dxa" w:w="2880"/>
          </w:tcPr>
          <w:p>
            <w:r>
              <w:rPr>
                <w:b/>
                <w:sz w:val="20"/>
              </w:rPr>
              <w:t>Role</w:t>
            </w:r>
          </w:p>
        </w:tc>
        <w:tc>
          <w:tcPr>
            <w:tcW w:type="dxa" w:w="2880"/>
          </w:tcPr>
          <w:p>
            <w:r>
              <w:rPr>
                <w:b/>
                <w:sz w:val="20"/>
              </w:rPr>
              <w:t>Variant Effect</w:t>
            </w:r>
          </w:p>
        </w:tc>
      </w:tr>
      <w:tr>
        <w:tc>
          <w:tcPr>
            <w:tcW w:type="dxa" w:w="2880"/>
          </w:tcPr>
          <w:p>
            <w:r>
              <w:rPr>
                <w:sz w:val="20"/>
              </w:rPr>
              <w:t>CYP2C9</w:t>
            </w:r>
          </w:p>
        </w:tc>
        <w:tc>
          <w:tcPr>
            <w:tcW w:type="dxa" w:w="2880"/>
          </w:tcPr>
          <w:p>
            <w:r>
              <w:rPr>
                <w:sz w:val="20"/>
              </w:rPr>
              <w:t>Metabolizes S-warfarin (more potent enantiomer)</w:t>
            </w:r>
          </w:p>
        </w:tc>
        <w:tc>
          <w:tcPr>
            <w:tcW w:type="dxa" w:w="2880"/>
          </w:tcPr>
          <w:p>
            <w:r>
              <w:rPr>
                <w:sz w:val="20"/>
              </w:rPr>
              <w:t>*2, *3: Reduced clearance --&gt; lower dose</w:t>
            </w:r>
          </w:p>
        </w:tc>
      </w:tr>
      <w:tr>
        <w:tc>
          <w:tcPr>
            <w:tcW w:type="dxa" w:w="2880"/>
          </w:tcPr>
          <w:p>
            <w:r>
              <w:rPr>
                <w:sz w:val="20"/>
              </w:rPr>
              <w:t>VKORC1</w:t>
            </w:r>
          </w:p>
        </w:tc>
        <w:tc>
          <w:tcPr>
            <w:tcW w:type="dxa" w:w="2880"/>
          </w:tcPr>
          <w:p>
            <w:r>
              <w:rPr>
                <w:sz w:val="20"/>
              </w:rPr>
              <w:t>Warfarin target (vitamin K epoxide reductase)</w:t>
            </w:r>
          </w:p>
        </w:tc>
        <w:tc>
          <w:tcPr>
            <w:tcW w:type="dxa" w:w="2880"/>
          </w:tcPr>
          <w:p>
            <w:r>
              <w:rPr>
                <w:sz w:val="20"/>
              </w:rPr>
              <w:t>-1639G&gt;A: Increased sensitivity --&gt; lower dose</w:t>
            </w:r>
          </w:p>
        </w:tc>
      </w:tr>
      <w:tr>
        <w:tc>
          <w:tcPr>
            <w:tcW w:type="dxa" w:w="2880"/>
          </w:tcPr>
          <w:p>
            <w:r>
              <w:rPr>
                <w:sz w:val="20"/>
              </w:rPr>
              <w:t>CYP4F2</w:t>
            </w:r>
          </w:p>
        </w:tc>
        <w:tc>
          <w:tcPr>
            <w:tcW w:type="dxa" w:w="2880"/>
          </w:tcPr>
          <w:p>
            <w:r>
              <w:rPr>
                <w:sz w:val="20"/>
              </w:rPr>
              <w:t>Metabolizes vitamin K</w:t>
            </w:r>
          </w:p>
        </w:tc>
        <w:tc>
          <w:tcPr>
            <w:tcW w:type="dxa" w:w="2880"/>
          </w:tcPr>
          <w:p>
            <w:r>
              <w:rPr>
                <w:sz w:val="20"/>
              </w:rPr>
              <w:t>rs2108622 (V433M): Reduced vitamin K metabolism --&gt; higher dose requirement</w:t>
            </w:r>
          </w:p>
        </w:tc>
      </w:tr>
    </w:tbl>
    <w:p>
      <w:r>
        <w:t>The IWPC warfarin algorithm incorporates CYP2C9 and VKORC1 but not CYP4F2. Adding CYP4F2 explains an additional 1-2% of dose variance. For a complete pharmacogenomic warfarin dosing profile:</w:t>
      </w:r>
    </w:p>
    <w:p>
      <w:pPr>
        <w:ind w:left="720"/>
      </w:pPr>
      <w:r>
        <w:rPr>
          <w:rFonts w:ascii="Consolas" w:hAnsi="Consolas"/>
          <w:sz w:val="18"/>
        </w:rPr>
        <w:t>Complete Warfarin PGx Profile:</w:t>
        <w:br/>
        <w:br/>
        <w:t>CYP2C9 *1/*3:  Decreased function --&gt; Dose DECREASE</w:t>
        <w:br/>
        <w:t>VKORC1 A/G:    Intermediate sensitivity --&gt; Dose DECREASE</w:t>
        <w:br/>
        <w:t>CYP4F2 *1/*3:  Reduced vitamin K metabolism --&gt; Dose INCREASE</w:t>
        <w:br/>
        <w:br/>
        <w:t>Net effect: Competing influences must be integrated mathematically</w:t>
        <w:br/>
        <w:t>via the IWPC algorithm (or extended algorithms including CYP4F2).</w:t>
      </w:r>
    </w:p>
    <w:p>
      <w:pPr>
        <w:pStyle w:val="Heading3"/>
      </w:pPr>
      <w:r>
        <w:t>Example 3: Opioid Response (CYP2D6 + OPRM1 + COMT)</w:t>
      </w:r>
    </w:p>
    <w:p>
      <w:r>
        <w:t>Opioid response is influenced by multiple genes beyond CYP2D6: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Gene</w:t>
            </w:r>
          </w:p>
        </w:tc>
        <w:tc>
          <w:tcPr>
            <w:tcW w:type="dxa" w:w="2880"/>
          </w:tcPr>
          <w:p>
            <w:r>
              <w:rPr>
                <w:b/>
                <w:sz w:val="20"/>
              </w:rPr>
              <w:t>Protein</w:t>
            </w:r>
          </w:p>
        </w:tc>
        <w:tc>
          <w:tcPr>
            <w:tcW w:type="dxa" w:w="2880"/>
          </w:tcPr>
          <w:p>
            <w:r>
              <w:rPr>
                <w:b/>
                <w:sz w:val="20"/>
              </w:rPr>
              <w:t>Role in Opioid Response</w:t>
            </w:r>
          </w:p>
        </w:tc>
      </w:tr>
      <w:tr>
        <w:tc>
          <w:tcPr>
            <w:tcW w:type="dxa" w:w="2880"/>
          </w:tcPr>
          <w:p>
            <w:r>
              <w:rPr>
                <w:sz w:val="20"/>
              </w:rPr>
              <w:t>CYP2D6</w:t>
            </w:r>
          </w:p>
        </w:tc>
        <w:tc>
          <w:tcPr>
            <w:tcW w:type="dxa" w:w="2880"/>
          </w:tcPr>
          <w:p>
            <w:r>
              <w:rPr>
                <w:sz w:val="20"/>
              </w:rPr>
              <w:t>CYP2D6 enzyme</w:t>
            </w:r>
          </w:p>
        </w:tc>
        <w:tc>
          <w:tcPr>
            <w:tcW w:type="dxa" w:w="2880"/>
          </w:tcPr>
          <w:p>
            <w:r>
              <w:rPr>
                <w:sz w:val="20"/>
              </w:rPr>
              <w:t>Metabolizes codeine to morphine, tramadol to O-desmethyltramadol</w:t>
            </w:r>
          </w:p>
        </w:tc>
      </w:tr>
      <w:tr>
        <w:tc>
          <w:tcPr>
            <w:tcW w:type="dxa" w:w="2880"/>
          </w:tcPr>
          <w:p>
            <w:r>
              <w:rPr>
                <w:sz w:val="20"/>
              </w:rPr>
              <w:t>OPRM1</w:t>
            </w:r>
          </w:p>
        </w:tc>
        <w:tc>
          <w:tcPr>
            <w:tcW w:type="dxa" w:w="2880"/>
          </w:tcPr>
          <w:p>
            <w:r>
              <w:rPr>
                <w:sz w:val="20"/>
              </w:rPr>
              <w:t>Mu-opioid receptor</w:t>
            </w:r>
          </w:p>
        </w:tc>
        <w:tc>
          <w:tcPr>
            <w:tcW w:type="dxa" w:w="2880"/>
          </w:tcPr>
          <w:p>
            <w:r>
              <w:rPr>
                <w:sz w:val="20"/>
              </w:rPr>
              <w:t>A118G (rs1799971): Reduced receptor binding; may need higher opioid doses</w:t>
            </w:r>
          </w:p>
        </w:tc>
      </w:tr>
      <w:tr>
        <w:tc>
          <w:tcPr>
            <w:tcW w:type="dxa" w:w="2880"/>
          </w:tcPr>
          <w:p>
            <w:r>
              <w:rPr>
                <w:sz w:val="20"/>
              </w:rPr>
              <w:t>COMT</w:t>
            </w:r>
          </w:p>
        </w:tc>
        <w:tc>
          <w:tcPr>
            <w:tcW w:type="dxa" w:w="2880"/>
          </w:tcPr>
          <w:p>
            <w:r>
              <w:rPr>
                <w:sz w:val="20"/>
              </w:rPr>
              <w:t>Catechol-O-methyltransferase</w:t>
            </w:r>
          </w:p>
        </w:tc>
        <w:tc>
          <w:tcPr>
            <w:tcW w:type="dxa" w:w="2880"/>
          </w:tcPr>
          <w:p>
            <w:r>
              <w:rPr>
                <w:sz w:val="20"/>
              </w:rPr>
              <w:t>Val158Met (rs4680): Met/Met = lower COMT activity = higher pain sensitivity = may need more opioid</w:t>
            </w:r>
          </w:p>
        </w:tc>
      </w:tr>
      <w:tr>
        <w:tc>
          <w:tcPr>
            <w:tcW w:type="dxa" w:w="2880"/>
          </w:tcPr>
          <w:p>
            <w:r>
              <w:rPr>
                <w:sz w:val="20"/>
              </w:rPr>
              <w:t>ABCB1</w:t>
            </w:r>
          </w:p>
        </w:tc>
        <w:tc>
          <w:tcPr>
            <w:tcW w:type="dxa" w:w="2880"/>
          </w:tcPr>
          <w:p>
            <w:r>
              <w:rPr>
                <w:sz w:val="20"/>
              </w:rPr>
              <w:t>P-glycoprotein</w:t>
            </w:r>
          </w:p>
        </w:tc>
        <w:tc>
          <w:tcPr>
            <w:tcW w:type="dxa" w:w="2880"/>
          </w:tcPr>
          <w:p>
            <w:r>
              <w:rPr>
                <w:sz w:val="20"/>
              </w:rPr>
              <w:t>C3435T (rs1045642): Altered blood-brain barrier transport of opioids</w:t>
            </w:r>
          </w:p>
        </w:tc>
      </w:tr>
    </w:tbl>
    <w:p>
      <w:r>
        <w:t>A patient with CYP2D6 normal metabolizer status but OPRM1 A118G and COMT Val158Met (Met/Met) may have reduced opioid analgesia not because of metabolism but because of receptor binding and pain sensitivity differences. The agent's multi-gene search plan identifies all relevant pharmacogenes for a query and retrieves evidence across all of them.</w:t>
      </w:r>
    </w:p>
    <w:p>
      <w:pPr>
        <w:pStyle w:val="Heading3"/>
      </w:pPr>
      <w:r>
        <w:t>Example 4: Tacrolimus Multi-Gene Dosing (CYP3A5 + CYP3A4 + POR)</w:t>
      </w:r>
    </w:p>
    <w:p>
      <w:r>
        <w:t>Tacrolimus dosing is primarily guided by CYP3A5, but two additional genes modulate its pharmacokinetics: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Gene</w:t>
            </w:r>
          </w:p>
        </w:tc>
        <w:tc>
          <w:tcPr>
            <w:tcW w:type="dxa" w:w="4320"/>
          </w:tcPr>
          <w:p>
            <w:r>
              <w:rPr>
                <w:b/>
                <w:sz w:val="20"/>
              </w:rPr>
              <w:t>Effect</w:t>
            </w:r>
          </w:p>
        </w:tc>
      </w:tr>
      <w:tr>
        <w:tc>
          <w:tcPr>
            <w:tcW w:type="dxa" w:w="4320"/>
          </w:tcPr>
          <w:p>
            <w:r>
              <w:rPr>
                <w:sz w:val="20"/>
              </w:rPr>
              <w:t>CYP3A5</w:t>
            </w:r>
          </w:p>
        </w:tc>
        <w:tc>
          <w:tcPr>
            <w:tcW w:type="dxa" w:w="4320"/>
          </w:tcPr>
          <w:p>
            <w:r>
              <w:rPr>
                <w:sz w:val="20"/>
              </w:rPr>
              <w:t>*1 carriers (expressers): 1.5-2x higher dose needed vs *3/*3 (non-expressers)</w:t>
            </w:r>
          </w:p>
        </w:tc>
      </w:tr>
      <w:tr>
        <w:tc>
          <w:tcPr>
            <w:tcW w:type="dxa" w:w="4320"/>
          </w:tcPr>
          <w:p>
            <w:r>
              <w:rPr>
                <w:sz w:val="20"/>
              </w:rPr>
              <w:t>CYP3A4</w:t>
            </w:r>
          </w:p>
        </w:tc>
        <w:tc>
          <w:tcPr>
            <w:tcW w:type="dxa" w:w="4320"/>
          </w:tcPr>
          <w:p>
            <w:r>
              <w:rPr>
                <w:sz w:val="20"/>
              </w:rPr>
              <w:t>*22 carriers: Reduced CYP3A4 expression; lower tacrolimus dose needed</w:t>
            </w:r>
          </w:p>
        </w:tc>
      </w:tr>
      <w:tr>
        <w:tc>
          <w:tcPr>
            <w:tcW w:type="dxa" w:w="4320"/>
          </w:tcPr>
          <w:p>
            <w:r>
              <w:rPr>
                <w:sz w:val="20"/>
              </w:rPr>
              <w:t>POR</w:t>
            </w:r>
          </w:p>
        </w:tc>
        <w:tc>
          <w:tcPr>
            <w:tcW w:type="dxa" w:w="4320"/>
          </w:tcPr>
          <w:p>
            <w:r>
              <w:rPr>
                <w:sz w:val="20"/>
              </w:rPr>
              <w:t>*28 carriers: Altered CYP3A electron transfer; variable tacrolimus metabolism</w:t>
            </w:r>
          </w:p>
        </w:tc>
      </w:tr>
    </w:tbl>
    <w:p>
      <w:pPr>
        <w:pStyle w:val="Heading3"/>
      </w:pPr>
      <w:r>
        <w:t>The Agent's Multi-Gene Approach</w:t>
      </w:r>
    </w:p>
    <w:p>
      <w:r>
        <w:t>The knowledge graph in knowledge.py maps drugs to all relevant metabolizing enzymes. The agent's search plan identifies all pharmacogenes relevant to a query and retrieves evidence across all of them. The system prompt instructs the LLM to consider multi-gene interactions when synthesizing responses.</w:t>
      </w:r>
    </w:p>
    <w:p>
      <w:pPr>
        <w:pStyle w:val="Heading3"/>
      </w:pPr>
      <w:r>
        <w:t>Polygenic PGx Profiles</w:t>
      </w:r>
    </w:p>
    <w:p>
      <w:r>
        <w:t>Pre-emptive PGx panels typically test 10-25 pharmacogenes simultaneously. A patient might carry:</w:t>
      </w:r>
    </w:p>
    <w:p>
      <w:pPr>
        <w:ind w:left="720"/>
      </w:pPr>
      <w:r>
        <w:rPr>
          <w:rFonts w:ascii="Consolas" w:hAnsi="Consolas"/>
          <w:sz w:val="18"/>
        </w:rPr>
        <w:t>CYP2D6  *1/*4   --&gt; Intermediate Metabolizer</w:t>
        <w:br/>
        <w:t>CYP2C19 *1/*17  --&gt; Rapid Metabolizer</w:t>
        <w:br/>
        <w:t>CYP2C9  *1/*3   --&gt; Intermediate Metabolizer</w:t>
        <w:br/>
        <w:t>SLCO1B1 *1/*5   --&gt; Decreased Function</w:t>
        <w:br/>
        <w:t>DPYD    *1/*1   --&gt; Normal Activity</w:t>
        <w:br/>
        <w:t>VKORC1  -1639 A/G --&gt; Intermediate Warfarin Sensitivity</w:t>
        <w:br/>
        <w:t>HLA-B*57:01     --&gt; Negative</w:t>
        <w:br/>
        <w:t>HLA-B*15:02     --&gt; Negative</w:t>
        <w:br/>
        <w:t>TPMT   *1/*1    --&gt; Normal Activity</w:t>
        <w:br/>
        <w:t>NUDT15 *1/*1    --&gt; Normal Activity</w:t>
        <w:br/>
        <w:t>UGT1A1 *1/*28   --&gt; Intermediate Function</w:t>
        <w:br/>
        <w:t>G6PD   Normal   --&gt; Normal Activity</w:t>
      </w:r>
    </w:p>
    <w:p>
      <w:r>
        <w:t>Each gene-drug pair is evaluated independently per CPIC, but the agent can synthesize a unified medication review that considers the patient's complete pharmacogenomic profile.</w:t>
      </w:r>
    </w:p>
    <w:p>
      <w:pPr>
        <w:pStyle w:val="Heading3"/>
      </w:pPr>
      <w:r>
        <w:t>Example 5: Antidepressant Selection (CYP2D6 + CYP2C19)</w:t>
      </w:r>
    </w:p>
    <w:p>
      <w:r>
        <w:t>Antidepressant prescribing is one of the most common clinical scenarios where multi-gene PGx is applied. Many antidepressants are metabolized by both CYP2D6 and CYP2C19, and the optimal choice depends on the patient's combined metabolizer profile: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Antidepressant</w:t>
            </w:r>
          </w:p>
        </w:tc>
        <w:tc>
          <w:tcPr>
            <w:tcW w:type="dxa" w:w="1728"/>
          </w:tcPr>
          <w:p>
            <w:r>
              <w:rPr>
                <w:b/>
                <w:sz w:val="20"/>
              </w:rPr>
              <w:t>Primary CYP</w:t>
            </w:r>
          </w:p>
        </w:tc>
        <w:tc>
          <w:tcPr>
            <w:tcW w:type="dxa" w:w="1728"/>
          </w:tcPr>
          <w:p>
            <w:r>
              <w:rPr>
                <w:b/>
                <w:sz w:val="20"/>
              </w:rPr>
              <w:t>Secondary CYP</w:t>
            </w:r>
          </w:p>
        </w:tc>
        <w:tc>
          <w:tcPr>
            <w:tcW w:type="dxa" w:w="1728"/>
          </w:tcPr>
          <w:p>
            <w:r>
              <w:rPr>
                <w:b/>
                <w:sz w:val="20"/>
              </w:rPr>
              <w:t>CYP2D6 PM Impact</w:t>
            </w:r>
          </w:p>
        </w:tc>
        <w:tc>
          <w:tcPr>
            <w:tcW w:type="dxa" w:w="1728"/>
          </w:tcPr>
          <w:p>
            <w:r>
              <w:rPr>
                <w:b/>
                <w:sz w:val="20"/>
              </w:rPr>
              <w:t>CYP2C19 PM Impact</w:t>
            </w:r>
          </w:p>
        </w:tc>
      </w:tr>
      <w:tr>
        <w:tc>
          <w:tcPr>
            <w:tcW w:type="dxa" w:w="1728"/>
          </w:tcPr>
          <w:p>
            <w:r>
              <w:rPr>
                <w:sz w:val="20"/>
              </w:rPr>
              <w:t>Escitalopram</w:t>
            </w:r>
          </w:p>
        </w:tc>
        <w:tc>
          <w:tcPr>
            <w:tcW w:type="dxa" w:w="1728"/>
          </w:tcPr>
          <w:p>
            <w:r>
              <w:rPr>
                <w:sz w:val="20"/>
              </w:rPr>
              <w:t>CYP2C19</w:t>
            </w:r>
          </w:p>
        </w:tc>
        <w:tc>
          <w:tcPr>
            <w:tcW w:type="dxa" w:w="1728"/>
          </w:tcPr>
          <w:p>
            <w:r>
              <w:rPr>
                <w:sz w:val="20"/>
              </w:rPr>
              <w:t>CYP3A4</w:t>
            </w:r>
          </w:p>
        </w:tc>
        <w:tc>
          <w:tcPr>
            <w:tcW w:type="dxa" w:w="1728"/>
          </w:tcPr>
          <w:p>
            <w:r>
              <w:rPr>
                <w:sz w:val="20"/>
              </w:rPr>
              <w:t>Minimal</w:t>
            </w:r>
          </w:p>
        </w:tc>
        <w:tc>
          <w:tcPr>
            <w:tcW w:type="dxa" w:w="1728"/>
          </w:tcPr>
          <w:p>
            <w:r>
              <w:rPr>
                <w:sz w:val="20"/>
              </w:rPr>
              <w:t>Increased levels; reduce dose</w:t>
            </w:r>
          </w:p>
        </w:tc>
      </w:tr>
      <w:tr>
        <w:tc>
          <w:tcPr>
            <w:tcW w:type="dxa" w:w="1728"/>
          </w:tcPr>
          <w:p>
            <w:r>
              <w:rPr>
                <w:sz w:val="20"/>
              </w:rPr>
              <w:t>Citalopram</w:t>
            </w:r>
          </w:p>
        </w:tc>
        <w:tc>
          <w:tcPr>
            <w:tcW w:type="dxa" w:w="1728"/>
          </w:tcPr>
          <w:p>
            <w:r>
              <w:rPr>
                <w:sz w:val="20"/>
              </w:rPr>
              <w:t>CYP2C19</w:t>
            </w:r>
          </w:p>
        </w:tc>
        <w:tc>
          <w:tcPr>
            <w:tcW w:type="dxa" w:w="1728"/>
          </w:tcPr>
          <w:p>
            <w:r>
              <w:rPr>
                <w:sz w:val="20"/>
              </w:rPr>
              <w:t>CYP3A4</w:t>
            </w:r>
          </w:p>
        </w:tc>
        <w:tc>
          <w:tcPr>
            <w:tcW w:type="dxa" w:w="1728"/>
          </w:tcPr>
          <w:p>
            <w:r>
              <w:rPr>
                <w:sz w:val="20"/>
              </w:rPr>
              <w:t>Minimal</w:t>
            </w:r>
          </w:p>
        </w:tc>
        <w:tc>
          <w:tcPr>
            <w:tcW w:type="dxa" w:w="1728"/>
          </w:tcPr>
          <w:p>
            <w:r>
              <w:rPr>
                <w:sz w:val="20"/>
              </w:rPr>
              <w:t>Increased levels; reduce dose; QTc risk</w:t>
            </w:r>
          </w:p>
        </w:tc>
      </w:tr>
      <w:tr>
        <w:tc>
          <w:tcPr>
            <w:tcW w:type="dxa" w:w="1728"/>
          </w:tcPr>
          <w:p>
            <w:r>
              <w:rPr>
                <w:sz w:val="20"/>
              </w:rPr>
              <w:t>Sertraline</w:t>
            </w:r>
          </w:p>
        </w:tc>
        <w:tc>
          <w:tcPr>
            <w:tcW w:type="dxa" w:w="1728"/>
          </w:tcPr>
          <w:p>
            <w:r>
              <w:rPr>
                <w:sz w:val="20"/>
              </w:rPr>
              <w:t>CYP2C19</w:t>
            </w:r>
          </w:p>
        </w:tc>
        <w:tc>
          <w:tcPr>
            <w:tcW w:type="dxa" w:w="1728"/>
          </w:tcPr>
          <w:p>
            <w:r>
              <w:rPr>
                <w:sz w:val="20"/>
              </w:rPr>
              <w:t>CYP2D6</w:t>
            </w:r>
          </w:p>
        </w:tc>
        <w:tc>
          <w:tcPr>
            <w:tcW w:type="dxa" w:w="1728"/>
          </w:tcPr>
          <w:p>
            <w:r>
              <w:rPr>
                <w:sz w:val="20"/>
              </w:rPr>
              <w:t>Moderately increased levels</w:t>
            </w:r>
          </w:p>
        </w:tc>
        <w:tc>
          <w:tcPr>
            <w:tcW w:type="dxa" w:w="1728"/>
          </w:tcPr>
          <w:p>
            <w:r>
              <w:rPr>
                <w:sz w:val="20"/>
              </w:rPr>
              <w:t>Increased levels</w:t>
            </w:r>
          </w:p>
        </w:tc>
      </w:tr>
      <w:tr>
        <w:tc>
          <w:tcPr>
            <w:tcW w:type="dxa" w:w="1728"/>
          </w:tcPr>
          <w:p>
            <w:r>
              <w:rPr>
                <w:sz w:val="20"/>
              </w:rPr>
              <w:t>Fluoxetine</w:t>
            </w:r>
          </w:p>
        </w:tc>
        <w:tc>
          <w:tcPr>
            <w:tcW w:type="dxa" w:w="1728"/>
          </w:tcPr>
          <w:p>
            <w:r>
              <w:rPr>
                <w:sz w:val="20"/>
              </w:rPr>
              <w:t>CYP2D6</w:t>
            </w:r>
          </w:p>
        </w:tc>
        <w:tc>
          <w:tcPr>
            <w:tcW w:type="dxa" w:w="1728"/>
          </w:tcPr>
          <w:p>
            <w:r>
              <w:rPr>
                <w:sz w:val="20"/>
              </w:rPr>
              <w:t>CYP2C9</w:t>
            </w:r>
          </w:p>
        </w:tc>
        <w:tc>
          <w:tcPr>
            <w:tcW w:type="dxa" w:w="1728"/>
          </w:tcPr>
          <w:p>
            <w:r>
              <w:rPr>
                <w:sz w:val="20"/>
              </w:rPr>
              <w:t>Increased levels; also inhibits CYP2D6</w:t>
            </w:r>
          </w:p>
        </w:tc>
        <w:tc>
          <w:tcPr>
            <w:tcW w:type="dxa" w:w="1728"/>
          </w:tcPr>
          <w:p>
            <w:r>
              <w:rPr>
                <w:sz w:val="20"/>
              </w:rPr>
              <w:t>Minimal</w:t>
            </w:r>
          </w:p>
        </w:tc>
      </w:tr>
      <w:tr>
        <w:tc>
          <w:tcPr>
            <w:tcW w:type="dxa" w:w="1728"/>
          </w:tcPr>
          <w:p>
            <w:r>
              <w:rPr>
                <w:sz w:val="20"/>
              </w:rPr>
              <w:t>Paroxetine</w:t>
            </w:r>
          </w:p>
        </w:tc>
        <w:tc>
          <w:tcPr>
            <w:tcW w:type="dxa" w:w="1728"/>
          </w:tcPr>
          <w:p>
            <w:r>
              <w:rPr>
                <w:sz w:val="20"/>
              </w:rPr>
              <w:t>CYP2D6</w:t>
            </w:r>
          </w:p>
        </w:tc>
        <w:tc>
          <w:tcPr>
            <w:tcW w:type="dxa" w:w="1728"/>
          </w:tcPr>
          <w:p>
            <w:r>
              <w:rPr>
                <w:sz w:val="20"/>
              </w:rPr>
              <w:t>CYP3A4</w:t>
            </w:r>
          </w:p>
        </w:tc>
        <w:tc>
          <w:tcPr>
            <w:tcW w:type="dxa" w:w="1728"/>
          </w:tcPr>
          <w:p>
            <w:r>
              <w:rPr>
                <w:sz w:val="20"/>
              </w:rPr>
              <w:t>Increased levels; also inhibits CYP2D6</w:t>
            </w:r>
          </w:p>
        </w:tc>
        <w:tc>
          <w:tcPr>
            <w:tcW w:type="dxa" w:w="1728"/>
          </w:tcPr>
          <w:p>
            <w:r>
              <w:rPr>
                <w:sz w:val="20"/>
              </w:rPr>
              <w:t>Minimal</w:t>
            </w:r>
          </w:p>
        </w:tc>
      </w:tr>
      <w:tr>
        <w:tc>
          <w:tcPr>
            <w:tcW w:type="dxa" w:w="1728"/>
          </w:tcPr>
          <w:p>
            <w:r>
              <w:rPr>
                <w:sz w:val="20"/>
              </w:rPr>
              <w:t>Venlafaxine</w:t>
            </w:r>
          </w:p>
        </w:tc>
        <w:tc>
          <w:tcPr>
            <w:tcW w:type="dxa" w:w="1728"/>
          </w:tcPr>
          <w:p>
            <w:r>
              <w:rPr>
                <w:sz w:val="20"/>
              </w:rPr>
              <w:t>CYP2D6</w:t>
            </w:r>
          </w:p>
        </w:tc>
        <w:tc>
          <w:tcPr>
            <w:tcW w:type="dxa" w:w="1728"/>
          </w:tcPr>
          <w:p>
            <w:r>
              <w:rPr>
                <w:sz w:val="20"/>
              </w:rPr>
              <w:t>CYP3A4</w:t>
            </w:r>
          </w:p>
        </w:tc>
        <w:tc>
          <w:tcPr>
            <w:tcW w:type="dxa" w:w="1728"/>
          </w:tcPr>
          <w:p>
            <w:r>
              <w:rPr>
                <w:sz w:val="20"/>
              </w:rPr>
              <w:t>Increased levels; reduced O-desmethylvenlafaxine</w:t>
            </w:r>
          </w:p>
        </w:tc>
        <w:tc>
          <w:tcPr>
            <w:tcW w:type="dxa" w:w="1728"/>
          </w:tcPr>
          <w:p>
            <w:r>
              <w:rPr>
                <w:sz w:val="20"/>
              </w:rPr>
              <w:t>Minimal</w:t>
            </w:r>
          </w:p>
        </w:tc>
      </w:tr>
      <w:tr>
        <w:tc>
          <w:tcPr>
            <w:tcW w:type="dxa" w:w="1728"/>
          </w:tcPr>
          <w:p>
            <w:r>
              <w:rPr>
                <w:sz w:val="20"/>
              </w:rPr>
              <w:t>Amitriptyline</w:t>
            </w:r>
          </w:p>
        </w:tc>
        <w:tc>
          <w:tcPr>
            <w:tcW w:type="dxa" w:w="1728"/>
          </w:tcPr>
          <w:p>
            <w:r>
              <w:rPr>
                <w:sz w:val="20"/>
              </w:rPr>
              <w:t>CYP2D6</w:t>
            </w:r>
          </w:p>
        </w:tc>
        <w:tc>
          <w:tcPr>
            <w:tcW w:type="dxa" w:w="1728"/>
          </w:tcPr>
          <w:p>
            <w:r>
              <w:rPr>
                <w:sz w:val="20"/>
              </w:rPr>
              <w:t>CYP2C19</w:t>
            </w:r>
          </w:p>
        </w:tc>
        <w:tc>
          <w:tcPr>
            <w:tcW w:type="dxa" w:w="1728"/>
          </w:tcPr>
          <w:p>
            <w:r>
              <w:rPr>
                <w:sz w:val="20"/>
              </w:rPr>
              <w:t>Increased levels of parent drug</w:t>
            </w:r>
          </w:p>
        </w:tc>
        <w:tc>
          <w:tcPr>
            <w:tcW w:type="dxa" w:w="1728"/>
          </w:tcPr>
          <w:p>
            <w:r>
              <w:rPr>
                <w:sz w:val="20"/>
              </w:rPr>
              <w:t>Increased total exposure</w:t>
            </w:r>
          </w:p>
        </w:tc>
      </w:tr>
      <w:tr>
        <w:tc>
          <w:tcPr>
            <w:tcW w:type="dxa" w:w="1728"/>
          </w:tcPr>
          <w:p>
            <w:r>
              <w:rPr>
                <w:sz w:val="20"/>
              </w:rPr>
              <w:t>Nortriptyline</w:t>
            </w:r>
          </w:p>
        </w:tc>
        <w:tc>
          <w:tcPr>
            <w:tcW w:type="dxa" w:w="1728"/>
          </w:tcPr>
          <w:p>
            <w:r>
              <w:rPr>
                <w:sz w:val="20"/>
              </w:rPr>
              <w:t>CYP2D6</w:t>
            </w:r>
          </w:p>
        </w:tc>
        <w:tc>
          <w:tcPr>
            <w:tcW w:type="dxa" w:w="1728"/>
          </w:tcPr>
          <w:p>
            <w:r>
              <w:rPr>
                <w:sz w:val="20"/>
              </w:rPr>
              <w:t>N/A</w:t>
            </w:r>
          </w:p>
        </w:tc>
        <w:tc>
          <w:tcPr>
            <w:tcW w:type="dxa" w:w="1728"/>
          </w:tcPr>
          <w:p>
            <w:r>
              <w:rPr>
                <w:sz w:val="20"/>
              </w:rPr>
              <w:t>Significantly increased levels; toxicity risk</w:t>
            </w:r>
          </w:p>
        </w:tc>
        <w:tc>
          <w:tcPr>
            <w:tcW w:type="dxa" w:w="1728"/>
          </w:tcPr>
          <w:p>
            <w:r>
              <w:rPr>
                <w:sz w:val="20"/>
              </w:rPr>
              <w:t>Minimal</w:t>
            </w:r>
          </w:p>
        </w:tc>
      </w:tr>
    </w:tbl>
    <w:p>
      <w:r>
        <w:t>For a patient who is both CYP2D6 PM and CYP2C19 RM:</w:t>
      </w:r>
    </w:p>
    <w:p>
      <w:pPr>
        <w:pStyle w:val="ListBullet"/>
      </w:pPr>
      <w:r>
        <w:t>Avoid: Amitriptyline, nortriptyline (CYP2D6 PM = high toxicity risk)</w:t>
      </w:r>
    </w:p>
    <w:p>
      <w:pPr>
        <w:pStyle w:val="ListBullet"/>
      </w:pPr>
      <w:r>
        <w:t>Caution: Venlafaxine (CYP2D6 PM = altered metabolite ratio)</w:t>
      </w:r>
    </w:p>
    <w:p>
      <w:pPr>
        <w:pStyle w:val="ListBullet"/>
      </w:pPr>
      <w:r>
        <w:t>Consider: Escitalopram (CYP2C19 RM = may need standard or slightly higher dose; CYP2D6 not primary pathway)</w:t>
      </w:r>
    </w:p>
    <w:p>
      <w:pPr>
        <w:pStyle w:val="ListBullet"/>
      </w:pPr>
      <w:r>
        <w:t>Consider: Sertraline (CYP2C19 RM = faster clearance; may need standard dose)</w:t>
      </w:r>
    </w:p>
    <w:p>
      <w:pPr>
        <w:pStyle w:val="Heading3"/>
      </w:pPr>
      <w:r>
        <w:t>Drug-Drug-Gene Interaction Matrix</w:t>
      </w:r>
    </w:p>
    <w:p>
      <w:r>
        <w:t>The most clinically significant interactions occur at the intersection of drug-drug interactions and drug-gene interactions. The agent evaluates these "triple interactions" during medication review:</w:t>
      </w:r>
    </w:p>
    <w:p>
      <w:pPr>
        <w:ind w:left="720"/>
      </w:pPr>
      <w:r>
        <w:rPr>
          <w:rFonts w:ascii="Consolas" w:hAnsi="Consolas"/>
          <w:sz w:val="18"/>
        </w:rPr>
        <w:t>TRIPLE INTERACTION EXAMPLE:</w:t>
        <w:br/>
        <w:br/>
        <w:t>Drug 1: Codeine (CYP2D6 substrate - prodrug)</w:t>
        <w:br/>
        <w:t>Drug 2: Fluoxetine (strong CYP2D6 inhibitor)</w:t>
        <w:br/>
        <w:t>Gene:   CYP2D6 (patient is already IM)</w:t>
        <w:br/>
        <w:br/>
        <w:t>Without fluoxetine: IM patient has reduced codeine activation</w:t>
        <w:br/>
        <w:t>With fluoxetine:    IM patient phenoconverts to PM</w:t>
        <w:br/>
        <w:t xml:space="preserve">                    Codeine completely ineffective</w:t>
        <w:br/>
        <w:t xml:space="preserve">                    AND fluoxetine levels may also be affected</w:t>
        <w:br/>
        <w:br/>
        <w:t>This triple interaction is MORE SEVERE than either the</w:t>
        <w:br/>
        <w:t>drug-drug interaction or the drug-gene interaction alone.</w:t>
      </w:r>
    </w:p>
    <w:p>
      <w:pPr>
        <w:pStyle w:val="Heading2"/>
      </w:pPr>
      <w:r>
        <w:t>3. The IWPC Warfarin Algorithm</w:t>
      </w:r>
    </w:p>
    <w:p>
      <w:pPr>
        <w:pStyle w:val="Heading3"/>
      </w:pPr>
      <w:r>
        <w:t>Background</w:t>
      </w:r>
    </w:p>
    <w:p>
      <w:r>
        <w:t>Warfarin is the most widely prescribed oral anticoagulant and has one of the narrowest therapeutic indices of any commonly used drug. The difference between a therapeutic dose and a dangerous dose is small, and the optimal dose varies 10-fold across patients (1 mg/day to 20 mg/day).</w:t>
      </w:r>
    </w:p>
    <w:p>
      <w:r>
        <w:t>The International Warfarin Pharmacogenetics Consortium (IWPC) developed a pharmacogenomic dosing algorithm that incorporates both clinical and genetic variables to predict the optimal warfarin dose. The IWPC study was one of the largest pharmacogenomic studies ever conducted, involving 5,700 patients from 21 countries across four continents.</w:t>
      </w:r>
    </w:p>
    <w:p>
      <w:pPr>
        <w:pStyle w:val="Heading3"/>
      </w:pPr>
      <w:r>
        <w:t>Algorithm Variables</w:t>
      </w:r>
    </w:p>
    <w:p>
      <w:r>
        <w:t>The IWPC algorithm uses a regression model with these variables: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Type</w:t>
            </w:r>
          </w:p>
        </w:tc>
        <w:tc>
          <w:tcPr>
            <w:tcW w:type="dxa" w:w="2160"/>
          </w:tcPr>
          <w:p>
            <w:r>
              <w:rPr>
                <w:b/>
                <w:sz w:val="20"/>
              </w:rPr>
              <w:t>Source</w:t>
            </w:r>
          </w:p>
        </w:tc>
        <w:tc>
          <w:tcPr>
            <w:tcW w:type="dxa" w:w="2160"/>
          </w:tcPr>
          <w:p>
            <w:r>
              <w:rPr>
                <w:b/>
                <w:sz w:val="20"/>
              </w:rPr>
              <w:t>How It Affects Dose</w:t>
            </w:r>
          </w:p>
        </w:tc>
      </w:tr>
      <w:tr>
        <w:tc>
          <w:tcPr>
            <w:tcW w:type="dxa" w:w="2160"/>
          </w:tcPr>
          <w:p>
            <w:r>
              <w:rPr>
                <w:sz w:val="20"/>
              </w:rPr>
              <w:t>Age (decades)</w:t>
            </w:r>
          </w:p>
        </w:tc>
        <w:tc>
          <w:tcPr>
            <w:tcW w:type="dxa" w:w="2160"/>
          </w:tcPr>
          <w:p>
            <w:r>
              <w:rPr>
                <w:sz w:val="20"/>
              </w:rPr>
              <w:t>Clinical</w:t>
            </w:r>
          </w:p>
        </w:tc>
        <w:tc>
          <w:tcPr>
            <w:tcW w:type="dxa" w:w="2160"/>
          </w:tcPr>
          <w:p>
            <w:r>
              <w:rPr>
                <w:sz w:val="20"/>
              </w:rPr>
              <w:t>Patient demographics</w:t>
            </w:r>
          </w:p>
        </w:tc>
        <w:tc>
          <w:tcPr>
            <w:tcW w:type="dxa" w:w="2160"/>
          </w:tcPr>
          <w:p>
            <w:r>
              <w:rPr>
                <w:sz w:val="20"/>
              </w:rPr>
              <w:t>Higher age = lower dose (reduced clearance)</w:t>
            </w:r>
          </w:p>
        </w:tc>
      </w:tr>
      <w:tr>
        <w:tc>
          <w:tcPr>
            <w:tcW w:type="dxa" w:w="2160"/>
          </w:tcPr>
          <w:p>
            <w:r>
              <w:rPr>
                <w:sz w:val="20"/>
              </w:rPr>
              <w:t>Height (cm)</w:t>
            </w:r>
          </w:p>
        </w:tc>
        <w:tc>
          <w:tcPr>
            <w:tcW w:type="dxa" w:w="2160"/>
          </w:tcPr>
          <w:p>
            <w:r>
              <w:rPr>
                <w:sz w:val="20"/>
              </w:rPr>
              <w:t>Clinical</w:t>
            </w:r>
          </w:p>
        </w:tc>
        <w:tc>
          <w:tcPr>
            <w:tcW w:type="dxa" w:w="2160"/>
          </w:tcPr>
          <w:p>
            <w:r>
              <w:rPr>
                <w:sz w:val="20"/>
              </w:rPr>
              <w:t>Patient demographics</w:t>
            </w:r>
          </w:p>
        </w:tc>
        <w:tc>
          <w:tcPr>
            <w:tcW w:type="dxa" w:w="2160"/>
          </w:tcPr>
          <w:p>
            <w:r>
              <w:rPr>
                <w:sz w:val="20"/>
              </w:rPr>
              <w:t>Greater height = higher dose (larger volume of distribution)</w:t>
            </w:r>
          </w:p>
        </w:tc>
      </w:tr>
      <w:tr>
        <w:tc>
          <w:tcPr>
            <w:tcW w:type="dxa" w:w="2160"/>
          </w:tcPr>
          <w:p>
            <w:r>
              <w:rPr>
                <w:sz w:val="20"/>
              </w:rPr>
              <w:t>Weight (kg)</w:t>
            </w:r>
          </w:p>
        </w:tc>
        <w:tc>
          <w:tcPr>
            <w:tcW w:type="dxa" w:w="2160"/>
          </w:tcPr>
          <w:p>
            <w:r>
              <w:rPr>
                <w:sz w:val="20"/>
              </w:rPr>
              <w:t>Clinical</w:t>
            </w:r>
          </w:p>
        </w:tc>
        <w:tc>
          <w:tcPr>
            <w:tcW w:type="dxa" w:w="2160"/>
          </w:tcPr>
          <w:p>
            <w:r>
              <w:rPr>
                <w:sz w:val="20"/>
              </w:rPr>
              <w:t>Patient demographics</w:t>
            </w:r>
          </w:p>
        </w:tc>
        <w:tc>
          <w:tcPr>
            <w:tcW w:type="dxa" w:w="2160"/>
          </w:tcPr>
          <w:p>
            <w:r>
              <w:rPr>
                <w:sz w:val="20"/>
              </w:rPr>
              <w:t>Greater weight = higher dose (larger volume of distribution)</w:t>
            </w:r>
          </w:p>
        </w:tc>
      </w:tr>
      <w:tr>
        <w:tc>
          <w:tcPr>
            <w:tcW w:type="dxa" w:w="2160"/>
          </w:tcPr>
          <w:p>
            <w:r>
              <w:rPr>
                <w:sz w:val="20"/>
              </w:rPr>
              <w:t>Race</w:t>
            </w:r>
          </w:p>
        </w:tc>
        <w:tc>
          <w:tcPr>
            <w:tcW w:type="dxa" w:w="2160"/>
          </w:tcPr>
          <w:p>
            <w:r>
              <w:rPr>
                <w:sz w:val="20"/>
              </w:rPr>
              <w:t>Clinical</w:t>
            </w:r>
          </w:p>
        </w:tc>
        <w:tc>
          <w:tcPr>
            <w:tcW w:type="dxa" w:w="2160"/>
          </w:tcPr>
          <w:p>
            <w:r>
              <w:rPr>
                <w:sz w:val="20"/>
              </w:rPr>
              <w:t>Self-reported (Asian, Black, Other/Mixed)</w:t>
            </w:r>
          </w:p>
        </w:tc>
        <w:tc>
          <w:tcPr>
            <w:tcW w:type="dxa" w:w="2160"/>
          </w:tcPr>
          <w:p>
            <w:r>
              <w:rPr>
                <w:sz w:val="20"/>
              </w:rPr>
              <w:t>Asian = lower dose; population-specific allele frequencies</w:t>
            </w:r>
          </w:p>
        </w:tc>
      </w:tr>
      <w:tr>
        <w:tc>
          <w:tcPr>
            <w:tcW w:type="dxa" w:w="2160"/>
          </w:tcPr>
          <w:p>
            <w:r>
              <w:rPr>
                <w:sz w:val="20"/>
              </w:rPr>
              <w:t>CYP2C9 genotype</w:t>
            </w:r>
          </w:p>
        </w:tc>
        <w:tc>
          <w:tcPr>
            <w:tcW w:type="dxa" w:w="2160"/>
          </w:tcPr>
          <w:p>
            <w:r>
              <w:rPr>
                <w:sz w:val="20"/>
              </w:rPr>
              <w:t>Genetic</w:t>
            </w:r>
          </w:p>
        </w:tc>
        <w:tc>
          <w:tcPr>
            <w:tcW w:type="dxa" w:w="2160"/>
          </w:tcPr>
          <w:p>
            <w:r>
              <w:rPr>
                <w:sz w:val="20"/>
              </w:rPr>
              <w:t>PGx test</w:t>
            </w:r>
          </w:p>
        </w:tc>
        <w:tc>
          <w:tcPr>
            <w:tcW w:type="dxa" w:w="2160"/>
          </w:tcPr>
          <w:p>
            <w:r>
              <w:rPr>
                <w:sz w:val="20"/>
              </w:rPr>
              <w:t>*2, *3: Decreased S-warfarin clearance = lower dose</w:t>
            </w:r>
          </w:p>
        </w:tc>
      </w:tr>
      <w:tr>
        <w:tc>
          <w:tcPr>
            <w:tcW w:type="dxa" w:w="2160"/>
          </w:tcPr>
          <w:p>
            <w:r>
              <w:rPr>
                <w:sz w:val="20"/>
              </w:rPr>
              <w:t>VKORC1 genotype</w:t>
            </w:r>
          </w:p>
        </w:tc>
        <w:tc>
          <w:tcPr>
            <w:tcW w:type="dxa" w:w="2160"/>
          </w:tcPr>
          <w:p>
            <w:r>
              <w:rPr>
                <w:sz w:val="20"/>
              </w:rPr>
              <w:t>Genetic</w:t>
            </w:r>
          </w:p>
        </w:tc>
        <w:tc>
          <w:tcPr>
            <w:tcW w:type="dxa" w:w="2160"/>
          </w:tcPr>
          <w:p>
            <w:r>
              <w:rPr>
                <w:sz w:val="20"/>
              </w:rPr>
              <w:t>PGx test</w:t>
            </w:r>
          </w:p>
        </w:tc>
        <w:tc>
          <w:tcPr>
            <w:tcW w:type="dxa" w:w="2160"/>
          </w:tcPr>
          <w:p>
            <w:r>
              <w:rPr>
                <w:sz w:val="20"/>
              </w:rPr>
              <w:t>A allele: Increased warfarin sensitivity = lower dose</w:t>
            </w:r>
          </w:p>
        </w:tc>
      </w:tr>
      <w:tr>
        <w:tc>
          <w:tcPr>
            <w:tcW w:type="dxa" w:w="2160"/>
          </w:tcPr>
          <w:p>
            <w:r>
              <w:rPr>
                <w:sz w:val="20"/>
              </w:rPr>
              <w:t>Amiodarone use</w:t>
            </w:r>
          </w:p>
        </w:tc>
        <w:tc>
          <w:tcPr>
            <w:tcW w:type="dxa" w:w="2160"/>
          </w:tcPr>
          <w:p>
            <w:r>
              <w:rPr>
                <w:sz w:val="20"/>
              </w:rPr>
              <w:t>Clinical</w:t>
            </w:r>
          </w:p>
        </w:tc>
        <w:tc>
          <w:tcPr>
            <w:tcW w:type="dxa" w:w="2160"/>
          </w:tcPr>
          <w:p>
            <w:r>
              <w:rPr>
                <w:sz w:val="20"/>
              </w:rPr>
              <w:t>Medication list</w:t>
            </w:r>
          </w:p>
        </w:tc>
        <w:tc>
          <w:tcPr>
            <w:tcW w:type="dxa" w:w="2160"/>
          </w:tcPr>
          <w:p>
            <w:r>
              <w:rPr>
                <w:sz w:val="20"/>
              </w:rPr>
              <w:t>Strong CYP2C9 inhibitor = lower dose</w:t>
            </w:r>
          </w:p>
        </w:tc>
      </w:tr>
      <w:tr>
        <w:tc>
          <w:tcPr>
            <w:tcW w:type="dxa" w:w="2160"/>
          </w:tcPr>
          <w:p>
            <w:r>
              <w:rPr>
                <w:sz w:val="20"/>
              </w:rPr>
              <w:t>Enzyme inducer use</w:t>
            </w:r>
          </w:p>
        </w:tc>
        <w:tc>
          <w:tcPr>
            <w:tcW w:type="dxa" w:w="2160"/>
          </w:tcPr>
          <w:p>
            <w:r>
              <w:rPr>
                <w:sz w:val="20"/>
              </w:rPr>
              <w:t>Clinical</w:t>
            </w:r>
          </w:p>
        </w:tc>
        <w:tc>
          <w:tcPr>
            <w:tcW w:type="dxa" w:w="2160"/>
          </w:tcPr>
          <w:p>
            <w:r>
              <w:rPr>
                <w:sz w:val="20"/>
              </w:rPr>
              <w:t>Medication list</w:t>
            </w:r>
          </w:p>
        </w:tc>
        <w:tc>
          <w:tcPr>
            <w:tcW w:type="dxa" w:w="2160"/>
          </w:tcPr>
          <w:p>
            <w:r>
              <w:rPr>
                <w:sz w:val="20"/>
              </w:rPr>
              <w:t>Rifampin/carbamazepine/phenytoin = higher dose</w:t>
            </w:r>
          </w:p>
        </w:tc>
      </w:tr>
    </w:tbl>
    <w:p>
      <w:pPr>
        <w:pStyle w:val="Heading3"/>
      </w:pPr>
      <w:r>
        <w:t>The Full IWPC Equation with Coefficient Table</w:t>
      </w:r>
    </w:p>
    <w:p>
      <w:r>
        <w:t>The IWPC algorithm calculates the square root of the weekly warfarin dose in mg:</w:t>
      </w:r>
    </w:p>
    <w:p>
      <w:pPr>
        <w:ind w:left="720"/>
      </w:pPr>
      <w:r>
        <w:rPr>
          <w:rFonts w:ascii="Consolas" w:hAnsi="Consolas"/>
          <w:sz w:val="18"/>
        </w:rPr>
        <w:t>sqrt(weekly_dose_mg) = 5.6044</w:t>
        <w:br/>
        <w:t xml:space="preserve">  - 0.2614 * age_decades</w:t>
        <w:br/>
        <w:t xml:space="preserve">  + 0.0087 * height_cm</w:t>
        <w:br/>
        <w:t xml:space="preserve">  + 0.0128 * weight_kg</w:t>
        <w:br/>
        <w:t xml:space="preserve">  - 0.8677 * VKORC1_AG       (indicator: 1 if A/G, else 0)</w:t>
        <w:br/>
        <w:t xml:space="preserve">  - 1.6974 * VKORC1_AA       (indicator: 1 if A/A, else 0)</w:t>
        <w:br/>
        <w:t xml:space="preserve">  - 0.5211 * CYP2C9_*1/*2    (indicator: 1 if *1/*2, else 0)</w:t>
        <w:br/>
        <w:t xml:space="preserve">  - 0.9357 * CYP2C9_*1/*3    (indicator: 1 if *1/*3, else 0)</w:t>
        <w:br/>
        <w:t xml:space="preserve">  - 1.0616 * CYP2C9_*2/*2    (indicator: 1 if *2/*2, else 0)</w:t>
        <w:br/>
        <w:t xml:space="preserve">  - 1.9206 * CYP2C9_*2/*3    (indicator: 1 if *2/*3, else 0)</w:t>
        <w:br/>
        <w:t xml:space="preserve">  - 2.3312 * CYP2C9_*3/*3    (indicator: 1 if *3/*3, else 0)</w:t>
        <w:br/>
        <w:t xml:space="preserve">  - 0.2188 * asian_race      (indicator: 1 if Asian, else 0)</w:t>
        <w:br/>
        <w:t xml:space="preserve">  - 0.1092 * black_race      (indicator: 1 if Black, else 0)</w:t>
        <w:br/>
        <w:t xml:space="preserve">  - 0.2760 * other_race      (indicator: 1 if Other/Mixed, else 0)</w:t>
        <w:br/>
        <w:t xml:space="preserve">  - 0.1032 * amiodarone      (indicator: 1 if taking amiodarone, else 0)</w:t>
        <w:br/>
        <w:t xml:space="preserve">  + 1.1816 * enzyme_inducer  (indicator: 1 if taking rifampin/carbamazepine/phenytoin, else 0)</w:t>
      </w:r>
    </w:p>
    <w:p>
      <w:r>
        <w:t>Final dose: weekly_dose = sqrt(weekly_dose_mg) ^ 2</w:t>
      </w:r>
    </w:p>
    <w:p>
      <w:pPr>
        <w:pStyle w:val="Heading3"/>
      </w:pPr>
      <w:r>
        <w:t>IWPC Coefficient Impact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Coefficient</w:t>
            </w:r>
          </w:p>
        </w:tc>
        <w:tc>
          <w:tcPr>
            <w:tcW w:type="dxa" w:w="2160"/>
          </w:tcPr>
          <w:p>
            <w:r>
              <w:rPr>
                <w:b/>
                <w:sz w:val="20"/>
              </w:rPr>
              <w:t>Direction</w:t>
            </w:r>
          </w:p>
        </w:tc>
        <w:tc>
          <w:tcPr>
            <w:tcW w:type="dxa" w:w="2160"/>
          </w:tcPr>
          <w:p>
            <w:r>
              <w:rPr>
                <w:b/>
                <w:sz w:val="20"/>
              </w:rPr>
              <w:t>Magnitude of Effect</w:t>
            </w:r>
          </w:p>
        </w:tc>
      </w:tr>
      <w:tr>
        <w:tc>
          <w:tcPr>
            <w:tcW w:type="dxa" w:w="2160"/>
          </w:tcPr>
          <w:p>
            <w:r>
              <w:rPr>
                <w:sz w:val="20"/>
              </w:rPr>
              <w:t>Intercept</w:t>
            </w:r>
          </w:p>
        </w:tc>
        <w:tc>
          <w:tcPr>
            <w:tcW w:type="dxa" w:w="2160"/>
          </w:tcPr>
          <w:p>
            <w:r>
              <w:rPr>
                <w:sz w:val="20"/>
              </w:rPr>
              <w:t>+5.6044</w:t>
            </w:r>
          </w:p>
        </w:tc>
        <w:tc>
          <w:tcPr>
            <w:tcW w:type="dxa" w:w="2160"/>
          </w:tcPr>
          <w:p>
            <w:r>
              <w:rPr>
                <w:sz w:val="20"/>
              </w:rPr>
              <w:t>Baseline</w:t>
            </w:r>
          </w:p>
        </w:tc>
        <w:tc>
          <w:tcPr>
            <w:tcW w:type="dxa" w:w="2160"/>
          </w:tcPr>
          <w:p>
            <w:r>
              <w:rPr>
                <w:sz w:val="20"/>
              </w:rPr>
              <w:t>Starting point</w:t>
            </w:r>
          </w:p>
        </w:tc>
      </w:tr>
      <w:tr>
        <w:tc>
          <w:tcPr>
            <w:tcW w:type="dxa" w:w="2160"/>
          </w:tcPr>
          <w:p>
            <w:r>
              <w:rPr>
                <w:sz w:val="20"/>
              </w:rPr>
              <w:t>Age (per decade)</w:t>
            </w:r>
          </w:p>
        </w:tc>
        <w:tc>
          <w:tcPr>
            <w:tcW w:type="dxa" w:w="2160"/>
          </w:tcPr>
          <w:p>
            <w:r>
              <w:rPr>
                <w:sz w:val="20"/>
              </w:rPr>
              <w:t>-0.2614</w:t>
            </w:r>
          </w:p>
        </w:tc>
        <w:tc>
          <w:tcPr>
            <w:tcW w:type="dxa" w:w="2160"/>
          </w:tcPr>
          <w:p>
            <w:r>
              <w:rPr>
                <w:sz w:val="20"/>
              </w:rPr>
              <w:t>Decrease</w:t>
            </w:r>
          </w:p>
        </w:tc>
        <w:tc>
          <w:tcPr>
            <w:tcW w:type="dxa" w:w="2160"/>
          </w:tcPr>
          <w:p>
            <w:r>
              <w:rPr>
                <w:sz w:val="20"/>
              </w:rPr>
              <w:t>~1-2 mg/week per decade</w:t>
            </w:r>
          </w:p>
        </w:tc>
      </w:tr>
      <w:tr>
        <w:tc>
          <w:tcPr>
            <w:tcW w:type="dxa" w:w="2160"/>
          </w:tcPr>
          <w:p>
            <w:r>
              <w:rPr>
                <w:sz w:val="20"/>
              </w:rPr>
              <w:t>Height (per cm)</w:t>
            </w:r>
          </w:p>
        </w:tc>
        <w:tc>
          <w:tcPr>
            <w:tcW w:type="dxa" w:w="2160"/>
          </w:tcPr>
          <w:p>
            <w:r>
              <w:rPr>
                <w:sz w:val="20"/>
              </w:rPr>
              <w:t>+0.0087</w:t>
            </w:r>
          </w:p>
        </w:tc>
        <w:tc>
          <w:tcPr>
            <w:tcW w:type="dxa" w:w="2160"/>
          </w:tcPr>
          <w:p>
            <w:r>
              <w:rPr>
                <w:sz w:val="20"/>
              </w:rPr>
              <w:t>Increase</w:t>
            </w:r>
          </w:p>
        </w:tc>
        <w:tc>
          <w:tcPr>
            <w:tcW w:type="dxa" w:w="2160"/>
          </w:tcPr>
          <w:p>
            <w:r>
              <w:rPr>
                <w:sz w:val="20"/>
              </w:rPr>
              <w:t>~1 mg/week per 10 cm</w:t>
            </w:r>
          </w:p>
        </w:tc>
      </w:tr>
      <w:tr>
        <w:tc>
          <w:tcPr>
            <w:tcW w:type="dxa" w:w="2160"/>
          </w:tcPr>
          <w:p>
            <w:r>
              <w:rPr>
                <w:sz w:val="20"/>
              </w:rPr>
              <w:t>Weight (per kg)</w:t>
            </w:r>
          </w:p>
        </w:tc>
        <w:tc>
          <w:tcPr>
            <w:tcW w:type="dxa" w:w="2160"/>
          </w:tcPr>
          <w:p>
            <w:r>
              <w:rPr>
                <w:sz w:val="20"/>
              </w:rPr>
              <w:t>+0.0128</w:t>
            </w:r>
          </w:p>
        </w:tc>
        <w:tc>
          <w:tcPr>
            <w:tcW w:type="dxa" w:w="2160"/>
          </w:tcPr>
          <w:p>
            <w:r>
              <w:rPr>
                <w:sz w:val="20"/>
              </w:rPr>
              <w:t>Increase</w:t>
            </w:r>
          </w:p>
        </w:tc>
        <w:tc>
          <w:tcPr>
            <w:tcW w:type="dxa" w:w="2160"/>
          </w:tcPr>
          <w:p>
            <w:r>
              <w:rPr>
                <w:sz w:val="20"/>
              </w:rPr>
              <w:t>~1 mg/week per 10 kg</w:t>
            </w:r>
          </w:p>
        </w:tc>
      </w:tr>
      <w:tr>
        <w:tc>
          <w:tcPr>
            <w:tcW w:type="dxa" w:w="2160"/>
          </w:tcPr>
          <w:p>
            <w:r>
              <w:rPr>
                <w:sz w:val="20"/>
              </w:rPr>
              <w:t>VKORC1 A/G</w:t>
            </w:r>
          </w:p>
        </w:tc>
        <w:tc>
          <w:tcPr>
            <w:tcW w:type="dxa" w:w="2160"/>
          </w:tcPr>
          <w:p>
            <w:r>
              <w:rPr>
                <w:sz w:val="20"/>
              </w:rPr>
              <w:t>-0.8677</w:t>
            </w:r>
          </w:p>
        </w:tc>
        <w:tc>
          <w:tcPr>
            <w:tcW w:type="dxa" w:w="2160"/>
          </w:tcPr>
          <w:p>
            <w:r>
              <w:rPr>
                <w:sz w:val="20"/>
              </w:rPr>
              <w:t>Decrease</w:t>
            </w:r>
          </w:p>
        </w:tc>
        <w:tc>
          <w:tcPr>
            <w:tcW w:type="dxa" w:w="2160"/>
          </w:tcPr>
          <w:p>
            <w:r>
              <w:rPr>
                <w:sz w:val="20"/>
              </w:rPr>
              <w:t>~5-7 mg/week reduction</w:t>
            </w:r>
          </w:p>
        </w:tc>
      </w:tr>
      <w:tr>
        <w:tc>
          <w:tcPr>
            <w:tcW w:type="dxa" w:w="2160"/>
          </w:tcPr>
          <w:p>
            <w:r>
              <w:rPr>
                <w:sz w:val="20"/>
              </w:rPr>
              <w:t>VKORC1 A/A</w:t>
            </w:r>
          </w:p>
        </w:tc>
        <w:tc>
          <w:tcPr>
            <w:tcW w:type="dxa" w:w="2160"/>
          </w:tcPr>
          <w:p>
            <w:r>
              <w:rPr>
                <w:sz w:val="20"/>
              </w:rPr>
              <w:t>-1.6974</w:t>
            </w:r>
          </w:p>
        </w:tc>
        <w:tc>
          <w:tcPr>
            <w:tcW w:type="dxa" w:w="2160"/>
          </w:tcPr>
          <w:p>
            <w:r>
              <w:rPr>
                <w:sz w:val="20"/>
              </w:rPr>
              <w:t>Decrease</w:t>
            </w:r>
          </w:p>
        </w:tc>
        <w:tc>
          <w:tcPr>
            <w:tcW w:type="dxa" w:w="2160"/>
          </w:tcPr>
          <w:p>
            <w:r>
              <w:rPr>
                <w:sz w:val="20"/>
              </w:rPr>
              <w:t>~12-15 mg/week reduction</w:t>
            </w:r>
          </w:p>
        </w:tc>
      </w:tr>
      <w:tr>
        <w:tc>
          <w:tcPr>
            <w:tcW w:type="dxa" w:w="2160"/>
          </w:tcPr>
          <w:p>
            <w:r>
              <w:rPr>
                <w:sz w:val="20"/>
              </w:rPr>
              <w:t>CYP2C9 *1/*2</w:t>
            </w:r>
          </w:p>
        </w:tc>
        <w:tc>
          <w:tcPr>
            <w:tcW w:type="dxa" w:w="2160"/>
          </w:tcPr>
          <w:p>
            <w:r>
              <w:rPr>
                <w:sz w:val="20"/>
              </w:rPr>
              <w:t>-0.5211</w:t>
            </w:r>
          </w:p>
        </w:tc>
        <w:tc>
          <w:tcPr>
            <w:tcW w:type="dxa" w:w="2160"/>
          </w:tcPr>
          <w:p>
            <w:r>
              <w:rPr>
                <w:sz w:val="20"/>
              </w:rPr>
              <w:t>Decrease</w:t>
            </w:r>
          </w:p>
        </w:tc>
        <w:tc>
          <w:tcPr>
            <w:tcW w:type="dxa" w:w="2160"/>
          </w:tcPr>
          <w:p>
            <w:r>
              <w:rPr>
                <w:sz w:val="20"/>
              </w:rPr>
              <w:t>~3-4 mg/week reduction</w:t>
            </w:r>
          </w:p>
        </w:tc>
      </w:tr>
      <w:tr>
        <w:tc>
          <w:tcPr>
            <w:tcW w:type="dxa" w:w="2160"/>
          </w:tcPr>
          <w:p>
            <w:r>
              <w:rPr>
                <w:sz w:val="20"/>
              </w:rPr>
              <w:t>CYP2C9 *1/*3</w:t>
            </w:r>
          </w:p>
        </w:tc>
        <w:tc>
          <w:tcPr>
            <w:tcW w:type="dxa" w:w="2160"/>
          </w:tcPr>
          <w:p>
            <w:r>
              <w:rPr>
                <w:sz w:val="20"/>
              </w:rPr>
              <w:t>-0.9357</w:t>
            </w:r>
          </w:p>
        </w:tc>
        <w:tc>
          <w:tcPr>
            <w:tcW w:type="dxa" w:w="2160"/>
          </w:tcPr>
          <w:p>
            <w:r>
              <w:rPr>
                <w:sz w:val="20"/>
              </w:rPr>
              <w:t>Decrease</w:t>
            </w:r>
          </w:p>
        </w:tc>
        <w:tc>
          <w:tcPr>
            <w:tcW w:type="dxa" w:w="2160"/>
          </w:tcPr>
          <w:p>
            <w:r>
              <w:rPr>
                <w:sz w:val="20"/>
              </w:rPr>
              <w:t>~6-8 mg/week reduction</w:t>
            </w:r>
          </w:p>
        </w:tc>
      </w:tr>
      <w:tr>
        <w:tc>
          <w:tcPr>
            <w:tcW w:type="dxa" w:w="2160"/>
          </w:tcPr>
          <w:p>
            <w:r>
              <w:rPr>
                <w:sz w:val="20"/>
              </w:rPr>
              <w:t>CYP2C9 *2/*2</w:t>
            </w:r>
          </w:p>
        </w:tc>
        <w:tc>
          <w:tcPr>
            <w:tcW w:type="dxa" w:w="2160"/>
          </w:tcPr>
          <w:p>
            <w:r>
              <w:rPr>
                <w:sz w:val="20"/>
              </w:rPr>
              <w:t>-1.0616</w:t>
            </w:r>
          </w:p>
        </w:tc>
        <w:tc>
          <w:tcPr>
            <w:tcW w:type="dxa" w:w="2160"/>
          </w:tcPr>
          <w:p>
            <w:r>
              <w:rPr>
                <w:sz w:val="20"/>
              </w:rPr>
              <w:t>Decrease</w:t>
            </w:r>
          </w:p>
        </w:tc>
        <w:tc>
          <w:tcPr>
            <w:tcW w:type="dxa" w:w="2160"/>
          </w:tcPr>
          <w:p>
            <w:r>
              <w:rPr>
                <w:sz w:val="20"/>
              </w:rPr>
              <w:t>~7-9 mg/week reduction</w:t>
            </w:r>
          </w:p>
        </w:tc>
      </w:tr>
      <w:tr>
        <w:tc>
          <w:tcPr>
            <w:tcW w:type="dxa" w:w="2160"/>
          </w:tcPr>
          <w:p>
            <w:r>
              <w:rPr>
                <w:sz w:val="20"/>
              </w:rPr>
              <w:t>CYP2C9 *2/*3</w:t>
            </w:r>
          </w:p>
        </w:tc>
        <w:tc>
          <w:tcPr>
            <w:tcW w:type="dxa" w:w="2160"/>
          </w:tcPr>
          <w:p>
            <w:r>
              <w:rPr>
                <w:sz w:val="20"/>
              </w:rPr>
              <w:t>-1.9206</w:t>
            </w:r>
          </w:p>
        </w:tc>
        <w:tc>
          <w:tcPr>
            <w:tcW w:type="dxa" w:w="2160"/>
          </w:tcPr>
          <w:p>
            <w:r>
              <w:rPr>
                <w:sz w:val="20"/>
              </w:rPr>
              <w:t>Decrease</w:t>
            </w:r>
          </w:p>
        </w:tc>
        <w:tc>
          <w:tcPr>
            <w:tcW w:type="dxa" w:w="2160"/>
          </w:tcPr>
          <w:p>
            <w:r>
              <w:rPr>
                <w:sz w:val="20"/>
              </w:rPr>
              <w:t>~14-17 mg/week reduction</w:t>
            </w:r>
          </w:p>
        </w:tc>
      </w:tr>
      <w:tr>
        <w:tc>
          <w:tcPr>
            <w:tcW w:type="dxa" w:w="2160"/>
          </w:tcPr>
          <w:p>
            <w:r>
              <w:rPr>
                <w:sz w:val="20"/>
              </w:rPr>
              <w:t>CYP2C9 *3/*3</w:t>
            </w:r>
          </w:p>
        </w:tc>
        <w:tc>
          <w:tcPr>
            <w:tcW w:type="dxa" w:w="2160"/>
          </w:tcPr>
          <w:p>
            <w:r>
              <w:rPr>
                <w:sz w:val="20"/>
              </w:rPr>
              <w:t>-2.3312</w:t>
            </w:r>
          </w:p>
        </w:tc>
        <w:tc>
          <w:tcPr>
            <w:tcW w:type="dxa" w:w="2160"/>
          </w:tcPr>
          <w:p>
            <w:r>
              <w:rPr>
                <w:sz w:val="20"/>
              </w:rPr>
              <w:t>Decrease</w:t>
            </w:r>
          </w:p>
        </w:tc>
        <w:tc>
          <w:tcPr>
            <w:tcW w:type="dxa" w:w="2160"/>
          </w:tcPr>
          <w:p>
            <w:r>
              <w:rPr>
                <w:sz w:val="20"/>
              </w:rPr>
              <w:t>~18-22 mg/week reduction</w:t>
            </w:r>
          </w:p>
        </w:tc>
      </w:tr>
      <w:tr>
        <w:tc>
          <w:tcPr>
            <w:tcW w:type="dxa" w:w="2160"/>
          </w:tcPr>
          <w:p>
            <w:r>
              <w:rPr>
                <w:sz w:val="20"/>
              </w:rPr>
              <w:t>Asian race</w:t>
            </w:r>
          </w:p>
        </w:tc>
        <w:tc>
          <w:tcPr>
            <w:tcW w:type="dxa" w:w="2160"/>
          </w:tcPr>
          <w:p>
            <w:r>
              <w:rPr>
                <w:sz w:val="20"/>
              </w:rPr>
              <w:t>-0.2188</w:t>
            </w:r>
          </w:p>
        </w:tc>
        <w:tc>
          <w:tcPr>
            <w:tcW w:type="dxa" w:w="2160"/>
          </w:tcPr>
          <w:p>
            <w:r>
              <w:rPr>
                <w:sz w:val="20"/>
              </w:rPr>
              <w:t>Decrease</w:t>
            </w:r>
          </w:p>
        </w:tc>
        <w:tc>
          <w:tcPr>
            <w:tcW w:type="dxa" w:w="2160"/>
          </w:tcPr>
          <w:p>
            <w:r>
              <w:rPr>
                <w:sz w:val="20"/>
              </w:rPr>
              <w:t>~1-2 mg/week reduction</w:t>
            </w:r>
          </w:p>
        </w:tc>
      </w:tr>
      <w:tr>
        <w:tc>
          <w:tcPr>
            <w:tcW w:type="dxa" w:w="2160"/>
          </w:tcPr>
          <w:p>
            <w:r>
              <w:rPr>
                <w:sz w:val="20"/>
              </w:rPr>
              <w:t>Amiodarone</w:t>
            </w:r>
          </w:p>
        </w:tc>
        <w:tc>
          <w:tcPr>
            <w:tcW w:type="dxa" w:w="2160"/>
          </w:tcPr>
          <w:p>
            <w:r>
              <w:rPr>
                <w:sz w:val="20"/>
              </w:rPr>
              <w:t>-0.1032</w:t>
            </w:r>
          </w:p>
        </w:tc>
        <w:tc>
          <w:tcPr>
            <w:tcW w:type="dxa" w:w="2160"/>
          </w:tcPr>
          <w:p>
            <w:r>
              <w:rPr>
                <w:sz w:val="20"/>
              </w:rPr>
              <w:t>Decrease</w:t>
            </w:r>
          </w:p>
        </w:tc>
        <w:tc>
          <w:tcPr>
            <w:tcW w:type="dxa" w:w="2160"/>
          </w:tcPr>
          <w:p>
            <w:r>
              <w:rPr>
                <w:sz w:val="20"/>
              </w:rPr>
              <w:t>~1 mg/week reduction</w:t>
            </w:r>
          </w:p>
        </w:tc>
      </w:tr>
      <w:tr>
        <w:tc>
          <w:tcPr>
            <w:tcW w:type="dxa" w:w="2160"/>
          </w:tcPr>
          <w:p>
            <w:r>
              <w:rPr>
                <w:sz w:val="20"/>
              </w:rPr>
              <w:t>Enzyme inducer</w:t>
            </w:r>
          </w:p>
        </w:tc>
        <w:tc>
          <w:tcPr>
            <w:tcW w:type="dxa" w:w="2160"/>
          </w:tcPr>
          <w:p>
            <w:r>
              <w:rPr>
                <w:sz w:val="20"/>
              </w:rPr>
              <w:t>+1.1816</w:t>
            </w:r>
          </w:p>
        </w:tc>
        <w:tc>
          <w:tcPr>
            <w:tcW w:type="dxa" w:w="2160"/>
          </w:tcPr>
          <w:p>
            <w:r>
              <w:rPr>
                <w:sz w:val="20"/>
              </w:rPr>
              <w:t>Increase</w:t>
            </w:r>
          </w:p>
        </w:tc>
        <w:tc>
          <w:tcPr>
            <w:tcW w:type="dxa" w:w="2160"/>
          </w:tcPr>
          <w:p>
            <w:r>
              <w:rPr>
                <w:sz w:val="20"/>
              </w:rPr>
              <w:t>~8-12 mg/week increase</w:t>
            </w:r>
          </w:p>
        </w:tc>
      </w:tr>
    </w:tbl>
    <w:p>
      <w:pPr>
        <w:pStyle w:val="Heading3"/>
      </w:pPr>
      <w:r>
        <w:t>Worked Example</w:t>
      </w:r>
    </w:p>
    <w:p>
      <w:r>
        <w:t>Patient: 65-year-old Caucasian male, 170 cm, 80 kg, CYP2C9 1/3, VKORC1 A/G, no amiodarone, no enzyme inducer.</w:t>
      </w:r>
    </w:p>
    <w:p>
      <w:pPr>
        <w:ind w:left="720"/>
      </w:pPr>
      <w:r>
        <w:rPr>
          <w:rFonts w:ascii="Consolas" w:hAnsi="Consolas"/>
          <w:sz w:val="18"/>
        </w:rPr>
        <w:t>sqrt(dose) = 5.6044</w:t>
        <w:br/>
        <w:t xml:space="preserve">  - 0.2614 * 6.5    (age in decades)</w:t>
        <w:br/>
        <w:t xml:space="preserve">  + 0.0087 * 170    (height cm)</w:t>
        <w:br/>
        <w:t xml:space="preserve">  + 0.0128 * 80     (weight kg)</w:t>
        <w:br/>
        <w:t xml:space="preserve">  - 0.8677 * 1      (VKORC1 A/G)</w:t>
        <w:br/>
        <w:t xml:space="preserve">  - 0.9357 * 1      (CYP2C9 *1/*3)</w:t>
        <w:br/>
        <w:t xml:space="preserve">  - 0.0000 * 0      (all other indicators are 0)</w:t>
        <w:br/>
        <w:br/>
        <w:t>sqrt(dose) = 5.6044 - 1.6991 + 1.4790 + 1.0240 - 0.8677 - 0.9357</w:t>
        <w:br/>
        <w:t>sqrt(dose) = 4.6049</w:t>
        <w:br/>
        <w:br/>
        <w:t>weekly_dose = 4.6049^2 = 21.2 mg/week</w:t>
        <w:br/>
        <w:t>daily_dose = 21.2 / 7 = 3.0 mg/day</w:t>
      </w:r>
    </w:p>
    <w:p>
      <w:r>
        <w:t>Compare to a patient with CYP2C9 1/1 and VKORC1 G/G (same demographics):</w:t>
      </w:r>
    </w:p>
    <w:p>
      <w:pPr>
        <w:ind w:left="720"/>
      </w:pPr>
      <w:r>
        <w:rPr>
          <w:rFonts w:ascii="Consolas" w:hAnsi="Consolas"/>
          <w:sz w:val="18"/>
        </w:rPr>
        <w:t>sqrt(dose) = 5.6044 - 1.6991 + 1.4790 + 1.0240</w:t>
        <w:br/>
        <w:t>sqrt(dose) = 6.4083</w:t>
        <w:br/>
        <w:br/>
        <w:t>weekly_dose = 6.4083^2 = 41.1 mg/week</w:t>
        <w:br/>
        <w:t>daily_dose = 41.1 / 7 = 5.9 mg/day</w:t>
      </w:r>
    </w:p>
    <w:p>
      <w:r>
        <w:t>The pharmacogenomic variant reduces the predicted dose by 48% (from 41.1 to 21.2 mg/week). Starting this patient at the standard 5 mg/day would result in significant over-anticoagulation.</w:t>
      </w:r>
    </w:p>
    <w:p>
      <w:pPr>
        <w:pStyle w:val="Heading3"/>
      </w:pPr>
      <w:r>
        <w:t>Implementation in the Agent</w:t>
      </w:r>
    </w:p>
    <w:p>
      <w:r>
        <w:t>The DosingCalculator class in dosing.py (1,499 lines) implements this algorithm as a validated Python function. The Warfarin Dosing tab (Tab 4) provides a user-friendly interface for entering patient parameters and viewing the calculated dose alongside the population average.</w:t>
      </w:r>
    </w:p>
    <w:p>
      <w:pPr>
        <w:pStyle w:val="Heading3"/>
      </w:pPr>
      <w:r>
        <w:t>Clinical Impact</w:t>
      </w:r>
    </w:p>
    <w:p>
      <w:r>
        <w:t>Studies show that pharmacogenomic-guided warfarin dosing:</w:t>
      </w:r>
    </w:p>
    <w:p>
      <w:pPr>
        <w:pStyle w:val="ListBullet"/>
      </w:pPr>
      <w:r>
        <w:t>Reduces time to stable INR by 25-30%</w:t>
      </w:r>
    </w:p>
    <w:p>
      <w:pPr>
        <w:pStyle w:val="ListBullet"/>
      </w:pPr>
      <w:r>
        <w:t>Reduces the risk of over-anticoagulation (INR &gt; 4) by 30%</w:t>
      </w:r>
    </w:p>
    <w:p>
      <w:pPr>
        <w:pStyle w:val="ListBullet"/>
      </w:pPr>
      <w:r>
        <w:t>Decreases bleeding events during initiation by 25-40% (EU-PACT trial)</w:t>
      </w:r>
    </w:p>
    <w:p>
      <w:pPr>
        <w:pStyle w:val="ListBullet"/>
      </w:pPr>
      <w:r>
        <w:t>Is most beneficial for patients with extreme genotypes (CYP2C9 3/3 or VKORC1 AA)</w:t>
      </w:r>
    </w:p>
    <w:p>
      <w:pPr>
        <w:pStyle w:val="ListBullet"/>
      </w:pPr>
      <w:r>
        <w:t>Explains 47% of variance in stable warfarin dose (vs 17% for clinical-only model)</w:t>
      </w:r>
    </w:p>
    <w:p>
      <w:pPr>
        <w:pStyle w:val="Heading2"/>
      </w:pPr>
      <w:r>
        <w:t>4. DPYD and Fluoropyrimidine Toxicity</w:t>
      </w:r>
    </w:p>
    <w:p>
      <w:pPr>
        <w:pStyle w:val="Heading3"/>
      </w:pPr>
      <w:r>
        <w:t>The Clinical Problem</w:t>
      </w:r>
    </w:p>
    <w:p>
      <w:r>
        <w:t>Fluoropyrimidines (5-fluorouracil, capecitabine) are among the most widely used chemotherapy agents, treating colorectal, breast, gastric, and head/neck cancers. Approximately 450,000 patients receive fluoropyrimidines annually in the United States alone. Approximately 3-5% of patients carry DPYD variants that cause dihydropyrimidine dehydrogenase (DPD) deficiency, the enzyme responsible for catabolizing &gt;80% of administered fluoropyrimidine.</w:t>
      </w:r>
    </w:p>
    <w:p>
      <w:r>
        <w:t>DPD-deficient patients exposed to standard doses can develop life-threatening toxicity: severe mucositis, myelosuppression, hand-foot syndrome, and death. The mortality rate for severe fluoropyrimidine toxicity in DPD-deficient patients is 10-20%.</w:t>
      </w:r>
    </w:p>
    <w:p>
      <w:pPr>
        <w:pStyle w:val="Heading3"/>
      </w:pPr>
      <w:r>
        <w:t>The DPYD Gene and DPD Enzyme</w:t>
      </w:r>
    </w:p>
    <w:p>
      <w:pPr>
        <w:ind w:left="720"/>
      </w:pPr>
      <w:r>
        <w:rPr>
          <w:rFonts w:ascii="Consolas" w:hAnsi="Consolas"/>
          <w:sz w:val="18"/>
        </w:rPr>
        <w:t>5-Fluorouracil (5-FU)</w:t>
        <w:br/>
        <w:t xml:space="preserve">     |</w:t>
        <w:br/>
        <w:t xml:space="preserve">     v</w:t>
        <w:br/>
        <w:t>DPD enzyme (encoded by DPYD gene)</w:t>
        <w:br/>
        <w:t xml:space="preserve">     |</w:t>
        <w:br/>
        <w:t xml:space="preserve">     v</w:t>
        <w:br/>
        <w:t>DHFU (dihydrofluorouracil) --&gt; Further catabolism --&gt; Excretion</w:t>
        <w:br/>
        <w:t xml:space="preserve">     |</w:t>
        <w:br/>
        <w:t xml:space="preserve">     |  (DPD catabolizes &gt;80% of administered 5-FU)</w:t>
        <w:br/>
        <w:t xml:space="preserve">     |  (If DPD is deficient, 5-FU accumulates)</w:t>
        <w:br/>
        <w:t xml:space="preserve">     |</w:t>
        <w:br/>
        <w:t xml:space="preserve">     v</w:t>
        <w:br/>
        <w:t>Remaining 5-FU (if DPD deficient, much more enters anabolic pathway)</w:t>
        <w:br/>
        <w:t xml:space="preserve">     |</w:t>
        <w:br/>
        <w:t xml:space="preserve">     v</w:t>
        <w:br/>
        <w:t>Cytotoxic metabolites (FdUMP, FUTP) --&gt; Cell death</w:t>
        <w:br/>
        <w:t xml:space="preserve">     |</w:t>
        <w:br/>
        <w:t xml:space="preserve">     v</w:t>
        <w:br/>
        <w:t>If excessive: severe mucositis, myelosuppression, neurotoxicity, death</w:t>
      </w:r>
    </w:p>
    <w:p>
      <w:pPr>
        <w:pStyle w:val="Heading3"/>
      </w:pPr>
      <w:r>
        <w:t>DPYD Activity Score System (Gene Activity Score)</w:t>
      </w:r>
    </w:p>
    <w:p>
      <w:r>
        <w:t>The CPIC DPYD guideline uses a Gene Activity Score (GAS) system. Each DPYD allele is assigned an activity value, and the diplotype GAS is the sum: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DPYD Allele</w:t>
            </w:r>
          </w:p>
        </w:tc>
        <w:tc>
          <w:tcPr>
            <w:tcW w:type="dxa" w:w="1440"/>
          </w:tcPr>
          <w:p>
            <w:r>
              <w:rPr>
                <w:b/>
                <w:sz w:val="20"/>
              </w:rPr>
              <w:t>Defining Variant</w:t>
            </w:r>
          </w:p>
        </w:tc>
        <w:tc>
          <w:tcPr>
            <w:tcW w:type="dxa" w:w="1440"/>
          </w:tcPr>
          <w:p>
            <w:r>
              <w:rPr>
                <w:b/>
                <w:sz w:val="20"/>
              </w:rPr>
              <w:t>rsID</w:t>
            </w:r>
          </w:p>
        </w:tc>
        <w:tc>
          <w:tcPr>
            <w:tcW w:type="dxa" w:w="1440"/>
          </w:tcPr>
          <w:p>
            <w:r>
              <w:rPr>
                <w:b/>
                <w:sz w:val="20"/>
              </w:rPr>
              <w:t>Activity Value</w:t>
            </w:r>
          </w:p>
        </w:tc>
        <w:tc>
          <w:tcPr>
            <w:tcW w:type="dxa" w:w="1440"/>
          </w:tcPr>
          <w:p>
            <w:r>
              <w:rPr>
                <w:b/>
                <w:sz w:val="20"/>
              </w:rPr>
              <w:t>Function</w:t>
            </w:r>
          </w:p>
        </w:tc>
        <w:tc>
          <w:tcPr>
            <w:tcW w:type="dxa" w:w="1440"/>
          </w:tcPr>
          <w:p>
            <w:r>
              <w:rPr>
                <w:b/>
                <w:sz w:val="20"/>
              </w:rPr>
              <w:t>Frequency (European)</w:t>
            </w:r>
          </w:p>
        </w:tc>
      </w:tr>
      <w:tr>
        <w:tc>
          <w:tcPr>
            <w:tcW w:type="dxa" w:w="1440"/>
          </w:tcPr>
          <w:p>
            <w:r>
              <w:rPr>
                <w:sz w:val="20"/>
              </w:rPr>
              <w:t>*1 (reference)</w:t>
            </w:r>
          </w:p>
        </w:tc>
        <w:tc>
          <w:tcPr>
            <w:tcW w:type="dxa" w:w="1440"/>
          </w:tcPr>
          <w:p>
            <w:r>
              <w:rPr>
                <w:sz w:val="20"/>
              </w:rPr>
              <w:t>None</w:t>
            </w:r>
          </w:p>
        </w:tc>
        <w:tc>
          <w:tcPr>
            <w:tcW w:type="dxa" w:w="1440"/>
          </w:tcPr>
          <w:p>
            <w:r>
              <w:rPr>
                <w:sz w:val="20"/>
              </w:rPr>
              <w:t>N/A</w:t>
            </w:r>
          </w:p>
        </w:tc>
        <w:tc>
          <w:tcPr>
            <w:tcW w:type="dxa" w:w="1440"/>
          </w:tcPr>
          <w:p>
            <w:r>
              <w:rPr>
                <w:sz w:val="20"/>
              </w:rPr>
              <w:t>1.0</w:t>
            </w:r>
          </w:p>
        </w:tc>
        <w:tc>
          <w:tcPr>
            <w:tcW w:type="dxa" w:w="1440"/>
          </w:tcPr>
          <w:p>
            <w:r>
              <w:rPr>
                <w:sz w:val="20"/>
              </w:rPr>
              <w:t>Normal DPD activity</w:t>
            </w:r>
          </w:p>
        </w:tc>
        <w:tc>
          <w:tcPr>
            <w:tcW w:type="dxa" w:w="1440"/>
          </w:tcPr>
          <w:p>
            <w:r>
              <w:rPr>
                <w:sz w:val="20"/>
              </w:rPr>
              <w:t>~95%</w:t>
            </w:r>
          </w:p>
        </w:tc>
      </w:tr>
      <w:tr>
        <w:tc>
          <w:tcPr>
            <w:tcW w:type="dxa" w:w="1440"/>
          </w:tcPr>
          <w:p>
            <w:r>
              <w:rPr>
                <w:sz w:val="20"/>
              </w:rPr>
              <w:t>*2A (IVS14+1G&gt;A)</w:t>
            </w:r>
          </w:p>
        </w:tc>
        <w:tc>
          <w:tcPr>
            <w:tcW w:type="dxa" w:w="1440"/>
          </w:tcPr>
          <w:p>
            <w:r>
              <w:rPr>
                <w:sz w:val="20"/>
              </w:rPr>
              <w:t>c.1905+1G&gt;A</w:t>
            </w:r>
          </w:p>
        </w:tc>
        <w:tc>
          <w:tcPr>
            <w:tcW w:type="dxa" w:w="1440"/>
          </w:tcPr>
          <w:p>
            <w:r>
              <w:rPr>
                <w:sz w:val="20"/>
              </w:rPr>
              <w:t>rs3918290</w:t>
            </w:r>
          </w:p>
        </w:tc>
        <w:tc>
          <w:tcPr>
            <w:tcW w:type="dxa" w:w="1440"/>
          </w:tcPr>
          <w:p>
            <w:r>
              <w:rPr>
                <w:sz w:val="20"/>
              </w:rPr>
              <w:t>0.0</w:t>
            </w:r>
          </w:p>
        </w:tc>
        <w:tc>
          <w:tcPr>
            <w:tcW w:type="dxa" w:w="1440"/>
          </w:tcPr>
          <w:p>
            <w:r>
              <w:rPr>
                <w:sz w:val="20"/>
              </w:rPr>
              <w:t>No function (splice site abolished)</w:t>
            </w:r>
          </w:p>
        </w:tc>
        <w:tc>
          <w:tcPr>
            <w:tcW w:type="dxa" w:w="1440"/>
          </w:tcPr>
          <w:p>
            <w:r>
              <w:rPr>
                <w:sz w:val="20"/>
              </w:rPr>
              <w:t>1-2%</w:t>
            </w:r>
          </w:p>
        </w:tc>
      </w:tr>
      <w:tr>
        <w:tc>
          <w:tcPr>
            <w:tcW w:type="dxa" w:w="1440"/>
          </w:tcPr>
          <w:p>
            <w:r>
              <w:rPr>
                <w:sz w:val="20"/>
              </w:rPr>
              <w:t>*13 (I560S)</w:t>
            </w:r>
          </w:p>
        </w:tc>
        <w:tc>
          <w:tcPr>
            <w:tcW w:type="dxa" w:w="1440"/>
          </w:tcPr>
          <w:p>
            <w:r>
              <w:rPr>
                <w:sz w:val="20"/>
              </w:rPr>
              <w:t>c.1679T&gt;G</w:t>
            </w:r>
          </w:p>
        </w:tc>
        <w:tc>
          <w:tcPr>
            <w:tcW w:type="dxa" w:w="1440"/>
          </w:tcPr>
          <w:p>
            <w:r>
              <w:rPr>
                <w:sz w:val="20"/>
              </w:rPr>
              <w:t>rs55886062</w:t>
            </w:r>
          </w:p>
        </w:tc>
        <w:tc>
          <w:tcPr>
            <w:tcW w:type="dxa" w:w="1440"/>
          </w:tcPr>
          <w:p>
            <w:r>
              <w:rPr>
                <w:sz w:val="20"/>
              </w:rPr>
              <w:t>0.0</w:t>
            </w:r>
          </w:p>
        </w:tc>
        <w:tc>
          <w:tcPr>
            <w:tcW w:type="dxa" w:w="1440"/>
          </w:tcPr>
          <w:p>
            <w:r>
              <w:rPr>
                <w:sz w:val="20"/>
              </w:rPr>
              <w:t>No function (non-functional protein)</w:t>
            </w:r>
          </w:p>
        </w:tc>
        <w:tc>
          <w:tcPr>
            <w:tcW w:type="dxa" w:w="1440"/>
          </w:tcPr>
          <w:p>
            <w:r>
              <w:rPr>
                <w:sz w:val="20"/>
              </w:rPr>
              <w:t>&lt;0.5%</w:t>
            </w:r>
          </w:p>
        </w:tc>
      </w:tr>
      <w:tr>
        <w:tc>
          <w:tcPr>
            <w:tcW w:type="dxa" w:w="1440"/>
          </w:tcPr>
          <w:p>
            <w:r>
              <w:rPr>
                <w:sz w:val="20"/>
              </w:rPr>
              <w:t>c.2846A&gt;T (D949V)</w:t>
            </w:r>
          </w:p>
        </w:tc>
        <w:tc>
          <w:tcPr>
            <w:tcW w:type="dxa" w:w="1440"/>
          </w:tcPr>
          <w:p>
            <w:r>
              <w:rPr>
                <w:sz w:val="20"/>
              </w:rPr>
              <w:t>c.2846A&gt;T</w:t>
            </w:r>
          </w:p>
        </w:tc>
        <w:tc>
          <w:tcPr>
            <w:tcW w:type="dxa" w:w="1440"/>
          </w:tcPr>
          <w:p>
            <w:r>
              <w:rPr>
                <w:sz w:val="20"/>
              </w:rPr>
              <w:t>rs67376798</w:t>
            </w:r>
          </w:p>
        </w:tc>
        <w:tc>
          <w:tcPr>
            <w:tcW w:type="dxa" w:w="1440"/>
          </w:tcPr>
          <w:p>
            <w:r>
              <w:rPr>
                <w:sz w:val="20"/>
              </w:rPr>
              <w:t>0.5</w:t>
            </w:r>
          </w:p>
        </w:tc>
        <w:tc>
          <w:tcPr>
            <w:tcW w:type="dxa" w:w="1440"/>
          </w:tcPr>
          <w:p>
            <w:r>
              <w:rPr>
                <w:sz w:val="20"/>
              </w:rPr>
              <w:t>Decreased function</w:t>
            </w:r>
          </w:p>
        </w:tc>
        <w:tc>
          <w:tcPr>
            <w:tcW w:type="dxa" w:w="1440"/>
          </w:tcPr>
          <w:p>
            <w:r>
              <w:rPr>
                <w:sz w:val="20"/>
              </w:rPr>
              <w:t>1-2%</w:t>
            </w:r>
          </w:p>
        </w:tc>
      </w:tr>
      <w:tr>
        <w:tc>
          <w:tcPr>
            <w:tcW w:type="dxa" w:w="1440"/>
          </w:tcPr>
          <w:p>
            <w:r>
              <w:rPr>
                <w:sz w:val="20"/>
              </w:rPr>
              <w:t>HapB3</w:t>
            </w:r>
          </w:p>
        </w:tc>
        <w:tc>
          <w:tcPr>
            <w:tcW w:type="dxa" w:w="1440"/>
          </w:tcPr>
          <w:p>
            <w:r>
              <w:rPr>
                <w:sz w:val="20"/>
              </w:rPr>
              <w:t>c.1236G&gt;A (tag SNP)</w:t>
            </w:r>
          </w:p>
        </w:tc>
        <w:tc>
          <w:tcPr>
            <w:tcW w:type="dxa" w:w="1440"/>
          </w:tcPr>
          <w:p>
            <w:r>
              <w:rPr>
                <w:sz w:val="20"/>
              </w:rPr>
              <w:t>rs56038477</w:t>
            </w:r>
          </w:p>
        </w:tc>
        <w:tc>
          <w:tcPr>
            <w:tcW w:type="dxa" w:w="1440"/>
          </w:tcPr>
          <w:p>
            <w:r>
              <w:rPr>
                <w:sz w:val="20"/>
              </w:rPr>
              <w:t>0.5</w:t>
            </w:r>
          </w:p>
        </w:tc>
        <w:tc>
          <w:tcPr>
            <w:tcW w:type="dxa" w:w="1440"/>
          </w:tcPr>
          <w:p>
            <w:r>
              <w:rPr>
                <w:sz w:val="20"/>
              </w:rPr>
              <w:t>Decreased function (reduced expression)</w:t>
            </w:r>
          </w:p>
        </w:tc>
        <w:tc>
          <w:tcPr>
            <w:tcW w:type="dxa" w:w="1440"/>
          </w:tcPr>
          <w:p>
            <w:r>
              <w:rPr>
                <w:sz w:val="20"/>
              </w:rPr>
              <w:t>3-5%</w:t>
            </w:r>
          </w:p>
        </w:tc>
      </w:tr>
      <w:tr>
        <w:tc>
          <w:tcPr>
            <w:tcW w:type="dxa" w:w="1440"/>
          </w:tcPr>
          <w:p>
            <w:r>
              <w:rPr>
                <w:sz w:val="20"/>
              </w:rPr>
              <w:t>c.1129-5923C&gt;G</w:t>
            </w:r>
          </w:p>
        </w:tc>
        <w:tc>
          <w:tcPr>
            <w:tcW w:type="dxa" w:w="1440"/>
          </w:tcPr>
          <w:p>
            <w:r>
              <w:rPr>
                <w:sz w:val="20"/>
              </w:rPr>
              <w:t>Deep intronic</w:t>
            </w:r>
          </w:p>
        </w:tc>
        <w:tc>
          <w:tcPr>
            <w:tcW w:type="dxa" w:w="1440"/>
          </w:tcPr>
          <w:p>
            <w:r>
              <w:rPr>
                <w:sz w:val="20"/>
              </w:rPr>
              <w:t>rs75017182</w:t>
            </w:r>
          </w:p>
        </w:tc>
        <w:tc>
          <w:tcPr>
            <w:tcW w:type="dxa" w:w="1440"/>
          </w:tcPr>
          <w:p>
            <w:r>
              <w:rPr>
                <w:sz w:val="20"/>
              </w:rPr>
              <w:t>0.5</w:t>
            </w:r>
          </w:p>
        </w:tc>
        <w:tc>
          <w:tcPr>
            <w:tcW w:type="dxa" w:w="1440"/>
          </w:tcPr>
          <w:p>
            <w:r>
              <w:rPr>
                <w:sz w:val="20"/>
              </w:rPr>
              <w:t>Decreased function</w:t>
            </w:r>
          </w:p>
        </w:tc>
        <w:tc>
          <w:tcPr>
            <w:tcW w:type="dxa" w:w="1440"/>
          </w:tcPr>
          <w:p>
            <w:r>
              <w:rPr>
                <w:sz w:val="20"/>
              </w:rPr>
              <w:t>3-5%</w:t>
            </w:r>
          </w:p>
        </w:tc>
      </w:tr>
    </w:tbl>
    <w:p>
      <w:pPr>
        <w:pStyle w:val="Heading3"/>
      </w:pPr>
      <w:r>
        <w:t>Complete DPYD Dosing Table Based on Gene Activity Score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Diplotype</w:t>
            </w:r>
          </w:p>
        </w:tc>
        <w:tc>
          <w:tcPr>
            <w:tcW w:type="dxa" w:w="1440"/>
          </w:tcPr>
          <w:p>
            <w:r>
              <w:rPr>
                <w:b/>
                <w:sz w:val="20"/>
              </w:rPr>
              <w:t>GAS Calculation</w:t>
            </w:r>
          </w:p>
        </w:tc>
        <w:tc>
          <w:tcPr>
            <w:tcW w:type="dxa" w:w="1440"/>
          </w:tcPr>
          <w:p>
            <w:r>
              <w:rPr>
                <w:b/>
                <w:sz w:val="20"/>
              </w:rPr>
              <w:t>GAS</w:t>
            </w:r>
          </w:p>
        </w:tc>
        <w:tc>
          <w:tcPr>
            <w:tcW w:type="dxa" w:w="1440"/>
          </w:tcPr>
          <w:p>
            <w:r>
              <w:rPr>
                <w:b/>
                <w:sz w:val="20"/>
              </w:rPr>
              <w:t>DPD Status</w:t>
            </w:r>
          </w:p>
        </w:tc>
        <w:tc>
          <w:tcPr>
            <w:tcW w:type="dxa" w:w="1440"/>
          </w:tcPr>
          <w:p>
            <w:r>
              <w:rPr>
                <w:b/>
                <w:sz w:val="20"/>
              </w:rPr>
              <w:t>CPIC Recommendation</w:t>
            </w:r>
          </w:p>
        </w:tc>
        <w:tc>
          <w:tcPr>
            <w:tcW w:type="dxa" w:w="1440"/>
          </w:tcPr>
          <w:p>
            <w:r>
              <w:rPr>
                <w:b/>
                <w:sz w:val="20"/>
              </w:rPr>
              <w:t>Dose Adjustment</w:t>
            </w:r>
          </w:p>
        </w:tc>
      </w:tr>
      <w:tr>
        <w:tc>
          <w:tcPr>
            <w:tcW w:type="dxa" w:w="1440"/>
          </w:tcPr>
          <w:p>
            <w:r>
              <w:rPr>
                <w:sz w:val="20"/>
              </w:rPr>
              <w:t>*1/*1</w:t>
            </w:r>
          </w:p>
        </w:tc>
        <w:tc>
          <w:tcPr>
            <w:tcW w:type="dxa" w:w="1440"/>
          </w:tcPr>
          <w:p>
            <w:r>
              <w:rPr>
                <w:sz w:val="20"/>
              </w:rPr>
              <w:t>1.0 + 1.0</w:t>
            </w:r>
          </w:p>
        </w:tc>
        <w:tc>
          <w:tcPr>
            <w:tcW w:type="dxa" w:w="1440"/>
          </w:tcPr>
          <w:p>
            <w:r>
              <w:rPr>
                <w:sz w:val="20"/>
              </w:rPr>
              <w:t>2.0</w:t>
            </w:r>
          </w:p>
        </w:tc>
        <w:tc>
          <w:tcPr>
            <w:tcW w:type="dxa" w:w="1440"/>
          </w:tcPr>
          <w:p>
            <w:r>
              <w:rPr>
                <w:sz w:val="20"/>
              </w:rPr>
              <w:t>Normal</w:t>
            </w:r>
          </w:p>
        </w:tc>
        <w:tc>
          <w:tcPr>
            <w:tcW w:type="dxa" w:w="1440"/>
          </w:tcPr>
          <w:p>
            <w:r>
              <w:rPr>
                <w:sz w:val="20"/>
              </w:rPr>
              <w:t>Full dose fluoropyrimidine</w:t>
            </w:r>
          </w:p>
        </w:tc>
        <w:tc>
          <w:tcPr>
            <w:tcW w:type="dxa" w:w="1440"/>
          </w:tcPr>
          <w:p>
            <w:r>
              <w:rPr>
                <w:sz w:val="20"/>
              </w:rPr>
              <w:t>100%</w:t>
            </w:r>
          </w:p>
        </w:tc>
      </w:tr>
      <w:tr>
        <w:tc>
          <w:tcPr>
            <w:tcW w:type="dxa" w:w="1440"/>
          </w:tcPr>
          <w:p>
            <w:r>
              <w:rPr>
                <w:sz w:val="20"/>
              </w:rPr>
              <w:t>*1/c.2846A&gt;T</w:t>
            </w:r>
          </w:p>
        </w:tc>
        <w:tc>
          <w:tcPr>
            <w:tcW w:type="dxa" w:w="1440"/>
          </w:tcPr>
          <w:p>
            <w:r>
              <w:rPr>
                <w:sz w:val="20"/>
              </w:rPr>
              <w:t>1.0 + 0.5</w:t>
            </w:r>
          </w:p>
        </w:tc>
        <w:tc>
          <w:tcPr>
            <w:tcW w:type="dxa" w:w="1440"/>
          </w:tcPr>
          <w:p>
            <w:r>
              <w:rPr>
                <w:sz w:val="20"/>
              </w:rPr>
              <w:t>1.5</w:t>
            </w:r>
          </w:p>
        </w:tc>
        <w:tc>
          <w:tcPr>
            <w:tcW w:type="dxa" w:w="1440"/>
          </w:tcPr>
          <w:p>
            <w:r>
              <w:rPr>
                <w:sz w:val="20"/>
              </w:rPr>
              <w:t>Intermediate (mild)</w:t>
            </w:r>
          </w:p>
        </w:tc>
        <w:tc>
          <w:tcPr>
            <w:tcW w:type="dxa" w:w="1440"/>
          </w:tcPr>
          <w:p>
            <w:r>
              <w:rPr>
                <w:sz w:val="20"/>
              </w:rPr>
              <w:t>Reduce initial dose by 25-50%</w:t>
            </w:r>
          </w:p>
        </w:tc>
        <w:tc>
          <w:tcPr>
            <w:tcW w:type="dxa" w:w="1440"/>
          </w:tcPr>
          <w:p>
            <w:r>
              <w:rPr>
                <w:sz w:val="20"/>
              </w:rPr>
              <w:t>50-75%</w:t>
            </w:r>
          </w:p>
        </w:tc>
      </w:tr>
      <w:tr>
        <w:tc>
          <w:tcPr>
            <w:tcW w:type="dxa" w:w="1440"/>
          </w:tcPr>
          <w:p>
            <w:r>
              <w:rPr>
                <w:sz w:val="20"/>
              </w:rPr>
              <w:t>*1/HapB3</w:t>
            </w:r>
          </w:p>
        </w:tc>
        <w:tc>
          <w:tcPr>
            <w:tcW w:type="dxa" w:w="1440"/>
          </w:tcPr>
          <w:p>
            <w:r>
              <w:rPr>
                <w:sz w:val="20"/>
              </w:rPr>
              <w:t>1.0 + 0.5</w:t>
            </w:r>
          </w:p>
        </w:tc>
        <w:tc>
          <w:tcPr>
            <w:tcW w:type="dxa" w:w="1440"/>
          </w:tcPr>
          <w:p>
            <w:r>
              <w:rPr>
                <w:sz w:val="20"/>
              </w:rPr>
              <w:t>1.5</w:t>
            </w:r>
          </w:p>
        </w:tc>
        <w:tc>
          <w:tcPr>
            <w:tcW w:type="dxa" w:w="1440"/>
          </w:tcPr>
          <w:p>
            <w:r>
              <w:rPr>
                <w:sz w:val="20"/>
              </w:rPr>
              <w:t>Intermediate (mild)</w:t>
            </w:r>
          </w:p>
        </w:tc>
        <w:tc>
          <w:tcPr>
            <w:tcW w:type="dxa" w:w="1440"/>
          </w:tcPr>
          <w:p>
            <w:r>
              <w:rPr>
                <w:sz w:val="20"/>
              </w:rPr>
              <w:t>Reduce initial dose by 25-50%</w:t>
            </w:r>
          </w:p>
        </w:tc>
        <w:tc>
          <w:tcPr>
            <w:tcW w:type="dxa" w:w="1440"/>
          </w:tcPr>
          <w:p>
            <w:r>
              <w:rPr>
                <w:sz w:val="20"/>
              </w:rPr>
              <w:t>50-75%</w:t>
            </w:r>
          </w:p>
        </w:tc>
      </w:tr>
      <w:tr>
        <w:tc>
          <w:tcPr>
            <w:tcW w:type="dxa" w:w="1440"/>
          </w:tcPr>
          <w:p>
            <w:r>
              <w:rPr>
                <w:sz w:val="20"/>
              </w:rPr>
              <w:t>*1/*2A</w:t>
            </w:r>
          </w:p>
        </w:tc>
        <w:tc>
          <w:tcPr>
            <w:tcW w:type="dxa" w:w="1440"/>
          </w:tcPr>
          <w:p>
            <w:r>
              <w:rPr>
                <w:sz w:val="20"/>
              </w:rPr>
              <w:t>1.0 + 0.0</w:t>
            </w:r>
          </w:p>
        </w:tc>
        <w:tc>
          <w:tcPr>
            <w:tcW w:type="dxa" w:w="1440"/>
          </w:tcPr>
          <w:p>
            <w:r>
              <w:rPr>
                <w:sz w:val="20"/>
              </w:rPr>
              <w:t>1.0</w:t>
            </w:r>
          </w:p>
        </w:tc>
        <w:tc>
          <w:tcPr>
            <w:tcW w:type="dxa" w:w="1440"/>
          </w:tcPr>
          <w:p>
            <w:r>
              <w:rPr>
                <w:sz w:val="20"/>
              </w:rPr>
              <w:t>Intermediate (moderate)</w:t>
            </w:r>
          </w:p>
        </w:tc>
        <w:tc>
          <w:tcPr>
            <w:tcW w:type="dxa" w:w="1440"/>
          </w:tcPr>
          <w:p>
            <w:r>
              <w:rPr>
                <w:sz w:val="20"/>
              </w:rPr>
              <w:t>Reduce initial dose by 50%</w:t>
            </w:r>
          </w:p>
        </w:tc>
        <w:tc>
          <w:tcPr>
            <w:tcW w:type="dxa" w:w="1440"/>
          </w:tcPr>
          <w:p>
            <w:r>
              <w:rPr>
                <w:sz w:val="20"/>
              </w:rPr>
              <w:t>50%</w:t>
            </w:r>
          </w:p>
        </w:tc>
      </w:tr>
      <w:tr>
        <w:tc>
          <w:tcPr>
            <w:tcW w:type="dxa" w:w="1440"/>
          </w:tcPr>
          <w:p>
            <w:r>
              <w:rPr>
                <w:sz w:val="20"/>
              </w:rPr>
              <w:t>*1/*13</w:t>
            </w:r>
          </w:p>
        </w:tc>
        <w:tc>
          <w:tcPr>
            <w:tcW w:type="dxa" w:w="1440"/>
          </w:tcPr>
          <w:p>
            <w:r>
              <w:rPr>
                <w:sz w:val="20"/>
              </w:rPr>
              <w:t>1.0 + 0.0</w:t>
            </w:r>
          </w:p>
        </w:tc>
        <w:tc>
          <w:tcPr>
            <w:tcW w:type="dxa" w:w="1440"/>
          </w:tcPr>
          <w:p>
            <w:r>
              <w:rPr>
                <w:sz w:val="20"/>
              </w:rPr>
              <w:t>1.0</w:t>
            </w:r>
          </w:p>
        </w:tc>
        <w:tc>
          <w:tcPr>
            <w:tcW w:type="dxa" w:w="1440"/>
          </w:tcPr>
          <w:p>
            <w:r>
              <w:rPr>
                <w:sz w:val="20"/>
              </w:rPr>
              <w:t>Intermediate (moderate)</w:t>
            </w:r>
          </w:p>
        </w:tc>
        <w:tc>
          <w:tcPr>
            <w:tcW w:type="dxa" w:w="1440"/>
          </w:tcPr>
          <w:p>
            <w:r>
              <w:rPr>
                <w:sz w:val="20"/>
              </w:rPr>
              <w:t>Reduce initial dose by 50%</w:t>
            </w:r>
          </w:p>
        </w:tc>
        <w:tc>
          <w:tcPr>
            <w:tcW w:type="dxa" w:w="1440"/>
          </w:tcPr>
          <w:p>
            <w:r>
              <w:rPr>
                <w:sz w:val="20"/>
              </w:rPr>
              <w:t>50%</w:t>
            </w:r>
          </w:p>
        </w:tc>
      </w:tr>
      <w:tr>
        <w:tc>
          <w:tcPr>
            <w:tcW w:type="dxa" w:w="1440"/>
          </w:tcPr>
          <w:p>
            <w:r>
              <w:rPr>
                <w:sz w:val="20"/>
              </w:rPr>
              <w:t>c.2846A&gt;T/c.2846A&gt;T</w:t>
            </w:r>
          </w:p>
        </w:tc>
        <w:tc>
          <w:tcPr>
            <w:tcW w:type="dxa" w:w="1440"/>
          </w:tcPr>
          <w:p>
            <w:r>
              <w:rPr>
                <w:sz w:val="20"/>
              </w:rPr>
              <w:t>0.5 + 0.5</w:t>
            </w:r>
          </w:p>
        </w:tc>
        <w:tc>
          <w:tcPr>
            <w:tcW w:type="dxa" w:w="1440"/>
          </w:tcPr>
          <w:p>
            <w:r>
              <w:rPr>
                <w:sz w:val="20"/>
              </w:rPr>
              <w:t>1.0</w:t>
            </w:r>
          </w:p>
        </w:tc>
        <w:tc>
          <w:tcPr>
            <w:tcW w:type="dxa" w:w="1440"/>
          </w:tcPr>
          <w:p>
            <w:r>
              <w:rPr>
                <w:sz w:val="20"/>
              </w:rPr>
              <w:t>Intermediate (moderate)</w:t>
            </w:r>
          </w:p>
        </w:tc>
        <w:tc>
          <w:tcPr>
            <w:tcW w:type="dxa" w:w="1440"/>
          </w:tcPr>
          <w:p>
            <w:r>
              <w:rPr>
                <w:sz w:val="20"/>
              </w:rPr>
              <w:t>Reduce initial dose by 50%</w:t>
            </w:r>
          </w:p>
        </w:tc>
        <w:tc>
          <w:tcPr>
            <w:tcW w:type="dxa" w:w="1440"/>
          </w:tcPr>
          <w:p>
            <w:r>
              <w:rPr>
                <w:sz w:val="20"/>
              </w:rPr>
              <w:t>50%</w:t>
            </w:r>
          </w:p>
        </w:tc>
      </w:tr>
      <w:tr>
        <w:tc>
          <w:tcPr>
            <w:tcW w:type="dxa" w:w="1440"/>
          </w:tcPr>
          <w:p>
            <w:r>
              <w:rPr>
                <w:sz w:val="20"/>
              </w:rPr>
              <w:t>*2A/c.2846A&gt;T</w:t>
            </w:r>
          </w:p>
        </w:tc>
        <w:tc>
          <w:tcPr>
            <w:tcW w:type="dxa" w:w="1440"/>
          </w:tcPr>
          <w:p>
            <w:r>
              <w:rPr>
                <w:sz w:val="20"/>
              </w:rPr>
              <w:t>0.0 + 0.5</w:t>
            </w:r>
          </w:p>
        </w:tc>
        <w:tc>
          <w:tcPr>
            <w:tcW w:type="dxa" w:w="1440"/>
          </w:tcPr>
          <w:p>
            <w:r>
              <w:rPr>
                <w:sz w:val="20"/>
              </w:rPr>
              <w:t>0.5</w:t>
            </w:r>
          </w:p>
        </w:tc>
        <w:tc>
          <w:tcPr>
            <w:tcW w:type="dxa" w:w="1440"/>
          </w:tcPr>
          <w:p>
            <w:r>
              <w:rPr>
                <w:sz w:val="20"/>
              </w:rPr>
              <w:t>Poor</w:t>
            </w:r>
          </w:p>
        </w:tc>
        <w:tc>
          <w:tcPr>
            <w:tcW w:type="dxa" w:w="1440"/>
          </w:tcPr>
          <w:p>
            <w:r>
              <w:rPr>
                <w:sz w:val="20"/>
              </w:rPr>
              <w:t>Avoid fluoropyrimidines or reduce by 75%+</w:t>
            </w:r>
          </w:p>
        </w:tc>
        <w:tc>
          <w:tcPr>
            <w:tcW w:type="dxa" w:w="1440"/>
          </w:tcPr>
          <w:p>
            <w:r>
              <w:rPr>
                <w:sz w:val="20"/>
              </w:rPr>
              <w:t>0-25%</w:t>
            </w:r>
          </w:p>
        </w:tc>
      </w:tr>
      <w:tr>
        <w:tc>
          <w:tcPr>
            <w:tcW w:type="dxa" w:w="1440"/>
          </w:tcPr>
          <w:p>
            <w:r>
              <w:rPr>
                <w:sz w:val="20"/>
              </w:rPr>
              <w:t>*2A/HapB3</w:t>
            </w:r>
          </w:p>
        </w:tc>
        <w:tc>
          <w:tcPr>
            <w:tcW w:type="dxa" w:w="1440"/>
          </w:tcPr>
          <w:p>
            <w:r>
              <w:rPr>
                <w:sz w:val="20"/>
              </w:rPr>
              <w:t>0.0 + 0.5</w:t>
            </w:r>
          </w:p>
        </w:tc>
        <w:tc>
          <w:tcPr>
            <w:tcW w:type="dxa" w:w="1440"/>
          </w:tcPr>
          <w:p>
            <w:r>
              <w:rPr>
                <w:sz w:val="20"/>
              </w:rPr>
              <w:t>0.5</w:t>
            </w:r>
          </w:p>
        </w:tc>
        <w:tc>
          <w:tcPr>
            <w:tcW w:type="dxa" w:w="1440"/>
          </w:tcPr>
          <w:p>
            <w:r>
              <w:rPr>
                <w:sz w:val="20"/>
              </w:rPr>
              <w:t>Poor</w:t>
            </w:r>
          </w:p>
        </w:tc>
        <w:tc>
          <w:tcPr>
            <w:tcW w:type="dxa" w:w="1440"/>
          </w:tcPr>
          <w:p>
            <w:r>
              <w:rPr>
                <w:sz w:val="20"/>
              </w:rPr>
              <w:t>Avoid fluoropyrimidines or reduce by 75%+</w:t>
            </w:r>
          </w:p>
        </w:tc>
        <w:tc>
          <w:tcPr>
            <w:tcW w:type="dxa" w:w="1440"/>
          </w:tcPr>
          <w:p>
            <w:r>
              <w:rPr>
                <w:sz w:val="20"/>
              </w:rPr>
              <w:t>0-25%</w:t>
            </w:r>
          </w:p>
        </w:tc>
      </w:tr>
      <w:tr>
        <w:tc>
          <w:tcPr>
            <w:tcW w:type="dxa" w:w="1440"/>
          </w:tcPr>
          <w:p>
            <w:r>
              <w:rPr>
                <w:sz w:val="20"/>
              </w:rPr>
              <w:t>*2A/*2A</w:t>
            </w:r>
          </w:p>
        </w:tc>
        <w:tc>
          <w:tcPr>
            <w:tcW w:type="dxa" w:w="1440"/>
          </w:tcPr>
          <w:p>
            <w:r>
              <w:rPr>
                <w:sz w:val="20"/>
              </w:rPr>
              <w:t>0.0 + 0.0</w:t>
            </w:r>
          </w:p>
        </w:tc>
        <w:tc>
          <w:tcPr>
            <w:tcW w:type="dxa" w:w="1440"/>
          </w:tcPr>
          <w:p>
            <w:r>
              <w:rPr>
                <w:sz w:val="20"/>
              </w:rPr>
              <w:t>0.0</w:t>
            </w:r>
          </w:p>
        </w:tc>
        <w:tc>
          <w:tcPr>
            <w:tcW w:type="dxa" w:w="1440"/>
          </w:tcPr>
          <w:p>
            <w:r>
              <w:rPr>
                <w:sz w:val="20"/>
              </w:rPr>
              <w:t>Poor (complete deficiency)</w:t>
            </w:r>
          </w:p>
        </w:tc>
        <w:tc>
          <w:tcPr>
            <w:tcW w:type="dxa" w:w="1440"/>
          </w:tcPr>
          <w:p>
            <w:r>
              <w:rPr>
                <w:sz w:val="20"/>
              </w:rPr>
              <w:t>**Contraindicated**</w:t>
            </w:r>
          </w:p>
        </w:tc>
        <w:tc>
          <w:tcPr>
            <w:tcW w:type="dxa" w:w="1440"/>
          </w:tcPr>
          <w:p>
            <w:r>
              <w:rPr>
                <w:sz w:val="20"/>
              </w:rPr>
              <w:t>0%</w:t>
            </w:r>
          </w:p>
        </w:tc>
      </w:tr>
      <w:tr>
        <w:tc>
          <w:tcPr>
            <w:tcW w:type="dxa" w:w="1440"/>
          </w:tcPr>
          <w:p>
            <w:r>
              <w:rPr>
                <w:sz w:val="20"/>
              </w:rPr>
              <w:t>*2A/*13</w:t>
            </w:r>
          </w:p>
        </w:tc>
        <w:tc>
          <w:tcPr>
            <w:tcW w:type="dxa" w:w="1440"/>
          </w:tcPr>
          <w:p>
            <w:r>
              <w:rPr>
                <w:sz w:val="20"/>
              </w:rPr>
              <w:t>0.0 + 0.0</w:t>
            </w:r>
          </w:p>
        </w:tc>
        <w:tc>
          <w:tcPr>
            <w:tcW w:type="dxa" w:w="1440"/>
          </w:tcPr>
          <w:p>
            <w:r>
              <w:rPr>
                <w:sz w:val="20"/>
              </w:rPr>
              <w:t>0.0</w:t>
            </w:r>
          </w:p>
        </w:tc>
        <w:tc>
          <w:tcPr>
            <w:tcW w:type="dxa" w:w="1440"/>
          </w:tcPr>
          <w:p>
            <w:r>
              <w:rPr>
                <w:sz w:val="20"/>
              </w:rPr>
              <w:t>Poor (complete deficiency)</w:t>
            </w:r>
          </w:p>
        </w:tc>
        <w:tc>
          <w:tcPr>
            <w:tcW w:type="dxa" w:w="1440"/>
          </w:tcPr>
          <w:p>
            <w:r>
              <w:rPr>
                <w:sz w:val="20"/>
              </w:rPr>
              <w:t>**Contraindicated**</w:t>
            </w:r>
          </w:p>
        </w:tc>
        <w:tc>
          <w:tcPr>
            <w:tcW w:type="dxa" w:w="1440"/>
          </w:tcPr>
          <w:p>
            <w:r>
              <w:rPr>
                <w:sz w:val="20"/>
              </w:rPr>
              <w:t>0%</w:t>
            </w:r>
          </w:p>
        </w:tc>
      </w:tr>
      <w:tr>
        <w:tc>
          <w:tcPr>
            <w:tcW w:type="dxa" w:w="1440"/>
          </w:tcPr>
          <w:p>
            <w:r>
              <w:rPr>
                <w:sz w:val="20"/>
              </w:rPr>
              <w:t>*13/*13</w:t>
            </w:r>
          </w:p>
        </w:tc>
        <w:tc>
          <w:tcPr>
            <w:tcW w:type="dxa" w:w="1440"/>
          </w:tcPr>
          <w:p>
            <w:r>
              <w:rPr>
                <w:sz w:val="20"/>
              </w:rPr>
              <w:t>0.0 + 0.0</w:t>
            </w:r>
          </w:p>
        </w:tc>
        <w:tc>
          <w:tcPr>
            <w:tcW w:type="dxa" w:w="1440"/>
          </w:tcPr>
          <w:p>
            <w:r>
              <w:rPr>
                <w:sz w:val="20"/>
              </w:rPr>
              <w:t>0.0</w:t>
            </w:r>
          </w:p>
        </w:tc>
        <w:tc>
          <w:tcPr>
            <w:tcW w:type="dxa" w:w="1440"/>
          </w:tcPr>
          <w:p>
            <w:r>
              <w:rPr>
                <w:sz w:val="20"/>
              </w:rPr>
              <w:t>Poor (complete deficiency)</w:t>
            </w:r>
          </w:p>
        </w:tc>
        <w:tc>
          <w:tcPr>
            <w:tcW w:type="dxa" w:w="1440"/>
          </w:tcPr>
          <w:p>
            <w:r>
              <w:rPr>
                <w:sz w:val="20"/>
              </w:rPr>
              <w:t>**Contraindicated**</w:t>
            </w:r>
          </w:p>
        </w:tc>
        <w:tc>
          <w:tcPr>
            <w:tcW w:type="dxa" w:w="1440"/>
          </w:tcPr>
          <w:p>
            <w:r>
              <w:rPr>
                <w:sz w:val="20"/>
              </w:rPr>
              <w:t>0%</w:t>
            </w:r>
          </w:p>
        </w:tc>
      </w:tr>
    </w:tbl>
    <w:p>
      <w:pPr>
        <w:pStyle w:val="Heading3"/>
      </w:pPr>
      <w:r>
        <w:t>Clinical Evidence for DPYD-Guided Dosing</w:t>
      </w:r>
    </w:p>
    <w:p>
      <w:r>
        <w:t>The landmark DPYD dosing study by Henricks et al. (Lancet Oncol 2018) demonstrated:</w:t>
      </w:r>
    </w:p>
    <w:p>
      <w:pPr>
        <w:pStyle w:val="ListBullet"/>
      </w:pPr>
      <w:r>
        <w:t>Without dose adjustment: DPYD-intermediate patients had 73% incidence of grade 3+ toxicity</w:t>
      </w:r>
    </w:p>
    <w:p>
      <w:pPr>
        <w:pStyle w:val="ListBullet"/>
      </w:pPr>
      <w:r>
        <w:t>With DPYD-guided dose reduction: Toxicity rate reduced to 28% (comparable to wild-type patients)</w:t>
      </w:r>
    </w:p>
    <w:p>
      <w:pPr>
        <w:pStyle w:val="ListBullet"/>
      </w:pPr>
      <w:r>
        <w:t>Mortality: 10% in unscreened DPYD-deficient patients vs &lt;1% with prospective screening and dose adjustment</w:t>
      </w:r>
    </w:p>
    <w:p>
      <w:pPr>
        <w:pStyle w:val="ListBullet"/>
      </w:pPr>
      <w:r>
        <w:t>No reduction in efficacy: Patients receiving DPYD-guided reduced doses had comparable progression-free survival</w:t>
      </w:r>
    </w:p>
    <w:p>
      <w:r>
        <w:t>The European Medicines Agency (EMA) mandated DPYD testing before fluoropyrimidine treatment in 2020. The FDA added a recommendation for DPYD testing in fluoropyrimidine labeling in 2023.</w:t>
      </w:r>
    </w:p>
    <w:p>
      <w:pPr>
        <w:pStyle w:val="Heading3"/>
      </w:pPr>
      <w:r>
        <w:t>Implementation</w:t>
      </w:r>
    </w:p>
    <w:p>
      <w:r>
        <w:t>The agent's Chemo Safety tab (Tab 5) accepts DPYD diplotype input and calculates the appropriate dose adjustment using the activity score system. The /v1/pgx/drug-check endpoint also flags DPYD deficiency when fluoropyrimidines are queried.</w:t>
      </w:r>
    </w:p>
    <w:p>
      <w:pPr>
        <w:pStyle w:val="Heading2"/>
      </w:pPr>
      <w:r>
        <w:t>5. TPMT and NUDT15 Combined Dosing</w:t>
      </w:r>
    </w:p>
    <w:p>
      <w:pPr>
        <w:pStyle w:val="Heading3"/>
      </w:pPr>
      <w:r>
        <w:t>Two Genes, One Drug Class</w:t>
      </w:r>
    </w:p>
    <w:p>
      <w:r>
        <w:t>Thiopurines (azathioprine, mercaptopurine, thioguanine) are immunosuppressants and antimetabolites used in autoimmune disease (Crohn's disease, rheumatoid arthritis, systemic lupus erythematosus) and acute lymphoblastic leukemia (ALL). Their toxicity is governed by two independent enzymes:</w:t>
      </w:r>
    </w:p>
    <w:p>
      <w:pPr>
        <w:pStyle w:val="ListBullet"/>
      </w:pPr>
      <w:r>
        <w:t>TPMT (Thiopurine S-methyltransferase): Inactivates thiopurine metabolites via methylation. Deficiency leads to accumulation of cytotoxic thioguanine nucleotides (TGN).</w:t>
      </w:r>
    </w:p>
    <w:p>
      <w:pPr>
        <w:pStyle w:val="ListBullet"/>
      </w:pPr>
      <w:r>
        <w:t>NUDT15 (Nudix hydrolase 15): Dephosphorylates thioguanine nucleotides. Deficiency increases the active metabolite pool.</w:t>
      </w:r>
    </w:p>
    <w:p>
      <w:pPr>
        <w:ind w:left="720"/>
      </w:pPr>
      <w:r>
        <w:rPr>
          <w:rFonts w:ascii="Consolas" w:hAnsi="Consolas"/>
          <w:sz w:val="18"/>
        </w:rPr>
        <w:t>Azathioprine</w:t>
        <w:br/>
        <w:t xml:space="preserve">     |</w:t>
        <w:br/>
        <w:t xml:space="preserve">     v</w:t>
        <w:br/>
        <w:t>6-Mercaptopurine (6-MP)</w:t>
        <w:br/>
        <w:t xml:space="preserve">     |</w:t>
        <w:br/>
        <w:t xml:space="preserve">     +-- TPMT methylation --&gt; 6-methylmercaptopurine (inactive)</w:t>
        <w:br/>
        <w:t xml:space="preserve">     |</w:t>
        <w:br/>
        <w:t xml:space="preserve">     +-- HGPRT --&gt; 6-thioguanine nucleotides (TGN) --&gt; Cytotoxicity</w:t>
        <w:br/>
        <w:t xml:space="preserve">     |                |</w:t>
        <w:br/>
        <w:t xml:space="preserve">     |                +-- NUDT15 --&gt; Dephosphorylation (inactivation)</w:t>
        <w:br/>
        <w:t xml:space="preserve">     |</w:t>
        <w:br/>
        <w:t xml:space="preserve">     +-- XO --&gt; 6-thiouric acid (inactive)</w:t>
        <w:br/>
        <w:br/>
        <w:t>If TPMT deficient: More 6-MP enters TGN pathway --&gt; More cytotoxicity</w:t>
        <w:br/>
        <w:t>If NUDT15 deficient: Less TGN dephosphorylated --&gt; More active TGN</w:t>
        <w:br/>
        <w:t>If both deficient: Severely elevated TGN --&gt; Life-threatening myelosuppression</w:t>
      </w:r>
    </w:p>
    <w:p>
      <w:pPr>
        <w:pStyle w:val="Heading3"/>
      </w:pPr>
      <w:r>
        <w:t>TPMT Allele Activity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TPMT Allele</w:t>
            </w:r>
          </w:p>
        </w:tc>
        <w:tc>
          <w:tcPr>
            <w:tcW w:type="dxa" w:w="2160"/>
          </w:tcPr>
          <w:p>
            <w:r>
              <w:rPr>
                <w:b/>
                <w:sz w:val="20"/>
              </w:rPr>
              <w:t>Activity</w:t>
            </w:r>
          </w:p>
        </w:tc>
        <w:tc>
          <w:tcPr>
            <w:tcW w:type="dxa" w:w="2160"/>
          </w:tcPr>
          <w:p>
            <w:r>
              <w:rPr>
                <w:b/>
                <w:sz w:val="20"/>
              </w:rPr>
              <w:t>Frequency (European)</w:t>
            </w:r>
          </w:p>
        </w:tc>
        <w:tc>
          <w:tcPr>
            <w:tcW w:type="dxa" w:w="2160"/>
          </w:tcPr>
          <w:p>
            <w:r>
              <w:rPr>
                <w:b/>
                <w:sz w:val="20"/>
              </w:rPr>
              <w:t>Frequency (East Asian)</w:t>
            </w:r>
          </w:p>
        </w:tc>
      </w:tr>
      <w:tr>
        <w:tc>
          <w:tcPr>
            <w:tcW w:type="dxa" w:w="2160"/>
          </w:tcPr>
          <w:p>
            <w:r>
              <w:rPr>
                <w:sz w:val="20"/>
              </w:rPr>
              <w:t>*1 (reference)</w:t>
            </w:r>
          </w:p>
        </w:tc>
        <w:tc>
          <w:tcPr>
            <w:tcW w:type="dxa" w:w="2160"/>
          </w:tcPr>
          <w:p>
            <w:r>
              <w:rPr>
                <w:sz w:val="20"/>
              </w:rPr>
              <w:t>Normal</w:t>
            </w:r>
          </w:p>
        </w:tc>
        <w:tc>
          <w:tcPr>
            <w:tcW w:type="dxa" w:w="2160"/>
          </w:tcPr>
          <w:p>
            <w:r>
              <w:rPr>
                <w:sz w:val="20"/>
              </w:rPr>
              <w:t>~86%</w:t>
            </w:r>
          </w:p>
        </w:tc>
        <w:tc>
          <w:tcPr>
            <w:tcW w:type="dxa" w:w="2160"/>
          </w:tcPr>
          <w:p>
            <w:r>
              <w:rPr>
                <w:sz w:val="20"/>
              </w:rPr>
              <w:t>~96%</w:t>
            </w:r>
          </w:p>
        </w:tc>
      </w:tr>
      <w:tr>
        <w:tc>
          <w:tcPr>
            <w:tcW w:type="dxa" w:w="2160"/>
          </w:tcPr>
          <w:p>
            <w:r>
              <w:rPr>
                <w:sz w:val="20"/>
              </w:rPr>
              <w:t>*2 (Ala80Pro)</w:t>
            </w:r>
          </w:p>
        </w:tc>
        <w:tc>
          <w:tcPr>
            <w:tcW w:type="dxa" w:w="2160"/>
          </w:tcPr>
          <w:p>
            <w:r>
              <w:rPr>
                <w:sz w:val="20"/>
              </w:rPr>
              <w:t>No function</w:t>
            </w:r>
          </w:p>
        </w:tc>
        <w:tc>
          <w:tcPr>
            <w:tcW w:type="dxa" w:w="2160"/>
          </w:tcPr>
          <w:p>
            <w:r>
              <w:rPr>
                <w:sz w:val="20"/>
              </w:rPr>
              <w:t>~0.2%</w:t>
            </w:r>
          </w:p>
        </w:tc>
        <w:tc>
          <w:tcPr>
            <w:tcW w:type="dxa" w:w="2160"/>
          </w:tcPr>
          <w:p>
            <w:r>
              <w:rPr>
                <w:sz w:val="20"/>
              </w:rPr>
              <w:t>&lt;0.1%</w:t>
            </w:r>
          </w:p>
        </w:tc>
      </w:tr>
      <w:tr>
        <w:tc>
          <w:tcPr>
            <w:tcW w:type="dxa" w:w="2160"/>
          </w:tcPr>
          <w:p>
            <w:r>
              <w:rPr>
                <w:sz w:val="20"/>
              </w:rPr>
              <w:t>*3A (Ala154Thr + Tyr240Cys)</w:t>
            </w:r>
          </w:p>
        </w:tc>
        <w:tc>
          <w:tcPr>
            <w:tcW w:type="dxa" w:w="2160"/>
          </w:tcPr>
          <w:p>
            <w:r>
              <w:rPr>
                <w:sz w:val="20"/>
              </w:rPr>
              <w:t>No function</w:t>
            </w:r>
          </w:p>
        </w:tc>
        <w:tc>
          <w:tcPr>
            <w:tcW w:type="dxa" w:w="2160"/>
          </w:tcPr>
          <w:p>
            <w:r>
              <w:rPr>
                <w:sz w:val="20"/>
              </w:rPr>
              <w:t>~5%</w:t>
            </w:r>
          </w:p>
        </w:tc>
        <w:tc>
          <w:tcPr>
            <w:tcW w:type="dxa" w:w="2160"/>
          </w:tcPr>
          <w:p>
            <w:r>
              <w:rPr>
                <w:sz w:val="20"/>
              </w:rPr>
              <w:t>~1%</w:t>
            </w:r>
          </w:p>
        </w:tc>
      </w:tr>
      <w:tr>
        <w:tc>
          <w:tcPr>
            <w:tcW w:type="dxa" w:w="2160"/>
          </w:tcPr>
          <w:p>
            <w:r>
              <w:rPr>
                <w:sz w:val="20"/>
              </w:rPr>
              <w:t>*3B (Ala154Thr)</w:t>
            </w:r>
          </w:p>
        </w:tc>
        <w:tc>
          <w:tcPr>
            <w:tcW w:type="dxa" w:w="2160"/>
          </w:tcPr>
          <w:p>
            <w:r>
              <w:rPr>
                <w:sz w:val="20"/>
              </w:rPr>
              <w:t>No function</w:t>
            </w:r>
          </w:p>
        </w:tc>
        <w:tc>
          <w:tcPr>
            <w:tcW w:type="dxa" w:w="2160"/>
          </w:tcPr>
          <w:p>
            <w:r>
              <w:rPr>
                <w:sz w:val="20"/>
              </w:rPr>
              <w:t>~0.3%</w:t>
            </w:r>
          </w:p>
        </w:tc>
        <w:tc>
          <w:tcPr>
            <w:tcW w:type="dxa" w:w="2160"/>
          </w:tcPr>
          <w:p>
            <w:r>
              <w:rPr>
                <w:sz w:val="20"/>
              </w:rPr>
              <w:t>&lt;0.1%</w:t>
            </w:r>
          </w:p>
        </w:tc>
      </w:tr>
      <w:tr>
        <w:tc>
          <w:tcPr>
            <w:tcW w:type="dxa" w:w="2160"/>
          </w:tcPr>
          <w:p>
            <w:r>
              <w:rPr>
                <w:sz w:val="20"/>
              </w:rPr>
              <w:t>*3C (Tyr240Cys)</w:t>
            </w:r>
          </w:p>
        </w:tc>
        <w:tc>
          <w:tcPr>
            <w:tcW w:type="dxa" w:w="2160"/>
          </w:tcPr>
          <w:p>
            <w:r>
              <w:rPr>
                <w:sz w:val="20"/>
              </w:rPr>
              <w:t>No function</w:t>
            </w:r>
          </w:p>
        </w:tc>
        <w:tc>
          <w:tcPr>
            <w:tcW w:type="dxa" w:w="2160"/>
          </w:tcPr>
          <w:p>
            <w:r>
              <w:rPr>
                <w:sz w:val="20"/>
              </w:rPr>
              <w:t>~0.5%</w:t>
            </w:r>
          </w:p>
        </w:tc>
        <w:tc>
          <w:tcPr>
            <w:tcW w:type="dxa" w:w="2160"/>
          </w:tcPr>
          <w:p>
            <w:r>
              <w:rPr>
                <w:sz w:val="20"/>
              </w:rPr>
              <w:t>~2%</w:t>
            </w:r>
          </w:p>
        </w:tc>
      </w:tr>
    </w:tbl>
    <w:p>
      <w:pPr>
        <w:pStyle w:val="Heading3"/>
      </w:pPr>
      <w:r>
        <w:t>NUDT15 Allele Activity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NUDT15 Allele</w:t>
            </w:r>
          </w:p>
        </w:tc>
        <w:tc>
          <w:tcPr>
            <w:tcW w:type="dxa" w:w="2160"/>
          </w:tcPr>
          <w:p>
            <w:r>
              <w:rPr>
                <w:b/>
                <w:sz w:val="20"/>
              </w:rPr>
              <w:t>Activity</w:t>
            </w:r>
          </w:p>
        </w:tc>
        <w:tc>
          <w:tcPr>
            <w:tcW w:type="dxa" w:w="2160"/>
          </w:tcPr>
          <w:p>
            <w:r>
              <w:rPr>
                <w:b/>
                <w:sz w:val="20"/>
              </w:rPr>
              <w:t>Frequency (European)</w:t>
            </w:r>
          </w:p>
        </w:tc>
        <w:tc>
          <w:tcPr>
            <w:tcW w:type="dxa" w:w="2160"/>
          </w:tcPr>
          <w:p>
            <w:r>
              <w:rPr>
                <w:b/>
                <w:sz w:val="20"/>
              </w:rPr>
              <w:t>Frequency (East Asian)</w:t>
            </w:r>
          </w:p>
        </w:tc>
      </w:tr>
      <w:tr>
        <w:tc>
          <w:tcPr>
            <w:tcW w:type="dxa" w:w="2160"/>
          </w:tcPr>
          <w:p>
            <w:r>
              <w:rPr>
                <w:sz w:val="20"/>
              </w:rPr>
              <w:t>*1 (reference)</w:t>
            </w:r>
          </w:p>
        </w:tc>
        <w:tc>
          <w:tcPr>
            <w:tcW w:type="dxa" w:w="2160"/>
          </w:tcPr>
          <w:p>
            <w:r>
              <w:rPr>
                <w:sz w:val="20"/>
              </w:rPr>
              <w:t>Normal</w:t>
            </w:r>
          </w:p>
        </w:tc>
        <w:tc>
          <w:tcPr>
            <w:tcW w:type="dxa" w:w="2160"/>
          </w:tcPr>
          <w:p>
            <w:r>
              <w:rPr>
                <w:sz w:val="20"/>
              </w:rPr>
              <w:t>~99%</w:t>
            </w:r>
          </w:p>
        </w:tc>
        <w:tc>
          <w:tcPr>
            <w:tcW w:type="dxa" w:w="2160"/>
          </w:tcPr>
          <w:p>
            <w:r>
              <w:rPr>
                <w:sz w:val="20"/>
              </w:rPr>
              <w:t>~78%</w:t>
            </w:r>
          </w:p>
        </w:tc>
      </w:tr>
      <w:tr>
        <w:tc>
          <w:tcPr>
            <w:tcW w:type="dxa" w:w="2160"/>
          </w:tcPr>
          <w:p>
            <w:r>
              <w:rPr>
                <w:sz w:val="20"/>
              </w:rPr>
              <w:t>*2 (p.V18_V19insGV)</w:t>
            </w:r>
          </w:p>
        </w:tc>
        <w:tc>
          <w:tcPr>
            <w:tcW w:type="dxa" w:w="2160"/>
          </w:tcPr>
          <w:p>
            <w:r>
              <w:rPr>
                <w:sz w:val="20"/>
              </w:rPr>
              <w:t>No function</w:t>
            </w:r>
          </w:p>
        </w:tc>
        <w:tc>
          <w:tcPr>
            <w:tcW w:type="dxa" w:w="2160"/>
          </w:tcPr>
          <w:p>
            <w:r>
              <w:rPr>
                <w:sz w:val="20"/>
              </w:rPr>
              <w:t>&lt;0.1%</w:t>
            </w:r>
          </w:p>
        </w:tc>
        <w:tc>
          <w:tcPr>
            <w:tcW w:type="dxa" w:w="2160"/>
          </w:tcPr>
          <w:p>
            <w:r>
              <w:rPr>
                <w:sz w:val="20"/>
              </w:rPr>
              <w:t>~2%</w:t>
            </w:r>
          </w:p>
        </w:tc>
      </w:tr>
      <w:tr>
        <w:tc>
          <w:tcPr>
            <w:tcW w:type="dxa" w:w="2160"/>
          </w:tcPr>
          <w:p>
            <w:r>
              <w:rPr>
                <w:sz w:val="20"/>
              </w:rPr>
              <w:t>*3 (Arg139Cys)</w:t>
            </w:r>
          </w:p>
        </w:tc>
        <w:tc>
          <w:tcPr>
            <w:tcW w:type="dxa" w:w="2160"/>
          </w:tcPr>
          <w:p>
            <w:r>
              <w:rPr>
                <w:sz w:val="20"/>
              </w:rPr>
              <w:t>No function</w:t>
            </w:r>
          </w:p>
        </w:tc>
        <w:tc>
          <w:tcPr>
            <w:tcW w:type="dxa" w:w="2160"/>
          </w:tcPr>
          <w:p>
            <w:r>
              <w:rPr>
                <w:sz w:val="20"/>
              </w:rPr>
              <w:t>&lt;0.1%</w:t>
            </w:r>
          </w:p>
        </w:tc>
        <w:tc>
          <w:tcPr>
            <w:tcW w:type="dxa" w:w="2160"/>
          </w:tcPr>
          <w:p>
            <w:r>
              <w:rPr>
                <w:sz w:val="20"/>
              </w:rPr>
              <w:t>~7-12%</w:t>
            </w:r>
          </w:p>
        </w:tc>
      </w:tr>
      <w:tr>
        <w:tc>
          <w:tcPr>
            <w:tcW w:type="dxa" w:w="2160"/>
          </w:tcPr>
          <w:p>
            <w:r>
              <w:rPr>
                <w:sz w:val="20"/>
              </w:rPr>
              <w:t>*4 (Arg139His)</w:t>
            </w:r>
          </w:p>
        </w:tc>
        <w:tc>
          <w:tcPr>
            <w:tcW w:type="dxa" w:w="2160"/>
          </w:tcPr>
          <w:p>
            <w:r>
              <w:rPr>
                <w:sz w:val="20"/>
              </w:rPr>
              <w:t>Intermediate</w:t>
            </w:r>
          </w:p>
        </w:tc>
        <w:tc>
          <w:tcPr>
            <w:tcW w:type="dxa" w:w="2160"/>
          </w:tcPr>
          <w:p>
            <w:r>
              <w:rPr>
                <w:sz w:val="20"/>
              </w:rPr>
              <w:t>&lt;0.1%</w:t>
            </w:r>
          </w:p>
        </w:tc>
        <w:tc>
          <w:tcPr>
            <w:tcW w:type="dxa" w:w="2160"/>
          </w:tcPr>
          <w:p>
            <w:r>
              <w:rPr>
                <w:sz w:val="20"/>
              </w:rPr>
              <w:t>~2%</w:t>
            </w:r>
          </w:p>
        </w:tc>
      </w:tr>
      <w:tr>
        <w:tc>
          <w:tcPr>
            <w:tcW w:type="dxa" w:w="2160"/>
          </w:tcPr>
          <w:p>
            <w:r>
              <w:rPr>
                <w:sz w:val="20"/>
              </w:rPr>
              <w:t>*5 (Val18Ile)</w:t>
            </w:r>
          </w:p>
        </w:tc>
        <w:tc>
          <w:tcPr>
            <w:tcW w:type="dxa" w:w="2160"/>
          </w:tcPr>
          <w:p>
            <w:r>
              <w:rPr>
                <w:sz w:val="20"/>
              </w:rPr>
              <w:t>Intermediate</w:t>
            </w:r>
          </w:p>
        </w:tc>
        <w:tc>
          <w:tcPr>
            <w:tcW w:type="dxa" w:w="2160"/>
          </w:tcPr>
          <w:p>
            <w:r>
              <w:rPr>
                <w:sz w:val="20"/>
              </w:rPr>
              <w:t>~2%</w:t>
            </w:r>
          </w:p>
        </w:tc>
        <w:tc>
          <w:tcPr>
            <w:tcW w:type="dxa" w:w="2160"/>
          </w:tcPr>
          <w:p>
            <w:r>
              <w:rPr>
                <w:sz w:val="20"/>
              </w:rPr>
              <w:t>~2%</w:t>
            </w:r>
          </w:p>
        </w:tc>
      </w:tr>
      <w:tr>
        <w:tc>
          <w:tcPr>
            <w:tcW w:type="dxa" w:w="2160"/>
          </w:tcPr>
          <w:p>
            <w:r>
              <w:rPr>
                <w:sz w:val="20"/>
              </w:rPr>
              <w:t>*6</w:t>
            </w:r>
          </w:p>
        </w:tc>
        <w:tc>
          <w:tcPr>
            <w:tcW w:type="dxa" w:w="2160"/>
          </w:tcPr>
          <w:p>
            <w:r>
              <w:rPr>
                <w:sz w:val="20"/>
              </w:rPr>
              <w:t>Intermediate</w:t>
            </w:r>
          </w:p>
        </w:tc>
        <w:tc>
          <w:tcPr>
            <w:tcW w:type="dxa" w:w="2160"/>
          </w:tcPr>
          <w:p>
            <w:r>
              <w:rPr>
                <w:sz w:val="20"/>
              </w:rPr>
              <w:t>&lt;0.1%</w:t>
            </w:r>
          </w:p>
        </w:tc>
        <w:tc>
          <w:tcPr>
            <w:tcW w:type="dxa" w:w="2160"/>
          </w:tcPr>
          <w:p>
            <w:r>
              <w:rPr>
                <w:sz w:val="20"/>
              </w:rPr>
              <w:t>~1%</w:t>
            </w:r>
          </w:p>
        </w:tc>
      </w:tr>
    </w:tbl>
    <w:p>
      <w:pPr>
        <w:pStyle w:val="Heading3"/>
      </w:pPr>
      <w:r>
        <w:t>Combined TPMT + NUDT15 Dosing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TPMT Status</w:t>
            </w:r>
          </w:p>
        </w:tc>
        <w:tc>
          <w:tcPr>
            <w:tcW w:type="dxa" w:w="1728"/>
          </w:tcPr>
          <w:p>
            <w:r>
              <w:rPr>
                <w:b/>
                <w:sz w:val="20"/>
              </w:rPr>
              <w:t>NUDT15 Status</w:t>
            </w:r>
          </w:p>
        </w:tc>
        <w:tc>
          <w:tcPr>
            <w:tcW w:type="dxa" w:w="1728"/>
          </w:tcPr>
          <w:p>
            <w:r>
              <w:rPr>
                <w:b/>
                <w:sz w:val="20"/>
              </w:rPr>
              <w:t>Combined Risk</w:t>
            </w:r>
          </w:p>
        </w:tc>
        <w:tc>
          <w:tcPr>
            <w:tcW w:type="dxa" w:w="1728"/>
          </w:tcPr>
          <w:p>
            <w:r>
              <w:rPr>
                <w:b/>
                <w:sz w:val="20"/>
              </w:rPr>
              <w:t>Azathioprine/6-MP Dose</w:t>
            </w:r>
          </w:p>
        </w:tc>
        <w:tc>
          <w:tcPr>
            <w:tcW w:type="dxa" w:w="1728"/>
          </w:tcPr>
          <w:p>
            <w:r>
              <w:rPr>
                <w:b/>
                <w:sz w:val="20"/>
              </w:rPr>
              <w:t>Clinical Action</w:t>
            </w:r>
          </w:p>
        </w:tc>
      </w:tr>
      <w:tr>
        <w:tc>
          <w:tcPr>
            <w:tcW w:type="dxa" w:w="1728"/>
          </w:tcPr>
          <w:p>
            <w:r>
              <w:rPr>
                <w:sz w:val="20"/>
              </w:rPr>
              <w:t>Normal</w:t>
            </w:r>
          </w:p>
        </w:tc>
        <w:tc>
          <w:tcPr>
            <w:tcW w:type="dxa" w:w="1728"/>
          </w:tcPr>
          <w:p>
            <w:r>
              <w:rPr>
                <w:sz w:val="20"/>
              </w:rPr>
              <w:t>Normal</w:t>
            </w:r>
          </w:p>
        </w:tc>
        <w:tc>
          <w:tcPr>
            <w:tcW w:type="dxa" w:w="1728"/>
          </w:tcPr>
          <w:p>
            <w:r>
              <w:rPr>
                <w:sz w:val="20"/>
              </w:rPr>
              <w:t>Standard</w:t>
            </w:r>
          </w:p>
        </w:tc>
        <w:tc>
          <w:tcPr>
            <w:tcW w:type="dxa" w:w="1728"/>
          </w:tcPr>
          <w:p>
            <w:r>
              <w:rPr>
                <w:sz w:val="20"/>
              </w:rPr>
              <w:t>100% (full dose)</w:t>
            </w:r>
          </w:p>
        </w:tc>
        <w:tc>
          <w:tcPr>
            <w:tcW w:type="dxa" w:w="1728"/>
          </w:tcPr>
          <w:p>
            <w:r>
              <w:rPr>
                <w:sz w:val="20"/>
              </w:rPr>
              <w:t>Standard dosing with routine CBC monitoring</w:t>
            </w:r>
          </w:p>
        </w:tc>
      </w:tr>
      <w:tr>
        <w:tc>
          <w:tcPr>
            <w:tcW w:type="dxa" w:w="1728"/>
          </w:tcPr>
          <w:p>
            <w:r>
              <w:rPr>
                <w:sz w:val="20"/>
              </w:rPr>
              <w:t>Normal</w:t>
            </w:r>
          </w:p>
        </w:tc>
        <w:tc>
          <w:tcPr>
            <w:tcW w:type="dxa" w:w="1728"/>
          </w:tcPr>
          <w:p>
            <w:r>
              <w:rPr>
                <w:sz w:val="20"/>
              </w:rPr>
              <w:t>Intermediate (*1/*3)</w:t>
            </w:r>
          </w:p>
        </w:tc>
        <w:tc>
          <w:tcPr>
            <w:tcW w:type="dxa" w:w="1728"/>
          </w:tcPr>
          <w:p>
            <w:r>
              <w:rPr>
                <w:sz w:val="20"/>
              </w:rPr>
              <w:t>Moderate</w:t>
            </w:r>
          </w:p>
        </w:tc>
        <w:tc>
          <w:tcPr>
            <w:tcW w:type="dxa" w:w="1728"/>
          </w:tcPr>
          <w:p>
            <w:r>
              <w:rPr>
                <w:sz w:val="20"/>
              </w:rPr>
              <w:t>50-80%</w:t>
            </w:r>
          </w:p>
        </w:tc>
        <w:tc>
          <w:tcPr>
            <w:tcW w:type="dxa" w:w="1728"/>
          </w:tcPr>
          <w:p>
            <w:r>
              <w:rPr>
                <w:sz w:val="20"/>
              </w:rPr>
              <w:t>Reduce starting dose; titrate based on TGN levels</w:t>
            </w:r>
          </w:p>
        </w:tc>
      </w:tr>
      <w:tr>
        <w:tc>
          <w:tcPr>
            <w:tcW w:type="dxa" w:w="1728"/>
          </w:tcPr>
          <w:p>
            <w:r>
              <w:rPr>
                <w:sz w:val="20"/>
              </w:rPr>
              <w:t>Normal</w:t>
            </w:r>
          </w:p>
        </w:tc>
        <w:tc>
          <w:tcPr>
            <w:tcW w:type="dxa" w:w="1728"/>
          </w:tcPr>
          <w:p>
            <w:r>
              <w:rPr>
                <w:sz w:val="20"/>
              </w:rPr>
              <w:t>Poor (*3/*3)</w:t>
            </w:r>
          </w:p>
        </w:tc>
        <w:tc>
          <w:tcPr>
            <w:tcW w:type="dxa" w:w="1728"/>
          </w:tcPr>
          <w:p>
            <w:r>
              <w:rPr>
                <w:sz w:val="20"/>
              </w:rPr>
              <w:t>High</w:t>
            </w:r>
          </w:p>
        </w:tc>
        <w:tc>
          <w:tcPr>
            <w:tcW w:type="dxa" w:w="1728"/>
          </w:tcPr>
          <w:p>
            <w:r>
              <w:rPr>
                <w:sz w:val="20"/>
              </w:rPr>
              <w:t>10% or avoid</w:t>
            </w:r>
          </w:p>
        </w:tc>
        <w:tc>
          <w:tcPr>
            <w:tcW w:type="dxa" w:w="1728"/>
          </w:tcPr>
          <w:p>
            <w:r>
              <w:rPr>
                <w:sz w:val="20"/>
              </w:rPr>
              <w:t>Drastically reduce dose; close monitoring</w:t>
            </w:r>
          </w:p>
        </w:tc>
      </w:tr>
      <w:tr>
        <w:tc>
          <w:tcPr>
            <w:tcW w:type="dxa" w:w="1728"/>
          </w:tcPr>
          <w:p>
            <w:r>
              <w:rPr>
                <w:sz w:val="20"/>
              </w:rPr>
              <w:t>Intermediate (*1/*3A)</w:t>
            </w:r>
          </w:p>
        </w:tc>
        <w:tc>
          <w:tcPr>
            <w:tcW w:type="dxa" w:w="1728"/>
          </w:tcPr>
          <w:p>
            <w:r>
              <w:rPr>
                <w:sz w:val="20"/>
              </w:rPr>
              <w:t>Normal</w:t>
            </w:r>
          </w:p>
        </w:tc>
        <w:tc>
          <w:tcPr>
            <w:tcW w:type="dxa" w:w="1728"/>
          </w:tcPr>
          <w:p>
            <w:r>
              <w:rPr>
                <w:sz w:val="20"/>
              </w:rPr>
              <w:t>Moderate</w:t>
            </w:r>
          </w:p>
        </w:tc>
        <w:tc>
          <w:tcPr>
            <w:tcW w:type="dxa" w:w="1728"/>
          </w:tcPr>
          <w:p>
            <w:r>
              <w:rPr>
                <w:sz w:val="20"/>
              </w:rPr>
              <w:t>30-70%</w:t>
            </w:r>
          </w:p>
        </w:tc>
        <w:tc>
          <w:tcPr>
            <w:tcW w:type="dxa" w:w="1728"/>
          </w:tcPr>
          <w:p>
            <w:r>
              <w:rPr>
                <w:sz w:val="20"/>
              </w:rPr>
              <w:t>Reduce starting dose; monitor for myelosuppression</w:t>
            </w:r>
          </w:p>
        </w:tc>
      </w:tr>
      <w:tr>
        <w:tc>
          <w:tcPr>
            <w:tcW w:type="dxa" w:w="1728"/>
          </w:tcPr>
          <w:p>
            <w:r>
              <w:rPr>
                <w:sz w:val="20"/>
              </w:rPr>
              <w:t>Intermediate</w:t>
            </w:r>
          </w:p>
        </w:tc>
        <w:tc>
          <w:tcPr>
            <w:tcW w:type="dxa" w:w="1728"/>
          </w:tcPr>
          <w:p>
            <w:r>
              <w:rPr>
                <w:sz w:val="20"/>
              </w:rPr>
              <w:t>Intermediate</w:t>
            </w:r>
          </w:p>
        </w:tc>
        <w:tc>
          <w:tcPr>
            <w:tcW w:type="dxa" w:w="1728"/>
          </w:tcPr>
          <w:p>
            <w:r>
              <w:rPr>
                <w:sz w:val="20"/>
              </w:rPr>
              <w:t>High</w:t>
            </w:r>
          </w:p>
        </w:tc>
        <w:tc>
          <w:tcPr>
            <w:tcW w:type="dxa" w:w="1728"/>
          </w:tcPr>
          <w:p>
            <w:r>
              <w:rPr>
                <w:sz w:val="20"/>
              </w:rPr>
              <w:t>25-50%</w:t>
            </w:r>
          </w:p>
        </w:tc>
        <w:tc>
          <w:tcPr>
            <w:tcW w:type="dxa" w:w="1728"/>
          </w:tcPr>
          <w:p>
            <w:r>
              <w:rPr>
                <w:sz w:val="20"/>
              </w:rPr>
              <w:t>Significant dose reduction; weekly CBC x8 weeks</w:t>
            </w:r>
          </w:p>
        </w:tc>
      </w:tr>
      <w:tr>
        <w:tc>
          <w:tcPr>
            <w:tcW w:type="dxa" w:w="1728"/>
          </w:tcPr>
          <w:p>
            <w:r>
              <w:rPr>
                <w:sz w:val="20"/>
              </w:rPr>
              <w:t>Intermediate</w:t>
            </w:r>
          </w:p>
        </w:tc>
        <w:tc>
          <w:tcPr>
            <w:tcW w:type="dxa" w:w="1728"/>
          </w:tcPr>
          <w:p>
            <w:r>
              <w:rPr>
                <w:sz w:val="20"/>
              </w:rPr>
              <w:t>Poor</w:t>
            </w:r>
          </w:p>
        </w:tc>
        <w:tc>
          <w:tcPr>
            <w:tcW w:type="dxa" w:w="1728"/>
          </w:tcPr>
          <w:p>
            <w:r>
              <w:rPr>
                <w:sz w:val="20"/>
              </w:rPr>
              <w:t>Very high</w:t>
            </w:r>
          </w:p>
        </w:tc>
        <w:tc>
          <w:tcPr>
            <w:tcW w:type="dxa" w:w="1728"/>
          </w:tcPr>
          <w:p>
            <w:r>
              <w:rPr>
                <w:sz w:val="20"/>
              </w:rPr>
              <w:t>Avoid or 10%</w:t>
            </w:r>
          </w:p>
        </w:tc>
        <w:tc>
          <w:tcPr>
            <w:tcW w:type="dxa" w:w="1728"/>
          </w:tcPr>
          <w:p>
            <w:r>
              <w:rPr>
                <w:sz w:val="20"/>
              </w:rPr>
              <w:t>Consider alternative immunosuppressant</w:t>
            </w:r>
          </w:p>
        </w:tc>
      </w:tr>
      <w:tr>
        <w:tc>
          <w:tcPr>
            <w:tcW w:type="dxa" w:w="1728"/>
          </w:tcPr>
          <w:p>
            <w:r>
              <w:rPr>
                <w:sz w:val="20"/>
              </w:rPr>
              <w:t>Poor (*3A/*3A)</w:t>
            </w:r>
          </w:p>
        </w:tc>
        <w:tc>
          <w:tcPr>
            <w:tcW w:type="dxa" w:w="1728"/>
          </w:tcPr>
          <w:p>
            <w:r>
              <w:rPr>
                <w:sz w:val="20"/>
              </w:rPr>
              <w:t>Normal</w:t>
            </w:r>
          </w:p>
        </w:tc>
        <w:tc>
          <w:tcPr>
            <w:tcW w:type="dxa" w:w="1728"/>
          </w:tcPr>
          <w:p>
            <w:r>
              <w:rPr>
                <w:sz w:val="20"/>
              </w:rPr>
              <w:t>Very high</w:t>
            </w:r>
          </w:p>
        </w:tc>
        <w:tc>
          <w:tcPr>
            <w:tcW w:type="dxa" w:w="1728"/>
          </w:tcPr>
          <w:p>
            <w:r>
              <w:rPr>
                <w:sz w:val="20"/>
              </w:rPr>
              <w:t>10% or avoid</w:t>
            </w:r>
          </w:p>
        </w:tc>
        <w:tc>
          <w:tcPr>
            <w:tcW w:type="dxa" w:w="1728"/>
          </w:tcPr>
          <w:p>
            <w:r>
              <w:rPr>
                <w:sz w:val="20"/>
              </w:rPr>
              <w:t>Use 10% dose 3x/week; weekly CBC</w:t>
            </w:r>
          </w:p>
        </w:tc>
      </w:tr>
      <w:tr>
        <w:tc>
          <w:tcPr>
            <w:tcW w:type="dxa" w:w="1728"/>
          </w:tcPr>
          <w:p>
            <w:r>
              <w:rPr>
                <w:sz w:val="20"/>
              </w:rPr>
              <w:t>Poor</w:t>
            </w:r>
          </w:p>
        </w:tc>
        <w:tc>
          <w:tcPr>
            <w:tcW w:type="dxa" w:w="1728"/>
          </w:tcPr>
          <w:p>
            <w:r>
              <w:rPr>
                <w:sz w:val="20"/>
              </w:rPr>
              <w:t>Intermediate</w:t>
            </w:r>
          </w:p>
        </w:tc>
        <w:tc>
          <w:tcPr>
            <w:tcW w:type="dxa" w:w="1728"/>
          </w:tcPr>
          <w:p>
            <w:r>
              <w:rPr>
                <w:sz w:val="20"/>
              </w:rPr>
              <w:t>Extreme</w:t>
            </w:r>
          </w:p>
        </w:tc>
        <w:tc>
          <w:tcPr>
            <w:tcW w:type="dxa" w:w="1728"/>
          </w:tcPr>
          <w:p>
            <w:r>
              <w:rPr>
                <w:sz w:val="20"/>
              </w:rPr>
              <w:t>Avoid</w:t>
            </w:r>
          </w:p>
        </w:tc>
        <w:tc>
          <w:tcPr>
            <w:tcW w:type="dxa" w:w="1728"/>
          </w:tcPr>
          <w:p>
            <w:r>
              <w:rPr>
                <w:sz w:val="20"/>
              </w:rPr>
              <w:t>Use alternative therapy</w:t>
            </w:r>
          </w:p>
        </w:tc>
      </w:tr>
      <w:tr>
        <w:tc>
          <w:tcPr>
            <w:tcW w:type="dxa" w:w="1728"/>
          </w:tcPr>
          <w:p>
            <w:r>
              <w:rPr>
                <w:sz w:val="20"/>
              </w:rPr>
              <w:t>Poor</w:t>
            </w:r>
          </w:p>
        </w:tc>
        <w:tc>
          <w:tcPr>
            <w:tcW w:type="dxa" w:w="1728"/>
          </w:tcPr>
          <w:p>
            <w:r>
              <w:rPr>
                <w:sz w:val="20"/>
              </w:rPr>
              <w:t>Poor</w:t>
            </w:r>
          </w:p>
        </w:tc>
        <w:tc>
          <w:tcPr>
            <w:tcW w:type="dxa" w:w="1728"/>
          </w:tcPr>
          <w:p>
            <w:r>
              <w:rPr>
                <w:sz w:val="20"/>
              </w:rPr>
              <w:t>Extreme</w:t>
            </w:r>
          </w:p>
        </w:tc>
        <w:tc>
          <w:tcPr>
            <w:tcW w:type="dxa" w:w="1728"/>
          </w:tcPr>
          <w:p>
            <w:r>
              <w:rPr>
                <w:sz w:val="20"/>
              </w:rPr>
              <w:t>**Contraindicated**</w:t>
            </w:r>
          </w:p>
        </w:tc>
        <w:tc>
          <w:tcPr>
            <w:tcW w:type="dxa" w:w="1728"/>
          </w:tcPr>
          <w:p>
            <w:r>
              <w:rPr>
                <w:sz w:val="20"/>
              </w:rPr>
              <w:t>Absolute contraindication to thiopurines</w:t>
            </w:r>
          </w:p>
        </w:tc>
      </w:tr>
    </w:tbl>
    <w:p>
      <w:pPr>
        <w:pStyle w:val="Heading3"/>
      </w:pPr>
      <w:r>
        <w:t>Population Relevance</w:t>
      </w:r>
    </w:p>
    <w:p>
      <w:r>
        <w:t>The population distribution of TPMT and NUDT15 deficiency highlights the importance of testing both genes: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Population</w:t>
            </w:r>
          </w:p>
        </w:tc>
        <w:tc>
          <w:tcPr>
            <w:tcW w:type="dxa" w:w="1728"/>
          </w:tcPr>
          <w:p>
            <w:r>
              <w:rPr>
                <w:b/>
                <w:sz w:val="20"/>
              </w:rPr>
              <w:t>TPMT IM (%)</w:t>
            </w:r>
          </w:p>
        </w:tc>
        <w:tc>
          <w:tcPr>
            <w:tcW w:type="dxa" w:w="1728"/>
          </w:tcPr>
          <w:p>
            <w:r>
              <w:rPr>
                <w:b/>
                <w:sz w:val="20"/>
              </w:rPr>
              <w:t>TPMT PM (%)</w:t>
            </w:r>
          </w:p>
        </w:tc>
        <w:tc>
          <w:tcPr>
            <w:tcW w:type="dxa" w:w="1728"/>
          </w:tcPr>
          <w:p>
            <w:r>
              <w:rPr>
                <w:b/>
                <w:sz w:val="20"/>
              </w:rPr>
              <w:t>NUDT15 IM (%)</w:t>
            </w:r>
          </w:p>
        </w:tc>
        <w:tc>
          <w:tcPr>
            <w:tcW w:type="dxa" w:w="1728"/>
          </w:tcPr>
          <w:p>
            <w:r>
              <w:rPr>
                <w:b/>
                <w:sz w:val="20"/>
              </w:rPr>
              <w:t>NUDT15 PM (%)</w:t>
            </w:r>
          </w:p>
        </w:tc>
      </w:tr>
      <w:tr>
        <w:tc>
          <w:tcPr>
            <w:tcW w:type="dxa" w:w="1728"/>
          </w:tcPr>
          <w:p>
            <w:r>
              <w:rPr>
                <w:sz w:val="20"/>
              </w:rPr>
              <w:t>European</w:t>
            </w:r>
          </w:p>
        </w:tc>
        <w:tc>
          <w:tcPr>
            <w:tcW w:type="dxa" w:w="1728"/>
          </w:tcPr>
          <w:p>
            <w:r>
              <w:rPr>
                <w:sz w:val="20"/>
              </w:rPr>
              <w:t>6-10%</w:t>
            </w:r>
          </w:p>
        </w:tc>
        <w:tc>
          <w:tcPr>
            <w:tcW w:type="dxa" w:w="1728"/>
          </w:tcPr>
          <w:p>
            <w:r>
              <w:rPr>
                <w:sz w:val="20"/>
              </w:rPr>
              <w:t>0.3%</w:t>
            </w:r>
          </w:p>
        </w:tc>
        <w:tc>
          <w:tcPr>
            <w:tcW w:type="dxa" w:w="1728"/>
          </w:tcPr>
          <w:p>
            <w:r>
              <w:rPr>
                <w:sz w:val="20"/>
              </w:rPr>
              <w:t>2-4%</w:t>
            </w:r>
          </w:p>
        </w:tc>
        <w:tc>
          <w:tcPr>
            <w:tcW w:type="dxa" w:w="1728"/>
          </w:tcPr>
          <w:p>
            <w:r>
              <w:rPr>
                <w:sz w:val="20"/>
              </w:rPr>
              <w:t>&lt;0.1%</w:t>
            </w:r>
          </w:p>
        </w:tc>
      </w:tr>
      <w:tr>
        <w:tc>
          <w:tcPr>
            <w:tcW w:type="dxa" w:w="1728"/>
          </w:tcPr>
          <w:p>
            <w:r>
              <w:rPr>
                <w:sz w:val="20"/>
              </w:rPr>
              <w:t>East Asian</w:t>
            </w:r>
          </w:p>
        </w:tc>
        <w:tc>
          <w:tcPr>
            <w:tcW w:type="dxa" w:w="1728"/>
          </w:tcPr>
          <w:p>
            <w:r>
              <w:rPr>
                <w:sz w:val="20"/>
              </w:rPr>
              <w:t>2-5%</w:t>
            </w:r>
          </w:p>
        </w:tc>
        <w:tc>
          <w:tcPr>
            <w:tcW w:type="dxa" w:w="1728"/>
          </w:tcPr>
          <w:p>
            <w:r>
              <w:rPr>
                <w:sz w:val="20"/>
              </w:rPr>
              <w:t>0.1%</w:t>
            </w:r>
          </w:p>
        </w:tc>
        <w:tc>
          <w:tcPr>
            <w:tcW w:type="dxa" w:w="1728"/>
          </w:tcPr>
          <w:p>
            <w:r>
              <w:rPr>
                <w:sz w:val="20"/>
              </w:rPr>
              <w:t>15-22%</w:t>
            </w:r>
          </w:p>
        </w:tc>
        <w:tc>
          <w:tcPr>
            <w:tcW w:type="dxa" w:w="1728"/>
          </w:tcPr>
          <w:p>
            <w:r>
              <w:rPr>
                <w:sz w:val="20"/>
              </w:rPr>
              <w:t>1-3%</w:t>
            </w:r>
          </w:p>
        </w:tc>
      </w:tr>
      <w:tr>
        <w:tc>
          <w:tcPr>
            <w:tcW w:type="dxa" w:w="1728"/>
          </w:tcPr>
          <w:p>
            <w:r>
              <w:rPr>
                <w:sz w:val="20"/>
              </w:rPr>
              <w:t>African</w:t>
            </w:r>
          </w:p>
        </w:tc>
        <w:tc>
          <w:tcPr>
            <w:tcW w:type="dxa" w:w="1728"/>
          </w:tcPr>
          <w:p>
            <w:r>
              <w:rPr>
                <w:sz w:val="20"/>
              </w:rPr>
              <w:t>5-8%</w:t>
            </w:r>
          </w:p>
        </w:tc>
        <w:tc>
          <w:tcPr>
            <w:tcW w:type="dxa" w:w="1728"/>
          </w:tcPr>
          <w:p>
            <w:r>
              <w:rPr>
                <w:sz w:val="20"/>
              </w:rPr>
              <w:t>0.3%</w:t>
            </w:r>
          </w:p>
        </w:tc>
        <w:tc>
          <w:tcPr>
            <w:tcW w:type="dxa" w:w="1728"/>
          </w:tcPr>
          <w:p>
            <w:r>
              <w:rPr>
                <w:sz w:val="20"/>
              </w:rPr>
              <w:t>2-4%</w:t>
            </w:r>
          </w:p>
        </w:tc>
        <w:tc>
          <w:tcPr>
            <w:tcW w:type="dxa" w:w="1728"/>
          </w:tcPr>
          <w:p>
            <w:r>
              <w:rPr>
                <w:sz w:val="20"/>
              </w:rPr>
              <w:t>&lt;0.1%</w:t>
            </w:r>
          </w:p>
        </w:tc>
      </w:tr>
      <w:tr>
        <w:tc>
          <w:tcPr>
            <w:tcW w:type="dxa" w:w="1728"/>
          </w:tcPr>
          <w:p>
            <w:r>
              <w:rPr>
                <w:sz w:val="20"/>
              </w:rPr>
              <w:t>South Asian</w:t>
            </w:r>
          </w:p>
        </w:tc>
        <w:tc>
          <w:tcPr>
            <w:tcW w:type="dxa" w:w="1728"/>
          </w:tcPr>
          <w:p>
            <w:r>
              <w:rPr>
                <w:sz w:val="20"/>
              </w:rPr>
              <w:t>3-6%</w:t>
            </w:r>
          </w:p>
        </w:tc>
        <w:tc>
          <w:tcPr>
            <w:tcW w:type="dxa" w:w="1728"/>
          </w:tcPr>
          <w:p>
            <w:r>
              <w:rPr>
                <w:sz w:val="20"/>
              </w:rPr>
              <w:t>0.2%</w:t>
            </w:r>
          </w:p>
        </w:tc>
        <w:tc>
          <w:tcPr>
            <w:tcW w:type="dxa" w:w="1728"/>
          </w:tcPr>
          <w:p>
            <w:r>
              <w:rPr>
                <w:sz w:val="20"/>
              </w:rPr>
              <w:t>5-10%</w:t>
            </w:r>
          </w:p>
        </w:tc>
        <w:tc>
          <w:tcPr>
            <w:tcW w:type="dxa" w:w="1728"/>
          </w:tcPr>
          <w:p>
            <w:r>
              <w:rPr>
                <w:sz w:val="20"/>
              </w:rPr>
              <w:t>0.5-1%</w:t>
            </w:r>
          </w:p>
        </w:tc>
      </w:tr>
      <w:tr>
        <w:tc>
          <w:tcPr>
            <w:tcW w:type="dxa" w:w="1728"/>
          </w:tcPr>
          <w:p>
            <w:r>
              <w:rPr>
                <w:sz w:val="20"/>
              </w:rPr>
              <w:t>Hispanic</w:t>
            </w:r>
          </w:p>
        </w:tc>
        <w:tc>
          <w:tcPr>
            <w:tcW w:type="dxa" w:w="1728"/>
          </w:tcPr>
          <w:p>
            <w:r>
              <w:rPr>
                <w:sz w:val="20"/>
              </w:rPr>
              <w:t>4-8%</w:t>
            </w:r>
          </w:p>
        </w:tc>
        <w:tc>
          <w:tcPr>
            <w:tcW w:type="dxa" w:w="1728"/>
          </w:tcPr>
          <w:p>
            <w:r>
              <w:rPr>
                <w:sz w:val="20"/>
              </w:rPr>
              <w:t>0.2%</w:t>
            </w:r>
          </w:p>
        </w:tc>
        <w:tc>
          <w:tcPr>
            <w:tcW w:type="dxa" w:w="1728"/>
          </w:tcPr>
          <w:p>
            <w:r>
              <w:rPr>
                <w:sz w:val="20"/>
              </w:rPr>
              <w:t>5-10%</w:t>
            </w:r>
          </w:p>
        </w:tc>
        <w:tc>
          <w:tcPr>
            <w:tcW w:type="dxa" w:w="1728"/>
          </w:tcPr>
          <w:p>
            <w:r>
              <w:rPr>
                <w:sz w:val="20"/>
              </w:rPr>
              <w:t>0.5%</w:t>
            </w:r>
          </w:p>
        </w:tc>
      </w:tr>
    </w:tbl>
    <w:p>
      <w:r>
        <w:t>TPMT deficiency is most common in Europeans (~5-10% intermediate, ~0.3% poor), while NUDT15 deficiency is most common in East Asian populations (~20% intermediate, ~2% poor). Testing both genes is essential for equitable PGx-guided dosing.</w:t>
      </w:r>
    </w:p>
    <w:p>
      <w:r>
        <w:t>A PGx panel that tests only TPMT will miss 15-22% of East Asian patients who carry NUDT15 risk alleles. Conversely, a panel that tests only NUDT15 will miss 6-10% of European patients with TPMT deficiency.</w:t>
      </w:r>
    </w:p>
    <w:p>
      <w:pPr>
        <w:pStyle w:val="Heading2"/>
      </w:pPr>
      <w:r>
        <w:t>6. HLA Pharmacovigilance</w:t>
      </w:r>
    </w:p>
    <w:p>
      <w:pPr>
        <w:pStyle w:val="Heading3"/>
      </w:pPr>
      <w:r>
        <w:t>Beyond Pre-Treatment Screening</w:t>
      </w:r>
    </w:p>
    <w:p>
      <w:r>
        <w:t>The 15 HLA-drug associations in the agent's knowledge base represent the most validated, clinically actionable pairs. However, HLA pharmacovigilance extends beyond these known associations to encompass an evolving landscape of immune-mediated drug reactions.</w:t>
      </w:r>
    </w:p>
    <w:p>
      <w:pPr>
        <w:pStyle w:val="Heading3"/>
      </w:pPr>
      <w:r>
        <w:t>Evidence Strength Hierarchy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Evidence Level</w:t>
            </w:r>
          </w:p>
        </w:tc>
        <w:tc>
          <w:tcPr>
            <w:tcW w:type="dxa" w:w="2160"/>
          </w:tcPr>
          <w:p>
            <w:r>
              <w:rPr>
                <w:b/>
                <w:sz w:val="20"/>
              </w:rPr>
              <w:t>Description</w:t>
            </w:r>
          </w:p>
        </w:tc>
        <w:tc>
          <w:tcPr>
            <w:tcW w:type="dxa" w:w="2160"/>
          </w:tcPr>
          <w:p>
            <w:r>
              <w:rPr>
                <w:b/>
                <w:sz w:val="20"/>
              </w:rPr>
              <w:t>Clinical Action</w:t>
            </w:r>
          </w:p>
        </w:tc>
        <w:tc>
          <w:tcPr>
            <w:tcW w:type="dxa" w:w="2160"/>
          </w:tcPr>
          <w:p>
            <w:r>
              <w:rPr>
                <w:b/>
                <w:sz w:val="20"/>
              </w:rPr>
              <w:t>Examples</w:t>
            </w:r>
          </w:p>
        </w:tc>
      </w:tr>
      <w:tr>
        <w:tc>
          <w:tcPr>
            <w:tcW w:type="dxa" w:w="2160"/>
          </w:tcPr>
          <w:p>
            <w:r>
              <w:rPr>
                <w:sz w:val="20"/>
              </w:rPr>
              <w:t>FDA Required Testing</w:t>
            </w:r>
          </w:p>
        </w:tc>
        <w:tc>
          <w:tcPr>
            <w:tcW w:type="dxa" w:w="2160"/>
          </w:tcPr>
          <w:p>
            <w:r>
              <w:rPr>
                <w:sz w:val="20"/>
              </w:rPr>
              <w:t>Mandatory pre-prescription test; FDA-mandated</w:t>
            </w:r>
          </w:p>
        </w:tc>
        <w:tc>
          <w:tcPr>
            <w:tcW w:type="dxa" w:w="2160"/>
          </w:tcPr>
          <w:p>
            <w:r>
              <w:rPr>
                <w:sz w:val="20"/>
              </w:rPr>
              <w:t>Do not prescribe without test result</w:t>
            </w:r>
          </w:p>
        </w:tc>
        <w:tc>
          <w:tcPr>
            <w:tcW w:type="dxa" w:w="2160"/>
          </w:tcPr>
          <w:p>
            <w:r>
              <w:rPr>
                <w:sz w:val="20"/>
              </w:rPr>
              <w:t>HLA-B*57:01 / abacavir</w:t>
            </w:r>
          </w:p>
        </w:tc>
      </w:tr>
      <w:tr>
        <w:tc>
          <w:tcPr>
            <w:tcW w:type="dxa" w:w="2160"/>
          </w:tcPr>
          <w:p>
            <w:r>
              <w:rPr>
                <w:sz w:val="20"/>
              </w:rPr>
              <w:t>FDA Recommended</w:t>
            </w:r>
          </w:p>
        </w:tc>
        <w:tc>
          <w:tcPr>
            <w:tcW w:type="dxa" w:w="2160"/>
          </w:tcPr>
          <w:p>
            <w:r>
              <w:rPr>
                <w:sz w:val="20"/>
              </w:rPr>
              <w:t>Strong recommendation in drug label</w:t>
            </w:r>
          </w:p>
        </w:tc>
        <w:tc>
          <w:tcPr>
            <w:tcW w:type="dxa" w:w="2160"/>
          </w:tcPr>
          <w:p>
            <w:r>
              <w:rPr>
                <w:sz w:val="20"/>
              </w:rPr>
              <w:t>Test recommended; prescribe with caution if not tested</w:t>
            </w:r>
          </w:p>
        </w:tc>
        <w:tc>
          <w:tcPr>
            <w:tcW w:type="dxa" w:w="2160"/>
          </w:tcPr>
          <w:p>
            <w:r>
              <w:rPr>
                <w:sz w:val="20"/>
              </w:rPr>
              <w:t>HLA-B*15:02 / carbamazepine, phenytoin</w:t>
            </w:r>
          </w:p>
        </w:tc>
      </w:tr>
      <w:tr>
        <w:tc>
          <w:tcPr>
            <w:tcW w:type="dxa" w:w="2160"/>
          </w:tcPr>
          <w:p>
            <w:r>
              <w:rPr>
                <w:sz w:val="20"/>
              </w:rPr>
              <w:t>CPIC Level A</w:t>
            </w:r>
          </w:p>
        </w:tc>
        <w:tc>
          <w:tcPr>
            <w:tcW w:type="dxa" w:w="2160"/>
          </w:tcPr>
          <w:p>
            <w:r>
              <w:rPr>
                <w:sz w:val="20"/>
              </w:rPr>
              <w:t>Actionable PGx evidence from multiple studies</w:t>
            </w:r>
          </w:p>
        </w:tc>
        <w:tc>
          <w:tcPr>
            <w:tcW w:type="dxa" w:w="2160"/>
          </w:tcPr>
          <w:p>
            <w:r>
              <w:rPr>
                <w:sz w:val="20"/>
              </w:rPr>
              <w:t>Change prescribing based on HLA status</w:t>
            </w:r>
          </w:p>
        </w:tc>
        <w:tc>
          <w:tcPr>
            <w:tcW w:type="dxa" w:w="2160"/>
          </w:tcPr>
          <w:p>
            <w:r>
              <w:rPr>
                <w:sz w:val="20"/>
              </w:rPr>
              <w:t>HLA-B*58:01 / allopurinol</w:t>
            </w:r>
          </w:p>
        </w:tc>
      </w:tr>
      <w:tr>
        <w:tc>
          <w:tcPr>
            <w:tcW w:type="dxa" w:w="2160"/>
          </w:tcPr>
          <w:p>
            <w:r>
              <w:rPr>
                <w:sz w:val="20"/>
              </w:rPr>
              <w:t>CPIC Level B</w:t>
            </w:r>
          </w:p>
        </w:tc>
        <w:tc>
          <w:tcPr>
            <w:tcW w:type="dxa" w:w="2160"/>
          </w:tcPr>
          <w:p>
            <w:r>
              <w:rPr>
                <w:sz w:val="20"/>
              </w:rPr>
              <w:t>Moderate evidence; fewer studies</w:t>
            </w:r>
          </w:p>
        </w:tc>
        <w:tc>
          <w:tcPr>
            <w:tcW w:type="dxa" w:w="2160"/>
          </w:tcPr>
          <w:p>
            <w:r>
              <w:rPr>
                <w:sz w:val="20"/>
              </w:rPr>
              <w:t>Consider alternative if HLA-positive</w:t>
            </w:r>
          </w:p>
        </w:tc>
        <w:tc>
          <w:tcPr>
            <w:tcW w:type="dxa" w:w="2160"/>
          </w:tcPr>
          <w:p>
            <w:r>
              <w:rPr>
                <w:sz w:val="20"/>
              </w:rPr>
              <w:t>HLA-A*31:01 / carbamazepine</w:t>
            </w:r>
          </w:p>
        </w:tc>
      </w:tr>
      <w:tr>
        <w:tc>
          <w:tcPr>
            <w:tcW w:type="dxa" w:w="2160"/>
          </w:tcPr>
          <w:p>
            <w:r>
              <w:rPr>
                <w:sz w:val="20"/>
              </w:rPr>
              <w:t>Emerging</w:t>
            </w:r>
          </w:p>
        </w:tc>
        <w:tc>
          <w:tcPr>
            <w:tcW w:type="dxa" w:w="2160"/>
          </w:tcPr>
          <w:p>
            <w:r>
              <w:rPr>
                <w:sz w:val="20"/>
              </w:rPr>
              <w:t>Association reported in case series or limited studies; not yet guideline-level</w:t>
            </w:r>
          </w:p>
        </w:tc>
        <w:tc>
          <w:tcPr>
            <w:tcW w:type="dxa" w:w="2160"/>
          </w:tcPr>
          <w:p>
            <w:r>
              <w:rPr>
                <w:sz w:val="20"/>
              </w:rPr>
              <w:t>Awareness only; no standard testing</w:t>
            </w:r>
          </w:p>
        </w:tc>
        <w:tc>
          <w:tcPr>
            <w:tcW w:type="dxa" w:w="2160"/>
          </w:tcPr>
          <w:p>
            <w:r>
              <w:rPr>
                <w:sz w:val="20"/>
              </w:rPr>
              <w:t>HLA-DRB1*07:01 / lapatinib</w:t>
            </w:r>
          </w:p>
        </w:tc>
      </w:tr>
    </w:tbl>
    <w:p>
      <w:pPr>
        <w:pStyle w:val="Heading3"/>
      </w:pPr>
      <w:r>
        <w:t>Severity Classification System</w:t>
      </w:r>
    </w:p>
    <w:p>
      <w:r>
        <w:t>The agent uses a four-level severity classification for HLA screening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Status</w:t>
            </w:r>
          </w:p>
        </w:tc>
        <w:tc>
          <w:tcPr>
            <w:tcW w:type="dxa" w:w="2160"/>
          </w:tcPr>
          <w:p>
            <w:r>
              <w:rPr>
                <w:b/>
                <w:sz w:val="20"/>
              </w:rPr>
              <w:t>Criteria</w:t>
            </w:r>
          </w:p>
        </w:tc>
        <w:tc>
          <w:tcPr>
            <w:tcW w:type="dxa" w:w="2160"/>
          </w:tcPr>
          <w:p>
            <w:r>
              <w:rPr>
                <w:b/>
                <w:sz w:val="20"/>
              </w:rPr>
              <w:t>Clinical Action</w:t>
            </w:r>
          </w:p>
        </w:tc>
        <w:tc>
          <w:tcPr>
            <w:tcW w:type="dxa" w:w="2160"/>
          </w:tcPr>
          <w:p>
            <w:r>
              <w:rPr>
                <w:b/>
                <w:sz w:val="20"/>
              </w:rPr>
              <w:t>Alert Color</w:t>
            </w:r>
          </w:p>
        </w:tc>
      </w:tr>
      <w:tr>
        <w:tc>
          <w:tcPr>
            <w:tcW w:type="dxa" w:w="2160"/>
          </w:tcPr>
          <w:p>
            <w:r>
              <w:rPr>
                <w:sz w:val="20"/>
              </w:rPr>
              <w:t>CONTRAINDICATED</w:t>
            </w:r>
          </w:p>
        </w:tc>
        <w:tc>
          <w:tcPr>
            <w:tcW w:type="dxa" w:w="2160"/>
          </w:tcPr>
          <w:p>
            <w:r>
              <w:rPr>
                <w:sz w:val="20"/>
              </w:rPr>
              <w:t>HLA-positive for an allele with &gt;5% risk of fatal/severe ADR AND FDA required/recommended testing</w:t>
            </w:r>
          </w:p>
        </w:tc>
        <w:tc>
          <w:tcPr>
            <w:tcW w:type="dxa" w:w="2160"/>
          </w:tcPr>
          <w:p>
            <w:r>
              <w:rPr>
                <w:sz w:val="20"/>
              </w:rPr>
              <w:t>Do NOT prescribe; use alternative; document in allergy list</w:t>
            </w:r>
          </w:p>
        </w:tc>
        <w:tc>
          <w:tcPr>
            <w:tcW w:type="dxa" w:w="2160"/>
          </w:tcPr>
          <w:p>
            <w:r>
              <w:rPr>
                <w:sz w:val="20"/>
              </w:rPr>
              <w:t>Red</w:t>
            </w:r>
          </w:p>
        </w:tc>
      </w:tr>
      <w:tr>
        <w:tc>
          <w:tcPr>
            <w:tcW w:type="dxa" w:w="2160"/>
          </w:tcPr>
          <w:p>
            <w:r>
              <w:rPr>
                <w:sz w:val="20"/>
              </w:rPr>
              <w:t>HIGH_RISK</w:t>
            </w:r>
          </w:p>
        </w:tc>
        <w:tc>
          <w:tcPr>
            <w:tcW w:type="dxa" w:w="2160"/>
          </w:tcPr>
          <w:p>
            <w:r>
              <w:rPr>
                <w:sz w:val="20"/>
              </w:rPr>
              <w:t>HLA-positive for an allele with moderate ADR risk (CPIC Level A/B)</w:t>
            </w:r>
          </w:p>
        </w:tc>
        <w:tc>
          <w:tcPr>
            <w:tcW w:type="dxa" w:w="2160"/>
          </w:tcPr>
          <w:p>
            <w:r>
              <w:rPr>
                <w:sz w:val="20"/>
              </w:rPr>
              <w:t>Avoid if possible; use alternative; if no alternative, prescribe with enhanced monitoring and informed consent</w:t>
            </w:r>
          </w:p>
        </w:tc>
        <w:tc>
          <w:tcPr>
            <w:tcW w:type="dxa" w:w="2160"/>
          </w:tcPr>
          <w:p>
            <w:r>
              <w:rPr>
                <w:sz w:val="20"/>
              </w:rPr>
              <w:t>Orange</w:t>
            </w:r>
          </w:p>
        </w:tc>
      </w:tr>
      <w:tr>
        <w:tc>
          <w:tcPr>
            <w:tcW w:type="dxa" w:w="2160"/>
          </w:tcPr>
          <w:p>
            <w:r>
              <w:rPr>
                <w:sz w:val="20"/>
              </w:rPr>
              <w:t>SAFE</w:t>
            </w:r>
          </w:p>
        </w:tc>
        <w:tc>
          <w:tcPr>
            <w:tcW w:type="dxa" w:w="2160"/>
          </w:tcPr>
          <w:p>
            <w:r>
              <w:rPr>
                <w:sz w:val="20"/>
              </w:rPr>
              <w:t>HLA-negative for all relevant alleles tested</w:t>
            </w:r>
          </w:p>
        </w:tc>
        <w:tc>
          <w:tcPr>
            <w:tcW w:type="dxa" w:w="2160"/>
          </w:tcPr>
          <w:p>
            <w:r>
              <w:rPr>
                <w:sz w:val="20"/>
              </w:rPr>
              <w:t>Standard prescribing; no HLA-related contraindication</w:t>
            </w:r>
          </w:p>
        </w:tc>
        <w:tc>
          <w:tcPr>
            <w:tcW w:type="dxa" w:w="2160"/>
          </w:tcPr>
          <w:p>
            <w:r>
              <w:rPr>
                <w:sz w:val="20"/>
              </w:rPr>
              <w:t>Green</w:t>
            </w:r>
          </w:p>
        </w:tc>
      </w:tr>
      <w:tr>
        <w:tc>
          <w:tcPr>
            <w:tcW w:type="dxa" w:w="2160"/>
          </w:tcPr>
          <w:p>
            <w:r>
              <w:rPr>
                <w:sz w:val="20"/>
              </w:rPr>
              <w:t>UNKNOWN</w:t>
            </w:r>
          </w:p>
        </w:tc>
        <w:tc>
          <w:tcPr>
            <w:tcW w:type="dxa" w:w="2160"/>
          </w:tcPr>
          <w:p>
            <w:r>
              <w:rPr>
                <w:sz w:val="20"/>
              </w:rPr>
              <w:t>HLA typing not available for the relevant allele</w:t>
            </w:r>
          </w:p>
        </w:tc>
        <w:tc>
          <w:tcPr>
            <w:tcW w:type="dxa" w:w="2160"/>
          </w:tcPr>
          <w:p>
            <w:r>
              <w:rPr>
                <w:sz w:val="20"/>
              </w:rPr>
              <w:t>Consider testing before prescribing high-risk medications; proceed with caution</w:t>
            </w:r>
          </w:p>
        </w:tc>
        <w:tc>
          <w:tcPr>
            <w:tcW w:type="dxa" w:w="2160"/>
          </w:tcPr>
          <w:p>
            <w:r>
              <w:rPr>
                <w:sz w:val="20"/>
              </w:rPr>
              <w:t>Yellow</w:t>
            </w:r>
          </w:p>
        </w:tc>
      </w:tr>
    </w:tbl>
    <w:p>
      <w:pPr>
        <w:pStyle w:val="Heading3"/>
      </w:pPr>
      <w:r>
        <w:t>Population-Specific HLA Screening Strategies</w:t>
      </w:r>
    </w:p>
    <w:p>
      <w:r>
        <w:t>Different populations require different HLA screening priorities based on allele prevalence: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Population</w:t>
            </w:r>
          </w:p>
        </w:tc>
        <w:tc>
          <w:tcPr>
            <w:tcW w:type="dxa" w:w="2160"/>
          </w:tcPr>
          <w:p>
            <w:r>
              <w:rPr>
                <w:b/>
                <w:sz w:val="20"/>
              </w:rPr>
              <w:t>Priority HLA Tests</w:t>
            </w:r>
          </w:p>
        </w:tc>
        <w:tc>
          <w:tcPr>
            <w:tcW w:type="dxa" w:w="2160"/>
          </w:tcPr>
          <w:p>
            <w:r>
              <w:rPr>
                <w:b/>
                <w:sz w:val="20"/>
              </w:rPr>
              <w:t>Rationale</w:t>
            </w:r>
          </w:p>
        </w:tc>
        <w:tc>
          <w:tcPr>
            <w:tcW w:type="dxa" w:w="2160"/>
          </w:tcPr>
          <w:p>
            <w:r>
              <w:rPr>
                <w:b/>
                <w:sz w:val="20"/>
              </w:rPr>
              <w:t>Key Drugs Affected</w:t>
            </w:r>
          </w:p>
        </w:tc>
      </w:tr>
      <w:tr>
        <w:tc>
          <w:tcPr>
            <w:tcW w:type="dxa" w:w="2160"/>
          </w:tcPr>
          <w:p>
            <w:r>
              <w:rPr>
                <w:sz w:val="20"/>
              </w:rPr>
              <w:t>Southeast Asian (Thai, Cambodian, Vietnamese, Filipino, Malaysian)</w:t>
            </w:r>
          </w:p>
        </w:tc>
        <w:tc>
          <w:tcPr>
            <w:tcW w:type="dxa" w:w="2160"/>
          </w:tcPr>
          <w:p>
            <w:r>
              <w:rPr>
                <w:sz w:val="20"/>
              </w:rPr>
              <w:t>HLA-B*15:02 before carbamazepine, phenytoin, oxcarbazepine</w:t>
            </w:r>
          </w:p>
        </w:tc>
        <w:tc>
          <w:tcPr>
            <w:tcW w:type="dxa" w:w="2160"/>
          </w:tcPr>
          <w:p>
            <w:r>
              <w:rPr>
                <w:sz w:val="20"/>
              </w:rPr>
              <w:t>2-15% carrier rate; highest risk population</w:t>
            </w:r>
          </w:p>
        </w:tc>
        <w:tc>
          <w:tcPr>
            <w:tcW w:type="dxa" w:w="2160"/>
          </w:tcPr>
          <w:p>
            <w:r>
              <w:rPr>
                <w:sz w:val="20"/>
              </w:rPr>
              <w:t>Carbamazepine, phenytoin, oxcarbazepine</w:t>
            </w:r>
          </w:p>
        </w:tc>
      </w:tr>
      <w:tr>
        <w:tc>
          <w:tcPr>
            <w:tcW w:type="dxa" w:w="2160"/>
          </w:tcPr>
          <w:p>
            <w:r>
              <w:rPr>
                <w:sz w:val="20"/>
              </w:rPr>
              <w:t>Han Chinese</w:t>
            </w:r>
          </w:p>
        </w:tc>
        <w:tc>
          <w:tcPr>
            <w:tcW w:type="dxa" w:w="2160"/>
          </w:tcPr>
          <w:p>
            <w:r>
              <w:rPr>
                <w:sz w:val="20"/>
              </w:rPr>
              <w:t>HLA-B*15:02, HLA-B*58:01</w:t>
            </w:r>
          </w:p>
        </w:tc>
        <w:tc>
          <w:tcPr>
            <w:tcW w:type="dxa" w:w="2160"/>
          </w:tcPr>
          <w:p>
            <w:r>
              <w:rPr>
                <w:sz w:val="20"/>
              </w:rPr>
              <w:t>High prevalence of both risk alleles (2-8% each)</w:t>
            </w:r>
          </w:p>
        </w:tc>
        <w:tc>
          <w:tcPr>
            <w:tcW w:type="dxa" w:w="2160"/>
          </w:tcPr>
          <w:p>
            <w:r>
              <w:rPr>
                <w:sz w:val="20"/>
              </w:rPr>
              <w:t>Carbamazepine, phenytoin, allopurinol</w:t>
            </w:r>
          </w:p>
        </w:tc>
      </w:tr>
      <w:tr>
        <w:tc>
          <w:tcPr>
            <w:tcW w:type="dxa" w:w="2160"/>
          </w:tcPr>
          <w:p>
            <w:r>
              <w:rPr>
                <w:sz w:val="20"/>
              </w:rPr>
              <w:t>Japanese, Korean</w:t>
            </w:r>
          </w:p>
        </w:tc>
        <w:tc>
          <w:tcPr>
            <w:tcW w:type="dxa" w:w="2160"/>
          </w:tcPr>
          <w:p>
            <w:r>
              <w:rPr>
                <w:sz w:val="20"/>
              </w:rPr>
              <w:t>HLA-B*15:11, HLA-A*31:01, HLA-B*58:01</w:t>
            </w:r>
          </w:p>
        </w:tc>
        <w:tc>
          <w:tcPr>
            <w:tcW w:type="dxa" w:w="2160"/>
          </w:tcPr>
          <w:p>
            <w:r>
              <w:rPr>
                <w:sz w:val="20"/>
              </w:rPr>
              <w:t>Different carbamazepine risk alleles than Southeast Asian; moderate B*58:01</w:t>
            </w:r>
          </w:p>
        </w:tc>
        <w:tc>
          <w:tcPr>
            <w:tcW w:type="dxa" w:w="2160"/>
          </w:tcPr>
          <w:p>
            <w:r>
              <w:rPr>
                <w:sz w:val="20"/>
              </w:rPr>
              <w:t>Carbamazepine, allopurinol</w:t>
            </w:r>
          </w:p>
        </w:tc>
      </w:tr>
      <w:tr>
        <w:tc>
          <w:tcPr>
            <w:tcW w:type="dxa" w:w="2160"/>
          </w:tcPr>
          <w:p>
            <w:r>
              <w:rPr>
                <w:sz w:val="20"/>
              </w:rPr>
              <w:t>European</w:t>
            </w:r>
          </w:p>
        </w:tc>
        <w:tc>
          <w:tcPr>
            <w:tcW w:type="dxa" w:w="2160"/>
          </w:tcPr>
          <w:p>
            <w:r>
              <w:rPr>
                <w:sz w:val="20"/>
              </w:rPr>
              <w:t>HLA-A*31:01 before carbamazepine; HLA-B*57:01 before abacavir</w:t>
            </w:r>
          </w:p>
        </w:tc>
        <w:tc>
          <w:tcPr>
            <w:tcW w:type="dxa" w:w="2160"/>
          </w:tcPr>
          <w:p>
            <w:r>
              <w:rPr>
                <w:sz w:val="20"/>
              </w:rPr>
              <w:t>A*31:01 2-5% in Europeans; B*57:01 6-8%</w:t>
            </w:r>
          </w:p>
        </w:tc>
        <w:tc>
          <w:tcPr>
            <w:tcW w:type="dxa" w:w="2160"/>
          </w:tcPr>
          <w:p>
            <w:r>
              <w:rPr>
                <w:sz w:val="20"/>
              </w:rPr>
              <w:t>Carbamazepine, abacavir</w:t>
            </w:r>
          </w:p>
        </w:tc>
      </w:tr>
      <w:tr>
        <w:tc>
          <w:tcPr>
            <w:tcW w:type="dxa" w:w="2160"/>
          </w:tcPr>
          <w:p>
            <w:r>
              <w:rPr>
                <w:sz w:val="20"/>
              </w:rPr>
              <w:t>African</w:t>
            </w:r>
          </w:p>
        </w:tc>
        <w:tc>
          <w:tcPr>
            <w:tcW w:type="dxa" w:w="2160"/>
          </w:tcPr>
          <w:p>
            <w:r>
              <w:rPr>
                <w:sz w:val="20"/>
              </w:rPr>
              <w:t>HLA-B*57:01, HLA-B*58:01</w:t>
            </w:r>
          </w:p>
        </w:tc>
        <w:tc>
          <w:tcPr>
            <w:tcW w:type="dxa" w:w="2160"/>
          </w:tcPr>
          <w:p>
            <w:r>
              <w:rPr>
                <w:sz w:val="20"/>
              </w:rPr>
              <w:t>B*58:01 3-6% in African populations</w:t>
            </w:r>
          </w:p>
        </w:tc>
        <w:tc>
          <w:tcPr>
            <w:tcW w:type="dxa" w:w="2160"/>
          </w:tcPr>
          <w:p>
            <w:r>
              <w:rPr>
                <w:sz w:val="20"/>
              </w:rPr>
              <w:t>Abacavir, allopurinol</w:t>
            </w:r>
          </w:p>
        </w:tc>
      </w:tr>
      <w:tr>
        <w:tc>
          <w:tcPr>
            <w:tcW w:type="dxa" w:w="2160"/>
          </w:tcPr>
          <w:p>
            <w:r>
              <w:rPr>
                <w:sz w:val="20"/>
              </w:rPr>
              <w:t>All populations</w:t>
            </w:r>
          </w:p>
        </w:tc>
        <w:tc>
          <w:tcPr>
            <w:tcW w:type="dxa" w:w="2160"/>
          </w:tcPr>
          <w:p>
            <w:r>
              <w:rPr>
                <w:sz w:val="20"/>
              </w:rPr>
              <w:t>HLA-B*57:01 before abacavir</w:t>
            </w:r>
          </w:p>
        </w:tc>
        <w:tc>
          <w:tcPr>
            <w:tcW w:type="dxa" w:w="2160"/>
          </w:tcPr>
          <w:p>
            <w:r>
              <w:rPr>
                <w:sz w:val="20"/>
              </w:rPr>
              <w:t>FDA-mandated regardless of ancestry; 100% NPV</w:t>
            </w:r>
          </w:p>
        </w:tc>
        <w:tc>
          <w:tcPr>
            <w:tcW w:type="dxa" w:w="2160"/>
          </w:tcPr>
          <w:p>
            <w:r>
              <w:rPr>
                <w:sz w:val="20"/>
              </w:rPr>
              <w:t>Abacavir</w:t>
            </w:r>
          </w:p>
        </w:tc>
      </w:tr>
    </w:tbl>
    <w:p>
      <w:pPr>
        <w:pStyle w:val="Heading3"/>
      </w:pPr>
      <w:r>
        <w:t>Cross-Reactivity Considerations</w:t>
      </w:r>
    </w:p>
    <w:p>
      <w:r>
        <w:t>Some HLA-drug associations show cross-reactivity with structurally related drugs: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HLA Allele</w:t>
            </w:r>
          </w:p>
        </w:tc>
        <w:tc>
          <w:tcPr>
            <w:tcW w:type="dxa" w:w="2160"/>
          </w:tcPr>
          <w:p>
            <w:r>
              <w:rPr>
                <w:b/>
                <w:sz w:val="20"/>
              </w:rPr>
              <w:t>Primary Drug</w:t>
            </w:r>
          </w:p>
        </w:tc>
        <w:tc>
          <w:tcPr>
            <w:tcW w:type="dxa" w:w="2160"/>
          </w:tcPr>
          <w:p>
            <w:r>
              <w:rPr>
                <w:b/>
                <w:sz w:val="20"/>
              </w:rPr>
              <w:t>Cross-Reactive Drugs</w:t>
            </w:r>
          </w:p>
        </w:tc>
        <w:tc>
          <w:tcPr>
            <w:tcW w:type="dxa" w:w="2160"/>
          </w:tcPr>
          <w:p>
            <w:r>
              <w:rPr>
                <w:b/>
                <w:sz w:val="20"/>
              </w:rPr>
              <w:t>Cross-Reactivity Evidence</w:t>
            </w:r>
          </w:p>
        </w:tc>
      </w:tr>
      <w:tr>
        <w:tc>
          <w:tcPr>
            <w:tcW w:type="dxa" w:w="2160"/>
          </w:tcPr>
          <w:p>
            <w:r>
              <w:rPr>
                <w:sz w:val="20"/>
              </w:rPr>
              <w:t>HLA-B*15:02</w:t>
            </w:r>
          </w:p>
        </w:tc>
        <w:tc>
          <w:tcPr>
            <w:tcW w:type="dxa" w:w="2160"/>
          </w:tcPr>
          <w:p>
            <w:r>
              <w:rPr>
                <w:sz w:val="20"/>
              </w:rPr>
              <w:t>Carbamazepine</w:t>
            </w:r>
          </w:p>
        </w:tc>
        <w:tc>
          <w:tcPr>
            <w:tcW w:type="dxa" w:w="2160"/>
          </w:tcPr>
          <w:p>
            <w:r>
              <w:rPr>
                <w:sz w:val="20"/>
              </w:rPr>
              <w:t>Oxcarbazepine, eslicarbazepine, lamotrigine (low risk)</w:t>
            </w:r>
          </w:p>
        </w:tc>
        <w:tc>
          <w:tcPr>
            <w:tcW w:type="dxa" w:w="2160"/>
          </w:tcPr>
          <w:p>
            <w:r>
              <w:rPr>
                <w:sz w:val="20"/>
              </w:rPr>
              <w:t>Strong for oxcarbazepine; weak for lamotrigine</w:t>
            </w:r>
          </w:p>
        </w:tc>
      </w:tr>
      <w:tr>
        <w:tc>
          <w:tcPr>
            <w:tcW w:type="dxa" w:w="2160"/>
          </w:tcPr>
          <w:p>
            <w:r>
              <w:rPr>
                <w:sz w:val="20"/>
              </w:rPr>
              <w:t>HLA-A*31:01</w:t>
            </w:r>
          </w:p>
        </w:tc>
        <w:tc>
          <w:tcPr>
            <w:tcW w:type="dxa" w:w="2160"/>
          </w:tcPr>
          <w:p>
            <w:r>
              <w:rPr>
                <w:sz w:val="20"/>
              </w:rPr>
              <w:t>Carbamazepine</w:t>
            </w:r>
          </w:p>
        </w:tc>
        <w:tc>
          <w:tcPr>
            <w:tcW w:type="dxa" w:w="2160"/>
          </w:tcPr>
          <w:p>
            <w:r>
              <w:rPr>
                <w:sz w:val="20"/>
              </w:rPr>
              <w:t>Oxcarbazepine (possible)</w:t>
            </w:r>
          </w:p>
        </w:tc>
        <w:tc>
          <w:tcPr>
            <w:tcW w:type="dxa" w:w="2160"/>
          </w:tcPr>
          <w:p>
            <w:r>
              <w:rPr>
                <w:sz w:val="20"/>
              </w:rPr>
              <w:t>Limited data; caution recommended</w:t>
            </w:r>
          </w:p>
        </w:tc>
      </w:tr>
      <w:tr>
        <w:tc>
          <w:tcPr>
            <w:tcW w:type="dxa" w:w="2160"/>
          </w:tcPr>
          <w:p>
            <w:r>
              <w:rPr>
                <w:sz w:val="20"/>
              </w:rPr>
              <w:t>HLA-B*58:01</w:t>
            </w:r>
          </w:p>
        </w:tc>
        <w:tc>
          <w:tcPr>
            <w:tcW w:type="dxa" w:w="2160"/>
          </w:tcPr>
          <w:p>
            <w:r>
              <w:rPr>
                <w:sz w:val="20"/>
              </w:rPr>
              <w:t>Allopurinol</w:t>
            </w:r>
          </w:p>
        </w:tc>
        <w:tc>
          <w:tcPr>
            <w:tcW w:type="dxa" w:w="2160"/>
          </w:tcPr>
          <w:p>
            <w:r>
              <w:rPr>
                <w:sz w:val="20"/>
              </w:rPr>
              <w:t>Febuxostat (no cross-reactivity)</w:t>
            </w:r>
          </w:p>
        </w:tc>
        <w:tc>
          <w:tcPr>
            <w:tcW w:type="dxa" w:w="2160"/>
          </w:tcPr>
          <w:p>
            <w:r>
              <w:rPr>
                <w:sz w:val="20"/>
              </w:rPr>
              <w:t>Febuxostat is safe alternative</w:t>
            </w:r>
          </w:p>
        </w:tc>
      </w:tr>
    </w:tbl>
    <w:p>
      <w:pPr>
        <w:pStyle w:val="Heading3"/>
      </w:pPr>
      <w:r>
        <w:t>HLA Typing Methods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Resolution</w:t>
            </w:r>
          </w:p>
        </w:tc>
        <w:tc>
          <w:tcPr>
            <w:tcW w:type="dxa" w:w="2160"/>
          </w:tcPr>
          <w:p>
            <w:r>
              <w:rPr>
                <w:b/>
                <w:sz w:val="20"/>
              </w:rPr>
              <w:t>Cost</w:t>
            </w:r>
          </w:p>
        </w:tc>
        <w:tc>
          <w:tcPr>
            <w:tcW w:type="dxa" w:w="2160"/>
          </w:tcPr>
          <w:p>
            <w:r>
              <w:rPr>
                <w:b/>
                <w:sz w:val="20"/>
              </w:rPr>
              <w:t>Best For</w:t>
            </w:r>
          </w:p>
        </w:tc>
      </w:tr>
      <w:tr>
        <w:tc>
          <w:tcPr>
            <w:tcW w:type="dxa" w:w="2160"/>
          </w:tcPr>
          <w:p>
            <w:r>
              <w:rPr>
                <w:sz w:val="20"/>
              </w:rPr>
              <w:t>PCR-SSP (Sequence-Specific Primer)</w:t>
            </w:r>
          </w:p>
        </w:tc>
        <w:tc>
          <w:tcPr>
            <w:tcW w:type="dxa" w:w="2160"/>
          </w:tcPr>
          <w:p>
            <w:r>
              <w:rPr>
                <w:sz w:val="20"/>
              </w:rPr>
              <w:t>Low-intermediate (2-digit)</w:t>
            </w:r>
          </w:p>
        </w:tc>
        <w:tc>
          <w:tcPr>
            <w:tcW w:type="dxa" w:w="2160"/>
          </w:tcPr>
          <w:p>
            <w:r>
              <w:rPr>
                <w:sz w:val="20"/>
              </w:rPr>
              <w:t>Low</w:t>
            </w:r>
          </w:p>
        </w:tc>
        <w:tc>
          <w:tcPr>
            <w:tcW w:type="dxa" w:w="2160"/>
          </w:tcPr>
          <w:p>
            <w:r>
              <w:rPr>
                <w:sz w:val="20"/>
              </w:rPr>
              <w:t>Single allele screening (e.g., HLA-B*57:01 yes/no)</w:t>
            </w:r>
          </w:p>
        </w:tc>
      </w:tr>
      <w:tr>
        <w:tc>
          <w:tcPr>
            <w:tcW w:type="dxa" w:w="2160"/>
          </w:tcPr>
          <w:p>
            <w:r>
              <w:rPr>
                <w:sz w:val="20"/>
              </w:rPr>
              <w:t>PCR-SSO (Sequence-Specific Oligonucleotide)</w:t>
            </w:r>
          </w:p>
        </w:tc>
        <w:tc>
          <w:tcPr>
            <w:tcW w:type="dxa" w:w="2160"/>
          </w:tcPr>
          <w:p>
            <w:r>
              <w:rPr>
                <w:sz w:val="20"/>
              </w:rPr>
              <w:t>Intermediate (2-4 digit)</w:t>
            </w:r>
          </w:p>
        </w:tc>
        <w:tc>
          <w:tcPr>
            <w:tcW w:type="dxa" w:w="2160"/>
          </w:tcPr>
          <w:p>
            <w:r>
              <w:rPr>
                <w:sz w:val="20"/>
              </w:rPr>
              <w:t>Medium</w:t>
            </w:r>
          </w:p>
        </w:tc>
        <w:tc>
          <w:tcPr>
            <w:tcW w:type="dxa" w:w="2160"/>
          </w:tcPr>
          <w:p>
            <w:r>
              <w:rPr>
                <w:sz w:val="20"/>
              </w:rPr>
              <w:t>Multi-allele panels</w:t>
            </w:r>
          </w:p>
        </w:tc>
      </w:tr>
      <w:tr>
        <w:tc>
          <w:tcPr>
            <w:tcW w:type="dxa" w:w="2160"/>
          </w:tcPr>
          <w:p>
            <w:r>
              <w:rPr>
                <w:sz w:val="20"/>
              </w:rPr>
              <w:t>SBT (Sequence-Based Typing)</w:t>
            </w:r>
          </w:p>
        </w:tc>
        <w:tc>
          <w:tcPr>
            <w:tcW w:type="dxa" w:w="2160"/>
          </w:tcPr>
          <w:p>
            <w:r>
              <w:rPr>
                <w:sz w:val="20"/>
              </w:rPr>
              <w:t>High (4-6 digit)</w:t>
            </w:r>
          </w:p>
        </w:tc>
        <w:tc>
          <w:tcPr>
            <w:tcW w:type="dxa" w:w="2160"/>
          </w:tcPr>
          <w:p>
            <w:r>
              <w:rPr>
                <w:sz w:val="20"/>
              </w:rPr>
              <w:t>Higher</w:t>
            </w:r>
          </w:p>
        </w:tc>
        <w:tc>
          <w:tcPr>
            <w:tcW w:type="dxa" w:w="2160"/>
          </w:tcPr>
          <w:p>
            <w:r>
              <w:rPr>
                <w:sz w:val="20"/>
              </w:rPr>
              <w:t>Comprehensive HLA typing</w:t>
            </w:r>
          </w:p>
        </w:tc>
      </w:tr>
      <w:tr>
        <w:tc>
          <w:tcPr>
            <w:tcW w:type="dxa" w:w="2160"/>
          </w:tcPr>
          <w:p>
            <w:r>
              <w:rPr>
                <w:sz w:val="20"/>
              </w:rPr>
              <w:t>NGS-based typing</w:t>
            </w:r>
          </w:p>
        </w:tc>
        <w:tc>
          <w:tcPr>
            <w:tcW w:type="dxa" w:w="2160"/>
          </w:tcPr>
          <w:p>
            <w:r>
              <w:rPr>
                <w:sz w:val="20"/>
              </w:rPr>
              <w:t>Very high (8+ digit)</w:t>
            </w:r>
          </w:p>
        </w:tc>
        <w:tc>
          <w:tcPr>
            <w:tcW w:type="dxa" w:w="2160"/>
          </w:tcPr>
          <w:p>
            <w:r>
              <w:rPr>
                <w:sz w:val="20"/>
              </w:rPr>
              <w:t>Moderate-High</w:t>
            </w:r>
          </w:p>
        </w:tc>
        <w:tc>
          <w:tcPr>
            <w:tcW w:type="dxa" w:w="2160"/>
          </w:tcPr>
          <w:p>
            <w:r>
              <w:rPr>
                <w:sz w:val="20"/>
              </w:rPr>
              <w:t>Research; full HLA region sequencing</w:t>
            </w:r>
          </w:p>
        </w:tc>
      </w:tr>
    </w:tbl>
    <w:p>
      <w:r>
        <w:t>For pharmacogenomic purposes, low-intermediate resolution (2-digit) is sufficient for most clinical decisions. The key question is presence/absence of a specific allele group (e.g., B*15:02 positive or negative), not the specific sub-allele.</w:t>
      </w:r>
    </w:p>
    <w:p>
      <w:pPr>
        <w:pStyle w:val="Heading3"/>
      </w:pPr>
      <w:r>
        <w:t>HLA Testing in Clinical Workflow</w:t>
      </w:r>
    </w:p>
    <w:p>
      <w:pPr>
        <w:ind w:left="720"/>
      </w:pPr>
      <w:r>
        <w:rPr>
          <w:rFonts w:ascii="Consolas" w:hAnsi="Consolas"/>
          <w:sz w:val="18"/>
        </w:rPr>
        <w:t>CLINICAL DECISION POINT: Prescribe carbamazepine for epilepsy</w:t>
        <w:br/>
        <w:br/>
        <w:t>Step 1: Is patient of Southeast Asian ancestry?</w:t>
        <w:br/>
        <w:t xml:space="preserve">        (or ancestry unknown?)</w:t>
        <w:br/>
        <w:t xml:space="preserve">     |</w:t>
        <w:br/>
        <w:t xml:space="preserve">     v</w:t>
        <w:br/>
        <w:t>Step 2: Order HLA-B*15:02 test</w:t>
        <w:br/>
        <w:t xml:space="preserve">     |</w:t>
        <w:br/>
        <w:t xml:space="preserve">     +-- Result: POSITIVE --&gt; DO NOT prescribe carbamazepine</w:t>
        <w:br/>
        <w:t xml:space="preserve">     |                        Use lamotrigine, levetiracetam, or valproic acid</w:t>
        <w:br/>
        <w:t xml:space="preserve">     |</w:t>
        <w:br/>
        <w:t xml:space="preserve">     +-- Result: NEGATIVE --&gt; Consider HLA-A*31:01 test</w:t>
        <w:br/>
        <w:t xml:space="preserve">     |                         |</w:t>
        <w:br/>
        <w:t xml:space="preserve">     |                         +-- POSITIVE --&gt; Prescribe with close monitoring</w:t>
        <w:br/>
        <w:t xml:space="preserve">     |                         |               (consider alternative if available)</w:t>
        <w:br/>
        <w:t xml:space="preserve">     |                         |</w:t>
        <w:br/>
        <w:t xml:space="preserve">     |                         +-- NEGATIVE --&gt; Standard prescribing</w:t>
        <w:br/>
        <w:t xml:space="preserve">     |</w:t>
        <w:br/>
        <w:t xml:space="preserve">     +-- Not tested --&gt; Consider risk-benefit based on population prevalence</w:t>
        <w:br/>
        <w:t xml:space="preserve">                        If Southeast Asian: strong recommendation to test</w:t>
        <w:br/>
        <w:t xml:space="preserve">                        If European: consider A*31:01 testing</w:t>
      </w:r>
    </w:p>
    <w:p>
      <w:pPr>
        <w:pStyle w:val="Heading3"/>
      </w:pPr>
      <w:r>
        <w:t>Rechallenge Risk</w:t>
      </w:r>
    </w:p>
    <w:p>
      <w:r>
        <w:t>A critical principle in HLA pharmacovigilance: never rechallenge a patient who has experienced a confirmed HLA-mediated drug reaction: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Reaction</w:t>
            </w:r>
          </w:p>
        </w:tc>
        <w:tc>
          <w:tcPr>
            <w:tcW w:type="dxa" w:w="2880"/>
          </w:tcPr>
          <w:p>
            <w:r>
              <w:rPr>
                <w:b/>
                <w:sz w:val="20"/>
              </w:rPr>
              <w:t>Rechallenge Mortality Risk</w:t>
            </w:r>
          </w:p>
        </w:tc>
        <w:tc>
          <w:tcPr>
            <w:tcW w:type="dxa" w:w="2880"/>
          </w:tcPr>
          <w:p>
            <w:r>
              <w:rPr>
                <w:b/>
                <w:sz w:val="20"/>
              </w:rPr>
              <w:t>Action</w:t>
            </w:r>
          </w:p>
        </w:tc>
      </w:tr>
      <w:tr>
        <w:tc>
          <w:tcPr>
            <w:tcW w:type="dxa" w:w="2880"/>
          </w:tcPr>
          <w:p>
            <w:r>
              <w:rPr>
                <w:sz w:val="20"/>
              </w:rPr>
              <w:t>SJS/TEN (confirmed)</w:t>
            </w:r>
          </w:p>
        </w:tc>
        <w:tc>
          <w:tcPr>
            <w:tcW w:type="dxa" w:w="2880"/>
          </w:tcPr>
          <w:p>
            <w:r>
              <w:rPr>
                <w:sz w:val="20"/>
              </w:rPr>
              <w:t>30-50% if rechallenged</w:t>
            </w:r>
          </w:p>
        </w:tc>
        <w:tc>
          <w:tcPr>
            <w:tcW w:type="dxa" w:w="2880"/>
          </w:tcPr>
          <w:p>
            <w:r>
              <w:rPr>
                <w:sz w:val="20"/>
              </w:rPr>
              <w:t>Absolute contraindication; permanent allergy documentation</w:t>
            </w:r>
          </w:p>
        </w:tc>
      </w:tr>
      <w:tr>
        <w:tc>
          <w:tcPr>
            <w:tcW w:type="dxa" w:w="2880"/>
          </w:tcPr>
          <w:p>
            <w:r>
              <w:rPr>
                <w:sz w:val="20"/>
              </w:rPr>
              <w:t>DRESS (confirmed)</w:t>
            </w:r>
          </w:p>
        </w:tc>
        <w:tc>
          <w:tcPr>
            <w:tcW w:type="dxa" w:w="2880"/>
          </w:tcPr>
          <w:p>
            <w:r>
              <w:rPr>
                <w:sz w:val="20"/>
              </w:rPr>
              <w:t>20-30% if rechallenged</w:t>
            </w:r>
          </w:p>
        </w:tc>
        <w:tc>
          <w:tcPr>
            <w:tcW w:type="dxa" w:w="2880"/>
          </w:tcPr>
          <w:p>
            <w:r>
              <w:rPr>
                <w:sz w:val="20"/>
              </w:rPr>
              <w:t>Absolute contraindication</w:t>
            </w:r>
          </w:p>
        </w:tc>
      </w:tr>
      <w:tr>
        <w:tc>
          <w:tcPr>
            <w:tcW w:type="dxa" w:w="2880"/>
          </w:tcPr>
          <w:p>
            <w:r>
              <w:rPr>
                <w:sz w:val="20"/>
              </w:rPr>
              <w:t>Abacavir hypersensitivity</w:t>
            </w:r>
          </w:p>
        </w:tc>
        <w:tc>
          <w:tcPr>
            <w:tcW w:type="dxa" w:w="2880"/>
          </w:tcPr>
          <w:p>
            <w:r>
              <w:rPr>
                <w:sz w:val="20"/>
              </w:rPr>
              <w:t>Near 100% severe reaction on rechallenge</w:t>
            </w:r>
          </w:p>
        </w:tc>
        <w:tc>
          <w:tcPr>
            <w:tcW w:type="dxa" w:w="2880"/>
          </w:tcPr>
          <w:p>
            <w:r>
              <w:rPr>
                <w:sz w:val="20"/>
              </w:rPr>
              <w:t>Never rechallenge; FDA black box warning</w:t>
            </w:r>
          </w:p>
        </w:tc>
      </w:tr>
    </w:tbl>
    <w:p>
      <w:pPr>
        <w:pStyle w:val="Heading2"/>
      </w:pPr>
      <w:r>
        <w:t>7. Population Disparities in Pharmacogenomics</w:t>
      </w:r>
    </w:p>
    <w:p>
      <w:pPr>
        <w:pStyle w:val="Heading3"/>
      </w:pPr>
      <w:r>
        <w:t>The Equity Challenge</w:t>
      </w:r>
    </w:p>
    <w:p>
      <w:r>
        <w:t>Most pharmacogenomic research and guideline development has been conducted in populations of European ancestry. This creates systematic disparities:</w:t>
      </w:r>
    </w:p>
    <w:p>
      <w:pPr>
        <w:pStyle w:val="ListNumber"/>
      </w:pPr>
      <w:r>
        <w:t>Allele frequency databases are most complete for European populations. Rare alleles in African, Asian, and Indigenous populations may be underrepresented.</w:t>
      </w:r>
    </w:p>
    <w:p>
      <w:pPr>
        <w:pStyle w:val="ListNumber"/>
      </w:pPr>
      <w:r>
        <w:t>Star allele definitions may miss population-specific variants. CYP2D629 and 17 (common in African populations) were characterized later than 4 and 5 (common in Europeans).</w:t>
      </w:r>
    </w:p>
    <w:p>
      <w:pPr>
        <w:pStyle w:val="ListNumber"/>
      </w:pPr>
      <w:r>
        <w:t>Dosing algorithms may perform differently across populations. The IWPC warfarin algorithm includes a race variable, but this is a crude proxy for genetic ancestry.</w:t>
      </w:r>
    </w:p>
    <w:p>
      <w:pPr>
        <w:pStyle w:val="ListNumber"/>
      </w:pPr>
      <w:r>
        <w:t>Pre-emptive testing panels may not include all clinically relevant alleles for non-European populations.</w:t>
      </w:r>
    </w:p>
    <w:p>
      <w:pPr>
        <w:pStyle w:val="ListNumber"/>
      </w:pPr>
      <w:r>
        <w:t>Reference genome bias: The *1 (reference) allele is defined by the human reference genome, which is predominantly of European ancestry. Novel alleles in other populations may be classified as "unknown" rather than receiving proper star allele designation.</w:t>
      </w:r>
    </w:p>
    <w:p>
      <w:pPr>
        <w:pStyle w:val="Heading3"/>
      </w:pPr>
      <w:r>
        <w:t>Comprehensive Population Allele Frequency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Gene</w:t>
            </w:r>
          </w:p>
        </w:tc>
        <w:tc>
          <w:tcPr>
            <w:tcW w:type="dxa" w:w="1080"/>
          </w:tcPr>
          <w:p>
            <w:r>
              <w:rPr>
                <w:b/>
                <w:sz w:val="20"/>
              </w:rPr>
              <w:t>Allele</w:t>
            </w:r>
          </w:p>
        </w:tc>
        <w:tc>
          <w:tcPr>
            <w:tcW w:type="dxa" w:w="1080"/>
          </w:tcPr>
          <w:p>
            <w:r>
              <w:rPr>
                <w:b/>
                <w:sz w:val="20"/>
              </w:rPr>
              <w:t>Function</w:t>
            </w:r>
          </w:p>
        </w:tc>
        <w:tc>
          <w:tcPr>
            <w:tcW w:type="dxa" w:w="1080"/>
          </w:tcPr>
          <w:p>
            <w:r>
              <w:rPr>
                <w:b/>
                <w:sz w:val="20"/>
              </w:rPr>
              <w:t>European</w:t>
            </w:r>
          </w:p>
        </w:tc>
        <w:tc>
          <w:tcPr>
            <w:tcW w:type="dxa" w:w="1080"/>
          </w:tcPr>
          <w:p>
            <w:r>
              <w:rPr>
                <w:b/>
                <w:sz w:val="20"/>
              </w:rPr>
              <w:t>East Asian</w:t>
            </w:r>
          </w:p>
        </w:tc>
        <w:tc>
          <w:tcPr>
            <w:tcW w:type="dxa" w:w="1080"/>
          </w:tcPr>
          <w:p>
            <w:r>
              <w:rPr>
                <w:b/>
                <w:sz w:val="20"/>
              </w:rPr>
              <w:t>African</w:t>
            </w:r>
          </w:p>
        </w:tc>
        <w:tc>
          <w:tcPr>
            <w:tcW w:type="dxa" w:w="1080"/>
          </w:tcPr>
          <w:p>
            <w:r>
              <w:rPr>
                <w:b/>
                <w:sz w:val="20"/>
              </w:rPr>
              <w:t>South Asian</w:t>
            </w:r>
          </w:p>
        </w:tc>
        <w:tc>
          <w:tcPr>
            <w:tcW w:type="dxa" w:w="1080"/>
          </w:tcPr>
          <w:p>
            <w:r>
              <w:rPr>
                <w:b/>
                <w:sz w:val="20"/>
              </w:rPr>
              <w:t>Hispanic/Latino</w:t>
            </w:r>
          </w:p>
        </w:tc>
      </w:tr>
      <w:tr>
        <w:tc>
          <w:tcPr>
            <w:tcW w:type="dxa" w:w="1080"/>
          </w:tcPr>
          <w:p>
            <w:r>
              <w:rPr>
                <w:sz w:val="20"/>
              </w:rPr>
              <w:t>CYP2D6</w:t>
            </w:r>
          </w:p>
        </w:tc>
        <w:tc>
          <w:tcPr>
            <w:tcW w:type="dxa" w:w="1080"/>
          </w:tcPr>
          <w:p>
            <w:r>
              <w:rPr>
                <w:sz w:val="20"/>
              </w:rPr>
              <w:t>*1</w:t>
            </w:r>
          </w:p>
        </w:tc>
        <w:tc>
          <w:tcPr>
            <w:tcW w:type="dxa" w:w="1080"/>
          </w:tcPr>
          <w:p>
            <w:r>
              <w:rPr>
                <w:sz w:val="20"/>
              </w:rPr>
              <w:t>Normal</w:t>
            </w:r>
          </w:p>
        </w:tc>
        <w:tc>
          <w:tcPr>
            <w:tcW w:type="dxa" w:w="1080"/>
          </w:tcPr>
          <w:p>
            <w:r>
              <w:rPr>
                <w:sz w:val="20"/>
              </w:rPr>
              <w:t>35-40%</w:t>
            </w:r>
          </w:p>
        </w:tc>
        <w:tc>
          <w:tcPr>
            <w:tcW w:type="dxa" w:w="1080"/>
          </w:tcPr>
          <w:p>
            <w:r>
              <w:rPr>
                <w:sz w:val="20"/>
              </w:rPr>
              <w:t>25-30%</w:t>
            </w:r>
          </w:p>
        </w:tc>
        <w:tc>
          <w:tcPr>
            <w:tcW w:type="dxa" w:w="1080"/>
          </w:tcPr>
          <w:p>
            <w:r>
              <w:rPr>
                <w:sz w:val="20"/>
              </w:rPr>
              <w:t>30-40%</w:t>
            </w:r>
          </w:p>
        </w:tc>
        <w:tc>
          <w:tcPr>
            <w:tcW w:type="dxa" w:w="1080"/>
          </w:tcPr>
          <w:p>
            <w:r>
              <w:rPr>
                <w:sz w:val="20"/>
              </w:rPr>
              <w:t>35-45%</w:t>
            </w:r>
          </w:p>
        </w:tc>
        <w:tc>
          <w:tcPr>
            <w:tcW w:type="dxa" w:w="1080"/>
          </w:tcPr>
          <w:p>
            <w:r>
              <w:rPr>
                <w:sz w:val="20"/>
              </w:rPr>
              <w:t>35-40%</w:t>
            </w:r>
          </w:p>
        </w:tc>
      </w:tr>
      <w:tr>
        <w:tc>
          <w:tcPr>
            <w:tcW w:type="dxa" w:w="1080"/>
          </w:tcPr>
          <w:p>
            <w:r>
              <w:rPr>
                <w:sz w:val="20"/>
              </w:rPr>
              <w:t>CYP2D6</w:t>
            </w:r>
          </w:p>
        </w:tc>
        <w:tc>
          <w:tcPr>
            <w:tcW w:type="dxa" w:w="1080"/>
          </w:tcPr>
          <w:p>
            <w:r>
              <w:rPr>
                <w:sz w:val="20"/>
              </w:rPr>
              <w:t>*2</w:t>
            </w:r>
          </w:p>
        </w:tc>
        <w:tc>
          <w:tcPr>
            <w:tcW w:type="dxa" w:w="1080"/>
          </w:tcPr>
          <w:p>
            <w:r>
              <w:rPr>
                <w:sz w:val="20"/>
              </w:rPr>
              <w:t>Normal</w:t>
            </w:r>
          </w:p>
        </w:tc>
        <w:tc>
          <w:tcPr>
            <w:tcW w:type="dxa" w:w="1080"/>
          </w:tcPr>
          <w:p>
            <w:r>
              <w:rPr>
                <w:sz w:val="20"/>
              </w:rPr>
              <w:t>25-30%</w:t>
            </w:r>
          </w:p>
        </w:tc>
        <w:tc>
          <w:tcPr>
            <w:tcW w:type="dxa" w:w="1080"/>
          </w:tcPr>
          <w:p>
            <w:r>
              <w:rPr>
                <w:sz w:val="20"/>
              </w:rPr>
              <w:t>10-15%</w:t>
            </w:r>
          </w:p>
        </w:tc>
        <w:tc>
          <w:tcPr>
            <w:tcW w:type="dxa" w:w="1080"/>
          </w:tcPr>
          <w:p>
            <w:r>
              <w:rPr>
                <w:sz w:val="20"/>
              </w:rPr>
              <w:t>15-20%</w:t>
            </w:r>
          </w:p>
        </w:tc>
        <w:tc>
          <w:tcPr>
            <w:tcW w:type="dxa" w:w="1080"/>
          </w:tcPr>
          <w:p>
            <w:r>
              <w:rPr>
                <w:sz w:val="20"/>
              </w:rPr>
              <w:t>20-25%</w:t>
            </w:r>
          </w:p>
        </w:tc>
        <w:tc>
          <w:tcPr>
            <w:tcW w:type="dxa" w:w="1080"/>
          </w:tcPr>
          <w:p>
            <w:r>
              <w:rPr>
                <w:sz w:val="20"/>
              </w:rPr>
              <w:t>15-25%</w:t>
            </w:r>
          </w:p>
        </w:tc>
      </w:tr>
      <w:tr>
        <w:tc>
          <w:tcPr>
            <w:tcW w:type="dxa" w:w="1080"/>
          </w:tcPr>
          <w:p>
            <w:r>
              <w:rPr>
                <w:sz w:val="20"/>
              </w:rPr>
              <w:t>CYP2D6</w:t>
            </w:r>
          </w:p>
        </w:tc>
        <w:tc>
          <w:tcPr>
            <w:tcW w:type="dxa" w:w="1080"/>
          </w:tcPr>
          <w:p>
            <w:r>
              <w:rPr>
                <w:sz w:val="20"/>
              </w:rPr>
              <w:t>*3</w:t>
            </w:r>
          </w:p>
        </w:tc>
        <w:tc>
          <w:tcPr>
            <w:tcW w:type="dxa" w:w="1080"/>
          </w:tcPr>
          <w:p>
            <w:r>
              <w:rPr>
                <w:sz w:val="20"/>
              </w:rPr>
              <w:t>No function</w:t>
            </w:r>
          </w:p>
        </w:tc>
        <w:tc>
          <w:tcPr>
            <w:tcW w:type="dxa" w:w="1080"/>
          </w:tcPr>
          <w:p>
            <w:r>
              <w:rPr>
                <w:sz w:val="20"/>
              </w:rPr>
              <w:t>1-2%</w:t>
            </w:r>
          </w:p>
        </w:tc>
        <w:tc>
          <w:tcPr>
            <w:tcW w:type="dxa" w:w="1080"/>
          </w:tcPr>
          <w:p>
            <w:r>
              <w:rPr>
                <w:sz w:val="20"/>
              </w:rPr>
              <w:t>&lt;1%</w:t>
            </w:r>
          </w:p>
        </w:tc>
        <w:tc>
          <w:tcPr>
            <w:tcW w:type="dxa" w:w="1080"/>
          </w:tcPr>
          <w:p>
            <w:r>
              <w:rPr>
                <w:sz w:val="20"/>
              </w:rPr>
              <w:t>&lt;1%</w:t>
            </w:r>
          </w:p>
        </w:tc>
        <w:tc>
          <w:tcPr>
            <w:tcW w:type="dxa" w:w="1080"/>
          </w:tcPr>
          <w:p>
            <w:r>
              <w:rPr>
                <w:sz w:val="20"/>
              </w:rPr>
              <w:t>&lt;1%</w:t>
            </w:r>
          </w:p>
        </w:tc>
        <w:tc>
          <w:tcPr>
            <w:tcW w:type="dxa" w:w="1080"/>
          </w:tcPr>
          <w:p>
            <w:r>
              <w:rPr>
                <w:sz w:val="20"/>
              </w:rPr>
              <w:t>&lt;1%</w:t>
            </w:r>
          </w:p>
        </w:tc>
      </w:tr>
      <w:tr>
        <w:tc>
          <w:tcPr>
            <w:tcW w:type="dxa" w:w="1080"/>
          </w:tcPr>
          <w:p>
            <w:r>
              <w:rPr>
                <w:sz w:val="20"/>
              </w:rPr>
              <w:t>CYP2D6</w:t>
            </w:r>
          </w:p>
        </w:tc>
        <w:tc>
          <w:tcPr>
            <w:tcW w:type="dxa" w:w="1080"/>
          </w:tcPr>
          <w:p>
            <w:r>
              <w:rPr>
                <w:sz w:val="20"/>
              </w:rPr>
              <w:t>*4</w:t>
            </w:r>
          </w:p>
        </w:tc>
        <w:tc>
          <w:tcPr>
            <w:tcW w:type="dxa" w:w="1080"/>
          </w:tcPr>
          <w:p>
            <w:r>
              <w:rPr>
                <w:sz w:val="20"/>
              </w:rPr>
              <w:t>No function</w:t>
            </w:r>
          </w:p>
        </w:tc>
        <w:tc>
          <w:tcPr>
            <w:tcW w:type="dxa" w:w="1080"/>
          </w:tcPr>
          <w:p>
            <w:r>
              <w:rPr>
                <w:sz w:val="20"/>
              </w:rPr>
              <w:t>20-25%</w:t>
            </w:r>
          </w:p>
        </w:tc>
        <w:tc>
          <w:tcPr>
            <w:tcW w:type="dxa" w:w="1080"/>
          </w:tcPr>
          <w:p>
            <w:r>
              <w:rPr>
                <w:sz w:val="20"/>
              </w:rPr>
              <w:t>1-2%</w:t>
            </w:r>
          </w:p>
        </w:tc>
        <w:tc>
          <w:tcPr>
            <w:tcW w:type="dxa" w:w="1080"/>
          </w:tcPr>
          <w:p>
            <w:r>
              <w:rPr>
                <w:sz w:val="20"/>
              </w:rPr>
              <w:t>2-5%</w:t>
            </w:r>
          </w:p>
        </w:tc>
        <w:tc>
          <w:tcPr>
            <w:tcW w:type="dxa" w:w="1080"/>
          </w:tcPr>
          <w:p>
            <w:r>
              <w:rPr>
                <w:sz w:val="20"/>
              </w:rPr>
              <w:t>5-10%</w:t>
            </w:r>
          </w:p>
        </w:tc>
        <w:tc>
          <w:tcPr>
            <w:tcW w:type="dxa" w:w="1080"/>
          </w:tcPr>
          <w:p>
            <w:r>
              <w:rPr>
                <w:sz w:val="20"/>
              </w:rPr>
              <w:t>8-12%</w:t>
            </w:r>
          </w:p>
        </w:tc>
      </w:tr>
      <w:tr>
        <w:tc>
          <w:tcPr>
            <w:tcW w:type="dxa" w:w="1080"/>
          </w:tcPr>
          <w:p>
            <w:r>
              <w:rPr>
                <w:sz w:val="20"/>
              </w:rPr>
              <w:t>CYP2D6</w:t>
            </w:r>
          </w:p>
        </w:tc>
        <w:tc>
          <w:tcPr>
            <w:tcW w:type="dxa" w:w="1080"/>
          </w:tcPr>
          <w:p>
            <w:r>
              <w:rPr>
                <w:sz w:val="20"/>
              </w:rPr>
              <w:t>*5 (deletion)</w:t>
            </w:r>
          </w:p>
        </w:tc>
        <w:tc>
          <w:tcPr>
            <w:tcW w:type="dxa" w:w="1080"/>
          </w:tcPr>
          <w:p>
            <w:r>
              <w:rPr>
                <w:sz w:val="20"/>
              </w:rPr>
              <w:t>No function</w:t>
            </w:r>
          </w:p>
        </w:tc>
        <w:tc>
          <w:tcPr>
            <w:tcW w:type="dxa" w:w="1080"/>
          </w:tcPr>
          <w:p>
            <w:r>
              <w:rPr>
                <w:sz w:val="20"/>
              </w:rPr>
              <w:t>3-5%</w:t>
            </w:r>
          </w:p>
        </w:tc>
        <w:tc>
          <w:tcPr>
            <w:tcW w:type="dxa" w:w="1080"/>
          </w:tcPr>
          <w:p>
            <w:r>
              <w:rPr>
                <w:sz w:val="20"/>
              </w:rPr>
              <w:t>5-7%</w:t>
            </w:r>
          </w:p>
        </w:tc>
        <w:tc>
          <w:tcPr>
            <w:tcW w:type="dxa" w:w="1080"/>
          </w:tcPr>
          <w:p>
            <w:r>
              <w:rPr>
                <w:sz w:val="20"/>
              </w:rPr>
              <w:t>4-7%</w:t>
            </w:r>
          </w:p>
        </w:tc>
        <w:tc>
          <w:tcPr>
            <w:tcW w:type="dxa" w:w="1080"/>
          </w:tcPr>
          <w:p>
            <w:r>
              <w:rPr>
                <w:sz w:val="20"/>
              </w:rPr>
              <w:t>3-5%</w:t>
            </w:r>
          </w:p>
        </w:tc>
        <w:tc>
          <w:tcPr>
            <w:tcW w:type="dxa" w:w="1080"/>
          </w:tcPr>
          <w:p>
            <w:r>
              <w:rPr>
                <w:sz w:val="20"/>
              </w:rPr>
              <w:t>3-5%</w:t>
            </w:r>
          </w:p>
        </w:tc>
      </w:tr>
      <w:tr>
        <w:tc>
          <w:tcPr>
            <w:tcW w:type="dxa" w:w="1080"/>
          </w:tcPr>
          <w:p>
            <w:r>
              <w:rPr>
                <w:sz w:val="20"/>
              </w:rPr>
              <w:t>CYP2D6</w:t>
            </w:r>
          </w:p>
        </w:tc>
        <w:tc>
          <w:tcPr>
            <w:tcW w:type="dxa" w:w="1080"/>
          </w:tcPr>
          <w:p>
            <w:r>
              <w:rPr>
                <w:sz w:val="20"/>
              </w:rPr>
              <w:t>*6</w:t>
            </w:r>
          </w:p>
        </w:tc>
        <w:tc>
          <w:tcPr>
            <w:tcW w:type="dxa" w:w="1080"/>
          </w:tcPr>
          <w:p>
            <w:r>
              <w:rPr>
                <w:sz w:val="20"/>
              </w:rPr>
              <w:t>No function</w:t>
            </w:r>
          </w:p>
        </w:tc>
        <w:tc>
          <w:tcPr>
            <w:tcW w:type="dxa" w:w="1080"/>
          </w:tcPr>
          <w:p>
            <w:r>
              <w:rPr>
                <w:sz w:val="20"/>
              </w:rPr>
              <w:t>1-2%</w:t>
            </w:r>
          </w:p>
        </w:tc>
        <w:tc>
          <w:tcPr>
            <w:tcW w:type="dxa" w:w="1080"/>
          </w:tcPr>
          <w:p>
            <w:r>
              <w:rPr>
                <w:sz w:val="20"/>
              </w:rPr>
              <w:t>&lt;1%</w:t>
            </w:r>
          </w:p>
        </w:tc>
        <w:tc>
          <w:tcPr>
            <w:tcW w:type="dxa" w:w="1080"/>
          </w:tcPr>
          <w:p>
            <w:r>
              <w:rPr>
                <w:sz w:val="20"/>
              </w:rPr>
              <w:t>&lt;1%</w:t>
            </w:r>
          </w:p>
        </w:tc>
        <w:tc>
          <w:tcPr>
            <w:tcW w:type="dxa" w:w="1080"/>
          </w:tcPr>
          <w:p>
            <w:r>
              <w:rPr>
                <w:sz w:val="20"/>
              </w:rPr>
              <w:t>&lt;1%</w:t>
            </w:r>
          </w:p>
        </w:tc>
        <w:tc>
          <w:tcPr>
            <w:tcW w:type="dxa" w:w="1080"/>
          </w:tcPr>
          <w:p>
            <w:r>
              <w:rPr>
                <w:sz w:val="20"/>
              </w:rPr>
              <w:t>&lt;1%</w:t>
            </w:r>
          </w:p>
        </w:tc>
      </w:tr>
      <w:tr>
        <w:tc>
          <w:tcPr>
            <w:tcW w:type="dxa" w:w="1080"/>
          </w:tcPr>
          <w:p>
            <w:r>
              <w:rPr>
                <w:sz w:val="20"/>
              </w:rPr>
              <w:t>CYP2D6</w:t>
            </w:r>
          </w:p>
        </w:tc>
        <w:tc>
          <w:tcPr>
            <w:tcW w:type="dxa" w:w="1080"/>
          </w:tcPr>
          <w:p>
            <w:r>
              <w:rPr>
                <w:sz w:val="20"/>
              </w:rPr>
              <w:t>*10</w:t>
            </w:r>
          </w:p>
        </w:tc>
        <w:tc>
          <w:tcPr>
            <w:tcW w:type="dxa" w:w="1080"/>
          </w:tcPr>
          <w:p>
            <w:r>
              <w:rPr>
                <w:sz w:val="20"/>
              </w:rPr>
              <w:t>Decreased</w:t>
            </w:r>
          </w:p>
        </w:tc>
        <w:tc>
          <w:tcPr>
            <w:tcW w:type="dxa" w:w="1080"/>
          </w:tcPr>
          <w:p>
            <w:r>
              <w:rPr>
                <w:sz w:val="20"/>
              </w:rPr>
              <w:t>1-2%</w:t>
            </w:r>
          </w:p>
        </w:tc>
        <w:tc>
          <w:tcPr>
            <w:tcW w:type="dxa" w:w="1080"/>
          </w:tcPr>
          <w:p>
            <w:r>
              <w:rPr>
                <w:sz w:val="20"/>
              </w:rPr>
              <w:t>35-45%</w:t>
            </w:r>
          </w:p>
        </w:tc>
        <w:tc>
          <w:tcPr>
            <w:tcW w:type="dxa" w:w="1080"/>
          </w:tcPr>
          <w:p>
            <w:r>
              <w:rPr>
                <w:sz w:val="20"/>
              </w:rPr>
              <w:t>3-5%</w:t>
            </w:r>
          </w:p>
        </w:tc>
        <w:tc>
          <w:tcPr>
            <w:tcW w:type="dxa" w:w="1080"/>
          </w:tcPr>
          <w:p>
            <w:r>
              <w:rPr>
                <w:sz w:val="20"/>
              </w:rPr>
              <w:t>5-10%</w:t>
            </w:r>
          </w:p>
        </w:tc>
        <w:tc>
          <w:tcPr>
            <w:tcW w:type="dxa" w:w="1080"/>
          </w:tcPr>
          <w:p>
            <w:r>
              <w:rPr>
                <w:sz w:val="20"/>
              </w:rPr>
              <w:t>5-8%</w:t>
            </w:r>
          </w:p>
        </w:tc>
      </w:tr>
      <w:tr>
        <w:tc>
          <w:tcPr>
            <w:tcW w:type="dxa" w:w="1080"/>
          </w:tcPr>
          <w:p>
            <w:r>
              <w:rPr>
                <w:sz w:val="20"/>
              </w:rPr>
              <w:t>CYP2D6</w:t>
            </w:r>
          </w:p>
        </w:tc>
        <w:tc>
          <w:tcPr>
            <w:tcW w:type="dxa" w:w="1080"/>
          </w:tcPr>
          <w:p>
            <w:r>
              <w:rPr>
                <w:sz w:val="20"/>
              </w:rPr>
              <w:t>*17</w:t>
            </w:r>
          </w:p>
        </w:tc>
        <w:tc>
          <w:tcPr>
            <w:tcW w:type="dxa" w:w="1080"/>
          </w:tcPr>
          <w:p>
            <w:r>
              <w:rPr>
                <w:sz w:val="20"/>
              </w:rPr>
              <w:t>Decreased</w:t>
            </w:r>
          </w:p>
        </w:tc>
        <w:tc>
          <w:tcPr>
            <w:tcW w:type="dxa" w:w="1080"/>
          </w:tcPr>
          <w:p>
            <w:r>
              <w:rPr>
                <w:sz w:val="20"/>
              </w:rPr>
              <w:t>&lt;1%</w:t>
            </w:r>
          </w:p>
        </w:tc>
        <w:tc>
          <w:tcPr>
            <w:tcW w:type="dxa" w:w="1080"/>
          </w:tcPr>
          <w:p>
            <w:r>
              <w:rPr>
                <w:sz w:val="20"/>
              </w:rPr>
              <w:t>&lt;1%</w:t>
            </w:r>
          </w:p>
        </w:tc>
        <w:tc>
          <w:tcPr>
            <w:tcW w:type="dxa" w:w="1080"/>
          </w:tcPr>
          <w:p>
            <w:r>
              <w:rPr>
                <w:sz w:val="20"/>
              </w:rPr>
              <w:t>20-30%</w:t>
            </w:r>
          </w:p>
        </w:tc>
        <w:tc>
          <w:tcPr>
            <w:tcW w:type="dxa" w:w="1080"/>
          </w:tcPr>
          <w:p>
            <w:r>
              <w:rPr>
                <w:sz w:val="20"/>
              </w:rPr>
              <w:t>&lt;1%</w:t>
            </w:r>
          </w:p>
        </w:tc>
        <w:tc>
          <w:tcPr>
            <w:tcW w:type="dxa" w:w="1080"/>
          </w:tcPr>
          <w:p>
            <w:r>
              <w:rPr>
                <w:sz w:val="20"/>
              </w:rPr>
              <w:t>1-3%</w:t>
            </w:r>
          </w:p>
        </w:tc>
      </w:tr>
      <w:tr>
        <w:tc>
          <w:tcPr>
            <w:tcW w:type="dxa" w:w="1080"/>
          </w:tcPr>
          <w:p>
            <w:r>
              <w:rPr>
                <w:sz w:val="20"/>
              </w:rPr>
              <w:t>CYP2D6</w:t>
            </w:r>
          </w:p>
        </w:tc>
        <w:tc>
          <w:tcPr>
            <w:tcW w:type="dxa" w:w="1080"/>
          </w:tcPr>
          <w:p>
            <w:r>
              <w:rPr>
                <w:sz w:val="20"/>
              </w:rPr>
              <w:t>*29</w:t>
            </w:r>
          </w:p>
        </w:tc>
        <w:tc>
          <w:tcPr>
            <w:tcW w:type="dxa" w:w="1080"/>
          </w:tcPr>
          <w:p>
            <w:r>
              <w:rPr>
                <w:sz w:val="20"/>
              </w:rPr>
              <w:t>Decreased</w:t>
            </w:r>
          </w:p>
        </w:tc>
        <w:tc>
          <w:tcPr>
            <w:tcW w:type="dxa" w:w="1080"/>
          </w:tcPr>
          <w:p>
            <w:r>
              <w:rPr>
                <w:sz w:val="20"/>
              </w:rPr>
              <w:t>&lt;1%</w:t>
            </w:r>
          </w:p>
        </w:tc>
        <w:tc>
          <w:tcPr>
            <w:tcW w:type="dxa" w:w="1080"/>
          </w:tcPr>
          <w:p>
            <w:r>
              <w:rPr>
                <w:sz w:val="20"/>
              </w:rPr>
              <w:t>&lt;1%</w:t>
            </w:r>
          </w:p>
        </w:tc>
        <w:tc>
          <w:tcPr>
            <w:tcW w:type="dxa" w:w="1080"/>
          </w:tcPr>
          <w:p>
            <w:r>
              <w:rPr>
                <w:sz w:val="20"/>
              </w:rPr>
              <w:t>10-15%</w:t>
            </w:r>
          </w:p>
        </w:tc>
        <w:tc>
          <w:tcPr>
            <w:tcW w:type="dxa" w:w="1080"/>
          </w:tcPr>
          <w:p>
            <w:r>
              <w:rPr>
                <w:sz w:val="20"/>
              </w:rPr>
              <w:t>&lt;1%</w:t>
            </w:r>
          </w:p>
        </w:tc>
        <w:tc>
          <w:tcPr>
            <w:tcW w:type="dxa" w:w="1080"/>
          </w:tcPr>
          <w:p>
            <w:r>
              <w:rPr>
                <w:sz w:val="20"/>
              </w:rPr>
              <w:t>1-2%</w:t>
            </w:r>
          </w:p>
        </w:tc>
      </w:tr>
      <w:tr>
        <w:tc>
          <w:tcPr>
            <w:tcW w:type="dxa" w:w="1080"/>
          </w:tcPr>
          <w:p>
            <w:r>
              <w:rPr>
                <w:sz w:val="20"/>
              </w:rPr>
              <w:t>CYP2D6</w:t>
            </w:r>
          </w:p>
        </w:tc>
        <w:tc>
          <w:tcPr>
            <w:tcW w:type="dxa" w:w="1080"/>
          </w:tcPr>
          <w:p>
            <w:r>
              <w:rPr>
                <w:sz w:val="20"/>
              </w:rPr>
              <w:t>*41</w:t>
            </w:r>
          </w:p>
        </w:tc>
        <w:tc>
          <w:tcPr>
            <w:tcW w:type="dxa" w:w="1080"/>
          </w:tcPr>
          <w:p>
            <w:r>
              <w:rPr>
                <w:sz w:val="20"/>
              </w:rPr>
              <w:t>Decreased</w:t>
            </w:r>
          </w:p>
        </w:tc>
        <w:tc>
          <w:tcPr>
            <w:tcW w:type="dxa" w:w="1080"/>
          </w:tcPr>
          <w:p>
            <w:r>
              <w:rPr>
                <w:sz w:val="20"/>
              </w:rPr>
              <w:t>7-10%</w:t>
            </w:r>
          </w:p>
        </w:tc>
        <w:tc>
          <w:tcPr>
            <w:tcW w:type="dxa" w:w="1080"/>
          </w:tcPr>
          <w:p>
            <w:r>
              <w:rPr>
                <w:sz w:val="20"/>
              </w:rPr>
              <w:t>2-5%</w:t>
            </w:r>
          </w:p>
        </w:tc>
        <w:tc>
          <w:tcPr>
            <w:tcW w:type="dxa" w:w="1080"/>
          </w:tcPr>
          <w:p>
            <w:r>
              <w:rPr>
                <w:sz w:val="20"/>
              </w:rPr>
              <w:t>8-12%</w:t>
            </w:r>
          </w:p>
        </w:tc>
        <w:tc>
          <w:tcPr>
            <w:tcW w:type="dxa" w:w="1080"/>
          </w:tcPr>
          <w:p>
            <w:r>
              <w:rPr>
                <w:sz w:val="20"/>
              </w:rPr>
              <w:t>10-18%</w:t>
            </w:r>
          </w:p>
        </w:tc>
        <w:tc>
          <w:tcPr>
            <w:tcW w:type="dxa" w:w="1080"/>
          </w:tcPr>
          <w:p>
            <w:r>
              <w:rPr>
                <w:sz w:val="20"/>
              </w:rPr>
              <w:t>5-10%</w:t>
            </w:r>
          </w:p>
        </w:tc>
      </w:tr>
      <w:tr>
        <w:tc>
          <w:tcPr>
            <w:tcW w:type="dxa" w:w="1080"/>
          </w:tcPr>
          <w:p>
            <w:r>
              <w:rPr>
                <w:sz w:val="20"/>
              </w:rPr>
              <w:t>CYP2D6</w:t>
            </w:r>
          </w:p>
        </w:tc>
        <w:tc>
          <w:tcPr>
            <w:tcW w:type="dxa" w:w="1080"/>
          </w:tcPr>
          <w:p>
            <w:r>
              <w:rPr>
                <w:sz w:val="20"/>
              </w:rPr>
              <w:t>*1xN (dup)</w:t>
            </w:r>
          </w:p>
        </w:tc>
        <w:tc>
          <w:tcPr>
            <w:tcW w:type="dxa" w:w="1080"/>
          </w:tcPr>
          <w:p>
            <w:r>
              <w:rPr>
                <w:sz w:val="20"/>
              </w:rPr>
              <w:t>Increased</w:t>
            </w:r>
          </w:p>
        </w:tc>
        <w:tc>
          <w:tcPr>
            <w:tcW w:type="dxa" w:w="1080"/>
          </w:tcPr>
          <w:p>
            <w:r>
              <w:rPr>
                <w:sz w:val="20"/>
              </w:rPr>
              <w:t>1-2%</w:t>
            </w:r>
          </w:p>
        </w:tc>
        <w:tc>
          <w:tcPr>
            <w:tcW w:type="dxa" w:w="1080"/>
          </w:tcPr>
          <w:p>
            <w:r>
              <w:rPr>
                <w:sz w:val="20"/>
              </w:rPr>
              <w:t>&lt;1%</w:t>
            </w:r>
          </w:p>
        </w:tc>
        <w:tc>
          <w:tcPr>
            <w:tcW w:type="dxa" w:w="1080"/>
          </w:tcPr>
          <w:p>
            <w:r>
              <w:rPr>
                <w:sz w:val="20"/>
              </w:rPr>
              <w:t>2-5%</w:t>
            </w:r>
          </w:p>
        </w:tc>
        <w:tc>
          <w:tcPr>
            <w:tcW w:type="dxa" w:w="1080"/>
          </w:tcPr>
          <w:p>
            <w:r>
              <w:rPr>
                <w:sz w:val="20"/>
              </w:rPr>
              <w:t>1-3%</w:t>
            </w:r>
          </w:p>
        </w:tc>
        <w:tc>
          <w:tcPr>
            <w:tcW w:type="dxa" w:w="1080"/>
          </w:tcPr>
          <w:p>
            <w:r>
              <w:rPr>
                <w:sz w:val="20"/>
              </w:rPr>
              <w:t>1-3%</w:t>
            </w:r>
          </w:p>
        </w:tc>
      </w:tr>
      <w:tr>
        <w:tc>
          <w:tcPr>
            <w:tcW w:type="dxa" w:w="1080"/>
          </w:tcPr>
          <w:p>
            <w:r>
              <w:rPr>
                <w:sz w:val="20"/>
              </w:rPr>
              <w:t>CYP2C19</w:t>
            </w:r>
          </w:p>
        </w:tc>
        <w:tc>
          <w:tcPr>
            <w:tcW w:type="dxa" w:w="1080"/>
          </w:tcPr>
          <w:p>
            <w:r>
              <w:rPr>
                <w:sz w:val="20"/>
              </w:rPr>
              <w:t>*1</w:t>
            </w:r>
          </w:p>
        </w:tc>
        <w:tc>
          <w:tcPr>
            <w:tcW w:type="dxa" w:w="1080"/>
          </w:tcPr>
          <w:p>
            <w:r>
              <w:rPr>
                <w:sz w:val="20"/>
              </w:rPr>
              <w:t>Normal</w:t>
            </w:r>
          </w:p>
        </w:tc>
        <w:tc>
          <w:tcPr>
            <w:tcW w:type="dxa" w:w="1080"/>
          </w:tcPr>
          <w:p>
            <w:r>
              <w:rPr>
                <w:sz w:val="20"/>
              </w:rPr>
              <w:t>60-70%</w:t>
            </w:r>
          </w:p>
        </w:tc>
        <w:tc>
          <w:tcPr>
            <w:tcW w:type="dxa" w:w="1080"/>
          </w:tcPr>
          <w:p>
            <w:r>
              <w:rPr>
                <w:sz w:val="20"/>
              </w:rPr>
              <w:t>35-50%</w:t>
            </w:r>
          </w:p>
        </w:tc>
        <w:tc>
          <w:tcPr>
            <w:tcW w:type="dxa" w:w="1080"/>
          </w:tcPr>
          <w:p>
            <w:r>
              <w:rPr>
                <w:sz w:val="20"/>
              </w:rPr>
              <w:t>60-70%</w:t>
            </w:r>
          </w:p>
        </w:tc>
        <w:tc>
          <w:tcPr>
            <w:tcW w:type="dxa" w:w="1080"/>
          </w:tcPr>
          <w:p>
            <w:r>
              <w:rPr>
                <w:sz w:val="20"/>
              </w:rPr>
              <w:t>55-65%</w:t>
            </w:r>
          </w:p>
        </w:tc>
        <w:tc>
          <w:tcPr>
            <w:tcW w:type="dxa" w:w="1080"/>
          </w:tcPr>
          <w:p>
            <w:r>
              <w:rPr>
                <w:sz w:val="20"/>
              </w:rPr>
              <w:t>55-65%</w:t>
            </w:r>
          </w:p>
        </w:tc>
      </w:tr>
      <w:tr>
        <w:tc>
          <w:tcPr>
            <w:tcW w:type="dxa" w:w="1080"/>
          </w:tcPr>
          <w:p>
            <w:r>
              <w:rPr>
                <w:sz w:val="20"/>
              </w:rPr>
              <w:t>CYP2C19</w:t>
            </w:r>
          </w:p>
        </w:tc>
        <w:tc>
          <w:tcPr>
            <w:tcW w:type="dxa" w:w="1080"/>
          </w:tcPr>
          <w:p>
            <w:r>
              <w:rPr>
                <w:sz w:val="20"/>
              </w:rPr>
              <w:t>*2</w:t>
            </w:r>
          </w:p>
        </w:tc>
        <w:tc>
          <w:tcPr>
            <w:tcW w:type="dxa" w:w="1080"/>
          </w:tcPr>
          <w:p>
            <w:r>
              <w:rPr>
                <w:sz w:val="20"/>
              </w:rPr>
              <w:t>No function</w:t>
            </w:r>
          </w:p>
        </w:tc>
        <w:tc>
          <w:tcPr>
            <w:tcW w:type="dxa" w:w="1080"/>
          </w:tcPr>
          <w:p>
            <w:r>
              <w:rPr>
                <w:sz w:val="20"/>
              </w:rPr>
              <w:t>12-15%</w:t>
            </w:r>
          </w:p>
        </w:tc>
        <w:tc>
          <w:tcPr>
            <w:tcW w:type="dxa" w:w="1080"/>
          </w:tcPr>
          <w:p>
            <w:r>
              <w:rPr>
                <w:sz w:val="20"/>
              </w:rPr>
              <w:t>25-35%</w:t>
            </w:r>
          </w:p>
        </w:tc>
        <w:tc>
          <w:tcPr>
            <w:tcW w:type="dxa" w:w="1080"/>
          </w:tcPr>
          <w:p>
            <w:r>
              <w:rPr>
                <w:sz w:val="20"/>
              </w:rPr>
              <w:t>15-18%</w:t>
            </w:r>
          </w:p>
        </w:tc>
        <w:tc>
          <w:tcPr>
            <w:tcW w:type="dxa" w:w="1080"/>
          </w:tcPr>
          <w:p>
            <w:r>
              <w:rPr>
                <w:sz w:val="20"/>
              </w:rPr>
              <w:t>25-35%</w:t>
            </w:r>
          </w:p>
        </w:tc>
        <w:tc>
          <w:tcPr>
            <w:tcW w:type="dxa" w:w="1080"/>
          </w:tcPr>
          <w:p>
            <w:r>
              <w:rPr>
                <w:sz w:val="20"/>
              </w:rPr>
              <w:t>12-18%</w:t>
            </w:r>
          </w:p>
        </w:tc>
      </w:tr>
      <w:tr>
        <w:tc>
          <w:tcPr>
            <w:tcW w:type="dxa" w:w="1080"/>
          </w:tcPr>
          <w:p>
            <w:r>
              <w:rPr>
                <w:sz w:val="20"/>
              </w:rPr>
              <w:t>CYP2C19</w:t>
            </w:r>
          </w:p>
        </w:tc>
        <w:tc>
          <w:tcPr>
            <w:tcW w:type="dxa" w:w="1080"/>
          </w:tcPr>
          <w:p>
            <w:r>
              <w:rPr>
                <w:sz w:val="20"/>
              </w:rPr>
              <w:t>*3</w:t>
            </w:r>
          </w:p>
        </w:tc>
        <w:tc>
          <w:tcPr>
            <w:tcW w:type="dxa" w:w="1080"/>
          </w:tcPr>
          <w:p>
            <w:r>
              <w:rPr>
                <w:sz w:val="20"/>
              </w:rPr>
              <w:t>No function</w:t>
            </w:r>
          </w:p>
        </w:tc>
        <w:tc>
          <w:tcPr>
            <w:tcW w:type="dxa" w:w="1080"/>
          </w:tcPr>
          <w:p>
            <w:r>
              <w:rPr>
                <w:sz w:val="20"/>
              </w:rPr>
              <w:t>&lt;1%</w:t>
            </w:r>
          </w:p>
        </w:tc>
        <w:tc>
          <w:tcPr>
            <w:tcW w:type="dxa" w:w="1080"/>
          </w:tcPr>
          <w:p>
            <w:r>
              <w:rPr>
                <w:sz w:val="20"/>
              </w:rPr>
              <w:t>5-8%</w:t>
            </w:r>
          </w:p>
        </w:tc>
        <w:tc>
          <w:tcPr>
            <w:tcW w:type="dxa" w:w="1080"/>
          </w:tcPr>
          <w:p>
            <w:r>
              <w:rPr>
                <w:sz w:val="20"/>
              </w:rPr>
              <w:t>&lt;1%</w:t>
            </w:r>
          </w:p>
        </w:tc>
        <w:tc>
          <w:tcPr>
            <w:tcW w:type="dxa" w:w="1080"/>
          </w:tcPr>
          <w:p>
            <w:r>
              <w:rPr>
                <w:sz w:val="20"/>
              </w:rPr>
              <w:t>2-5%</w:t>
            </w:r>
          </w:p>
        </w:tc>
        <w:tc>
          <w:tcPr>
            <w:tcW w:type="dxa" w:w="1080"/>
          </w:tcPr>
          <w:p>
            <w:r>
              <w:rPr>
                <w:sz w:val="20"/>
              </w:rPr>
              <w:t>&lt;1%</w:t>
            </w:r>
          </w:p>
        </w:tc>
      </w:tr>
      <w:tr>
        <w:tc>
          <w:tcPr>
            <w:tcW w:type="dxa" w:w="1080"/>
          </w:tcPr>
          <w:p>
            <w:r>
              <w:rPr>
                <w:sz w:val="20"/>
              </w:rPr>
              <w:t>CYP2C19</w:t>
            </w:r>
          </w:p>
        </w:tc>
        <w:tc>
          <w:tcPr>
            <w:tcW w:type="dxa" w:w="1080"/>
          </w:tcPr>
          <w:p>
            <w:r>
              <w:rPr>
                <w:sz w:val="20"/>
              </w:rPr>
              <w:t>*17</w:t>
            </w:r>
          </w:p>
        </w:tc>
        <w:tc>
          <w:tcPr>
            <w:tcW w:type="dxa" w:w="1080"/>
          </w:tcPr>
          <w:p>
            <w:r>
              <w:rPr>
                <w:sz w:val="20"/>
              </w:rPr>
              <w:t>Increased</w:t>
            </w:r>
          </w:p>
        </w:tc>
        <w:tc>
          <w:tcPr>
            <w:tcW w:type="dxa" w:w="1080"/>
          </w:tcPr>
          <w:p>
            <w:r>
              <w:rPr>
                <w:sz w:val="20"/>
              </w:rPr>
              <w:t>20-25%</w:t>
            </w:r>
          </w:p>
        </w:tc>
        <w:tc>
          <w:tcPr>
            <w:tcW w:type="dxa" w:w="1080"/>
          </w:tcPr>
          <w:p>
            <w:r>
              <w:rPr>
                <w:sz w:val="20"/>
              </w:rPr>
              <w:t>3-5%</w:t>
            </w:r>
          </w:p>
        </w:tc>
        <w:tc>
          <w:tcPr>
            <w:tcW w:type="dxa" w:w="1080"/>
          </w:tcPr>
          <w:p>
            <w:r>
              <w:rPr>
                <w:sz w:val="20"/>
              </w:rPr>
              <w:t>15-20%</w:t>
            </w:r>
          </w:p>
        </w:tc>
        <w:tc>
          <w:tcPr>
            <w:tcW w:type="dxa" w:w="1080"/>
          </w:tcPr>
          <w:p>
            <w:r>
              <w:rPr>
                <w:sz w:val="20"/>
              </w:rPr>
              <w:t>10-15%</w:t>
            </w:r>
          </w:p>
        </w:tc>
        <w:tc>
          <w:tcPr>
            <w:tcW w:type="dxa" w:w="1080"/>
          </w:tcPr>
          <w:p>
            <w:r>
              <w:rPr>
                <w:sz w:val="20"/>
              </w:rPr>
              <w:t>15-20%</w:t>
            </w:r>
          </w:p>
        </w:tc>
      </w:tr>
      <w:tr>
        <w:tc>
          <w:tcPr>
            <w:tcW w:type="dxa" w:w="1080"/>
          </w:tcPr>
          <w:p>
            <w:r>
              <w:rPr>
                <w:sz w:val="20"/>
              </w:rPr>
              <w:t>CYP2C9</w:t>
            </w:r>
          </w:p>
        </w:tc>
        <w:tc>
          <w:tcPr>
            <w:tcW w:type="dxa" w:w="1080"/>
          </w:tcPr>
          <w:p>
            <w:r>
              <w:rPr>
                <w:sz w:val="20"/>
              </w:rPr>
              <w:t>*2</w:t>
            </w:r>
          </w:p>
        </w:tc>
        <w:tc>
          <w:tcPr>
            <w:tcW w:type="dxa" w:w="1080"/>
          </w:tcPr>
          <w:p>
            <w:r>
              <w:rPr>
                <w:sz w:val="20"/>
              </w:rPr>
              <w:t>Decreased</w:t>
            </w:r>
          </w:p>
        </w:tc>
        <w:tc>
          <w:tcPr>
            <w:tcW w:type="dxa" w:w="1080"/>
          </w:tcPr>
          <w:p>
            <w:r>
              <w:rPr>
                <w:sz w:val="20"/>
              </w:rPr>
              <w:t>10-15%</w:t>
            </w:r>
          </w:p>
        </w:tc>
        <w:tc>
          <w:tcPr>
            <w:tcW w:type="dxa" w:w="1080"/>
          </w:tcPr>
          <w:p>
            <w:r>
              <w:rPr>
                <w:sz w:val="20"/>
              </w:rPr>
              <w:t>&lt;1%</w:t>
            </w:r>
          </w:p>
        </w:tc>
        <w:tc>
          <w:tcPr>
            <w:tcW w:type="dxa" w:w="1080"/>
          </w:tcPr>
          <w:p>
            <w:r>
              <w:rPr>
                <w:sz w:val="20"/>
              </w:rPr>
              <w:t>1-3%</w:t>
            </w:r>
          </w:p>
        </w:tc>
        <w:tc>
          <w:tcPr>
            <w:tcW w:type="dxa" w:w="1080"/>
          </w:tcPr>
          <w:p>
            <w:r>
              <w:rPr>
                <w:sz w:val="20"/>
              </w:rPr>
              <w:t>5-10%</w:t>
            </w:r>
          </w:p>
        </w:tc>
        <w:tc>
          <w:tcPr>
            <w:tcW w:type="dxa" w:w="1080"/>
          </w:tcPr>
          <w:p>
            <w:r>
              <w:rPr>
                <w:sz w:val="20"/>
              </w:rPr>
              <w:t>5-8%</w:t>
            </w:r>
          </w:p>
        </w:tc>
      </w:tr>
      <w:tr>
        <w:tc>
          <w:tcPr>
            <w:tcW w:type="dxa" w:w="1080"/>
          </w:tcPr>
          <w:p>
            <w:r>
              <w:rPr>
                <w:sz w:val="20"/>
              </w:rPr>
              <w:t>CYP2C9</w:t>
            </w:r>
          </w:p>
        </w:tc>
        <w:tc>
          <w:tcPr>
            <w:tcW w:type="dxa" w:w="1080"/>
          </w:tcPr>
          <w:p>
            <w:r>
              <w:rPr>
                <w:sz w:val="20"/>
              </w:rPr>
              <w:t>*3</w:t>
            </w:r>
          </w:p>
        </w:tc>
        <w:tc>
          <w:tcPr>
            <w:tcW w:type="dxa" w:w="1080"/>
          </w:tcPr>
          <w:p>
            <w:r>
              <w:rPr>
                <w:sz w:val="20"/>
              </w:rPr>
              <w:t>Decreased</w:t>
            </w:r>
          </w:p>
        </w:tc>
        <w:tc>
          <w:tcPr>
            <w:tcW w:type="dxa" w:w="1080"/>
          </w:tcPr>
          <w:p>
            <w:r>
              <w:rPr>
                <w:sz w:val="20"/>
              </w:rPr>
              <w:t>5-8%</w:t>
            </w:r>
          </w:p>
        </w:tc>
        <w:tc>
          <w:tcPr>
            <w:tcW w:type="dxa" w:w="1080"/>
          </w:tcPr>
          <w:p>
            <w:r>
              <w:rPr>
                <w:sz w:val="20"/>
              </w:rPr>
              <w:t>2-5%</w:t>
            </w:r>
          </w:p>
        </w:tc>
        <w:tc>
          <w:tcPr>
            <w:tcW w:type="dxa" w:w="1080"/>
          </w:tcPr>
          <w:p>
            <w:r>
              <w:rPr>
                <w:sz w:val="20"/>
              </w:rPr>
              <w:t>&lt;1%</w:t>
            </w:r>
          </w:p>
        </w:tc>
        <w:tc>
          <w:tcPr>
            <w:tcW w:type="dxa" w:w="1080"/>
          </w:tcPr>
          <w:p>
            <w:r>
              <w:rPr>
                <w:sz w:val="20"/>
              </w:rPr>
              <w:t>5-10%</w:t>
            </w:r>
          </w:p>
        </w:tc>
        <w:tc>
          <w:tcPr>
            <w:tcW w:type="dxa" w:w="1080"/>
          </w:tcPr>
          <w:p>
            <w:r>
              <w:rPr>
                <w:sz w:val="20"/>
              </w:rPr>
              <w:t>3-5%</w:t>
            </w:r>
          </w:p>
        </w:tc>
      </w:tr>
      <w:tr>
        <w:tc>
          <w:tcPr>
            <w:tcW w:type="dxa" w:w="1080"/>
          </w:tcPr>
          <w:p>
            <w:r>
              <w:rPr>
                <w:sz w:val="20"/>
              </w:rPr>
              <w:t>CYP2C9</w:t>
            </w:r>
          </w:p>
        </w:tc>
        <w:tc>
          <w:tcPr>
            <w:tcW w:type="dxa" w:w="1080"/>
          </w:tcPr>
          <w:p>
            <w:r>
              <w:rPr>
                <w:sz w:val="20"/>
              </w:rPr>
              <w:t>*8</w:t>
            </w:r>
          </w:p>
        </w:tc>
        <w:tc>
          <w:tcPr>
            <w:tcW w:type="dxa" w:w="1080"/>
          </w:tcPr>
          <w:p>
            <w:r>
              <w:rPr>
                <w:sz w:val="20"/>
              </w:rPr>
              <w:t>Decreased</w:t>
            </w:r>
          </w:p>
        </w:tc>
        <w:tc>
          <w:tcPr>
            <w:tcW w:type="dxa" w:w="1080"/>
          </w:tcPr>
          <w:p>
            <w:r>
              <w:rPr>
                <w:sz w:val="20"/>
              </w:rPr>
              <w:t>&lt;1%</w:t>
            </w:r>
          </w:p>
        </w:tc>
        <w:tc>
          <w:tcPr>
            <w:tcW w:type="dxa" w:w="1080"/>
          </w:tcPr>
          <w:p>
            <w:r>
              <w:rPr>
                <w:sz w:val="20"/>
              </w:rPr>
              <w:t>&lt;1%</w:t>
            </w:r>
          </w:p>
        </w:tc>
        <w:tc>
          <w:tcPr>
            <w:tcW w:type="dxa" w:w="1080"/>
          </w:tcPr>
          <w:p>
            <w:r>
              <w:rPr>
                <w:sz w:val="20"/>
              </w:rPr>
              <w:t>5-8%</w:t>
            </w:r>
          </w:p>
        </w:tc>
        <w:tc>
          <w:tcPr>
            <w:tcW w:type="dxa" w:w="1080"/>
          </w:tcPr>
          <w:p>
            <w:r>
              <w:rPr>
                <w:sz w:val="20"/>
              </w:rPr>
              <w:t>&lt;1%</w:t>
            </w:r>
          </w:p>
        </w:tc>
        <w:tc>
          <w:tcPr>
            <w:tcW w:type="dxa" w:w="1080"/>
          </w:tcPr>
          <w:p>
            <w:r>
              <w:rPr>
                <w:sz w:val="20"/>
              </w:rPr>
              <w:t>&lt;1%</w:t>
            </w:r>
          </w:p>
        </w:tc>
      </w:tr>
      <w:tr>
        <w:tc>
          <w:tcPr>
            <w:tcW w:type="dxa" w:w="1080"/>
          </w:tcPr>
          <w:p>
            <w:r>
              <w:rPr>
                <w:sz w:val="20"/>
              </w:rPr>
              <w:t>DPYD</w:t>
            </w:r>
          </w:p>
        </w:tc>
        <w:tc>
          <w:tcPr>
            <w:tcW w:type="dxa" w:w="1080"/>
          </w:tcPr>
          <w:p>
            <w:r>
              <w:rPr>
                <w:sz w:val="20"/>
              </w:rPr>
              <w:t>*2A</w:t>
            </w:r>
          </w:p>
        </w:tc>
        <w:tc>
          <w:tcPr>
            <w:tcW w:type="dxa" w:w="1080"/>
          </w:tcPr>
          <w:p>
            <w:r>
              <w:rPr>
                <w:sz w:val="20"/>
              </w:rPr>
              <w:t>No function</w:t>
            </w:r>
          </w:p>
        </w:tc>
        <w:tc>
          <w:tcPr>
            <w:tcW w:type="dxa" w:w="1080"/>
          </w:tcPr>
          <w:p>
            <w:r>
              <w:rPr>
                <w:sz w:val="20"/>
              </w:rPr>
              <w:t>1-2%</w:t>
            </w:r>
          </w:p>
        </w:tc>
        <w:tc>
          <w:tcPr>
            <w:tcW w:type="dxa" w:w="1080"/>
          </w:tcPr>
          <w:p>
            <w:r>
              <w:rPr>
                <w:sz w:val="20"/>
              </w:rPr>
              <w:t>&lt;0.5%</w:t>
            </w:r>
          </w:p>
        </w:tc>
        <w:tc>
          <w:tcPr>
            <w:tcW w:type="dxa" w:w="1080"/>
          </w:tcPr>
          <w:p>
            <w:r>
              <w:rPr>
                <w:sz w:val="20"/>
              </w:rPr>
              <w:t>&lt;0.5%</w:t>
            </w:r>
          </w:p>
        </w:tc>
        <w:tc>
          <w:tcPr>
            <w:tcW w:type="dxa" w:w="1080"/>
          </w:tcPr>
          <w:p>
            <w:r>
              <w:rPr>
                <w:sz w:val="20"/>
              </w:rPr>
              <w:t>&lt;0.5%</w:t>
            </w:r>
          </w:p>
        </w:tc>
        <w:tc>
          <w:tcPr>
            <w:tcW w:type="dxa" w:w="1080"/>
          </w:tcPr>
          <w:p>
            <w:r>
              <w:rPr>
                <w:sz w:val="20"/>
              </w:rPr>
              <w:t>&lt;0.5%</w:t>
            </w:r>
          </w:p>
        </w:tc>
      </w:tr>
      <w:tr>
        <w:tc>
          <w:tcPr>
            <w:tcW w:type="dxa" w:w="1080"/>
          </w:tcPr>
          <w:p>
            <w:r>
              <w:rPr>
                <w:sz w:val="20"/>
              </w:rPr>
              <w:t>NUDT15</w:t>
            </w:r>
          </w:p>
        </w:tc>
        <w:tc>
          <w:tcPr>
            <w:tcW w:type="dxa" w:w="1080"/>
          </w:tcPr>
          <w:p>
            <w:r>
              <w:rPr>
                <w:sz w:val="20"/>
              </w:rPr>
              <w:t>*3</w:t>
            </w:r>
          </w:p>
        </w:tc>
        <w:tc>
          <w:tcPr>
            <w:tcW w:type="dxa" w:w="1080"/>
          </w:tcPr>
          <w:p>
            <w:r>
              <w:rPr>
                <w:sz w:val="20"/>
              </w:rPr>
              <w:t>No function</w:t>
            </w:r>
          </w:p>
        </w:tc>
        <w:tc>
          <w:tcPr>
            <w:tcW w:type="dxa" w:w="1080"/>
          </w:tcPr>
          <w:p>
            <w:r>
              <w:rPr>
                <w:sz w:val="20"/>
              </w:rPr>
              <w:t>&lt;0.1%</w:t>
            </w:r>
          </w:p>
        </w:tc>
        <w:tc>
          <w:tcPr>
            <w:tcW w:type="dxa" w:w="1080"/>
          </w:tcPr>
          <w:p>
            <w:r>
              <w:rPr>
                <w:sz w:val="20"/>
              </w:rPr>
              <w:t>7-12%</w:t>
            </w:r>
          </w:p>
        </w:tc>
        <w:tc>
          <w:tcPr>
            <w:tcW w:type="dxa" w:w="1080"/>
          </w:tcPr>
          <w:p>
            <w:r>
              <w:rPr>
                <w:sz w:val="20"/>
              </w:rPr>
              <w:t>&lt;0.1%</w:t>
            </w:r>
          </w:p>
        </w:tc>
        <w:tc>
          <w:tcPr>
            <w:tcW w:type="dxa" w:w="1080"/>
          </w:tcPr>
          <w:p>
            <w:r>
              <w:rPr>
                <w:sz w:val="20"/>
              </w:rPr>
              <w:t>1-3%</w:t>
            </w:r>
          </w:p>
        </w:tc>
        <w:tc>
          <w:tcPr>
            <w:tcW w:type="dxa" w:w="1080"/>
          </w:tcPr>
          <w:p>
            <w:r>
              <w:rPr>
                <w:sz w:val="20"/>
              </w:rPr>
              <w:t>1-2%</w:t>
            </w:r>
          </w:p>
        </w:tc>
      </w:tr>
      <w:tr>
        <w:tc>
          <w:tcPr>
            <w:tcW w:type="dxa" w:w="1080"/>
          </w:tcPr>
          <w:p>
            <w:r>
              <w:rPr>
                <w:sz w:val="20"/>
              </w:rPr>
              <w:t>TPMT</w:t>
            </w:r>
          </w:p>
        </w:tc>
        <w:tc>
          <w:tcPr>
            <w:tcW w:type="dxa" w:w="1080"/>
          </w:tcPr>
          <w:p>
            <w:r>
              <w:rPr>
                <w:sz w:val="20"/>
              </w:rPr>
              <w:t>*3A</w:t>
            </w:r>
          </w:p>
        </w:tc>
        <w:tc>
          <w:tcPr>
            <w:tcW w:type="dxa" w:w="1080"/>
          </w:tcPr>
          <w:p>
            <w:r>
              <w:rPr>
                <w:sz w:val="20"/>
              </w:rPr>
              <w:t>No function</w:t>
            </w:r>
          </w:p>
        </w:tc>
        <w:tc>
          <w:tcPr>
            <w:tcW w:type="dxa" w:w="1080"/>
          </w:tcPr>
          <w:p>
            <w:r>
              <w:rPr>
                <w:sz w:val="20"/>
              </w:rPr>
              <w:t>4-6%</w:t>
            </w:r>
          </w:p>
        </w:tc>
        <w:tc>
          <w:tcPr>
            <w:tcW w:type="dxa" w:w="1080"/>
          </w:tcPr>
          <w:p>
            <w:r>
              <w:rPr>
                <w:sz w:val="20"/>
              </w:rPr>
              <w:t>&lt;1%</w:t>
            </w:r>
          </w:p>
        </w:tc>
        <w:tc>
          <w:tcPr>
            <w:tcW w:type="dxa" w:w="1080"/>
          </w:tcPr>
          <w:p>
            <w:r>
              <w:rPr>
                <w:sz w:val="20"/>
              </w:rPr>
              <w:t>2-4%</w:t>
            </w:r>
          </w:p>
        </w:tc>
        <w:tc>
          <w:tcPr>
            <w:tcW w:type="dxa" w:w="1080"/>
          </w:tcPr>
          <w:p>
            <w:r>
              <w:rPr>
                <w:sz w:val="20"/>
              </w:rPr>
              <w:t>2-4%</w:t>
            </w:r>
          </w:p>
        </w:tc>
        <w:tc>
          <w:tcPr>
            <w:tcW w:type="dxa" w:w="1080"/>
          </w:tcPr>
          <w:p>
            <w:r>
              <w:rPr>
                <w:sz w:val="20"/>
              </w:rPr>
              <w:t>3-5%</w:t>
            </w:r>
          </w:p>
        </w:tc>
      </w:tr>
      <w:tr>
        <w:tc>
          <w:tcPr>
            <w:tcW w:type="dxa" w:w="1080"/>
          </w:tcPr>
          <w:p>
            <w:r>
              <w:rPr>
                <w:sz w:val="20"/>
              </w:rPr>
              <w:t>SLCO1B1</w:t>
            </w:r>
          </w:p>
        </w:tc>
        <w:tc>
          <w:tcPr>
            <w:tcW w:type="dxa" w:w="1080"/>
          </w:tcPr>
          <w:p>
            <w:r>
              <w:rPr>
                <w:sz w:val="20"/>
              </w:rPr>
              <w:t>*5 (rs4149056)</w:t>
            </w:r>
          </w:p>
        </w:tc>
        <w:tc>
          <w:tcPr>
            <w:tcW w:type="dxa" w:w="1080"/>
          </w:tcPr>
          <w:p>
            <w:r>
              <w:rPr>
                <w:sz w:val="20"/>
              </w:rPr>
              <w:t>Decreased</w:t>
            </w:r>
          </w:p>
        </w:tc>
        <w:tc>
          <w:tcPr>
            <w:tcW w:type="dxa" w:w="1080"/>
          </w:tcPr>
          <w:p>
            <w:r>
              <w:rPr>
                <w:sz w:val="20"/>
              </w:rPr>
              <w:t>15-20%</w:t>
            </w:r>
          </w:p>
        </w:tc>
        <w:tc>
          <w:tcPr>
            <w:tcW w:type="dxa" w:w="1080"/>
          </w:tcPr>
          <w:p>
            <w:r>
              <w:rPr>
                <w:sz w:val="20"/>
              </w:rPr>
              <w:t>10-15%</w:t>
            </w:r>
          </w:p>
        </w:tc>
        <w:tc>
          <w:tcPr>
            <w:tcW w:type="dxa" w:w="1080"/>
          </w:tcPr>
          <w:p>
            <w:r>
              <w:rPr>
                <w:sz w:val="20"/>
              </w:rPr>
              <w:t>2-5%</w:t>
            </w:r>
          </w:p>
        </w:tc>
        <w:tc>
          <w:tcPr>
            <w:tcW w:type="dxa" w:w="1080"/>
          </w:tcPr>
          <w:p>
            <w:r>
              <w:rPr>
                <w:sz w:val="20"/>
              </w:rPr>
              <w:t>10-15%</w:t>
            </w:r>
          </w:p>
        </w:tc>
        <w:tc>
          <w:tcPr>
            <w:tcW w:type="dxa" w:w="1080"/>
          </w:tcPr>
          <w:p>
            <w:r>
              <w:rPr>
                <w:sz w:val="20"/>
              </w:rPr>
              <w:t>8-12%</w:t>
            </w:r>
          </w:p>
        </w:tc>
      </w:tr>
    </w:tbl>
    <w:p>
      <w:pPr>
        <w:pStyle w:val="Heading3"/>
      </w:pPr>
      <w:r>
        <w:t>Clinical Consequences of Population Disparities</w:t>
      </w:r>
    </w:p>
    <w:p>
      <w:r>
        <w:t>CYP2D6 in East Asian populations: The high frequency of CYP2D6*10 (~40%) means that approximately 35-40% of East Asian patients are CYP2D6 intermediate metabolizers. Standard codeine doses may provide inadequate analgesia for a substantial portion of this population.</w:t>
      </w:r>
    </w:p>
    <w:p>
      <w:r>
        <w:t>CYP2C19 in East Asian populations: CYP2C19 poor metabolizer prevalence is 15-20% in East Asian populations (vs 2-5% in Europeans) due to the high frequency of 2 and 3 no-function alleles. This has major implications for clopidogrel prescribing after cardiac stent placement -- a greater proportion of East Asian patients may need alternative antiplatelet agents.</w:t>
      </w:r>
    </w:p>
    <w:p>
      <w:r>
        <w:t>CYP2D6 in African populations: CYP2D617 and 29 are common in African populations but were not included in many early PGx testing panels. Patients carrying these decreased-function alleles may be misclassified as normal metabolizers if the panel does not test for them.</w:t>
      </w:r>
    </w:p>
    <w:p>
      <w:r>
        <w:t>NUDT15 in East Asian populations: NUDT15*3 has a frequency of 7-12% in East Asian populations but &lt;0.1% in Europeans. A thiopurine dosing protocol based only on TPMT (the European-centric approach) would miss 15-22% of East Asian patients who need dose reduction.</w:t>
      </w:r>
    </w:p>
    <w:p>
      <w:pPr>
        <w:pStyle w:val="Heading3"/>
      </w:pPr>
      <w:r>
        <w:t>The Agent's Approach to Population Equity</w:t>
      </w:r>
    </w:p>
    <w:p>
      <w:r>
        <w:t>The pgx_population_data collection stores allele frequency data across all major populations. The Population Analytics tab (Tab 10) visualizes these disparities and the agent's LLM system prompt includes population pharmacogenetics as one of its 11 expertise domains. The knowledge graph contains population-specific allele frequency data for all 25 pharmacogenes, and the HLA screening module includes population-specific prevalence for all 15 HLA-drug associations.</w:t>
      </w:r>
    </w:p>
    <w:p>
      <w:pPr>
        <w:pStyle w:val="Heading3"/>
      </w:pPr>
      <w:r>
        <w:t>Self-Reported Race vs. Genetic Ancestry</w:t>
      </w:r>
    </w:p>
    <w:p>
      <w:r>
        <w:t>A significant challenge in population pharmacogenomics is the distinction between self-reported race/ethnicity and genetic ancestry:</w:t>
      </w:r>
    </w:p>
    <w:p>
      <w:pPr>
        <w:pStyle w:val="ListBullet"/>
      </w:pPr>
      <w:r>
        <w:t>Self-reported race is a social construct that may not accurately reflect genetic ancestry</w:t>
      </w:r>
    </w:p>
    <w:p>
      <w:pPr>
        <w:pStyle w:val="ListBullet"/>
      </w:pPr>
      <w:r>
        <w:t>Genetic ancestry (determined by ancestry-informative markers) better predicts pharmacogenomic allele frequencies</w:t>
      </w:r>
    </w:p>
    <w:p>
      <w:pPr>
        <w:pStyle w:val="ListBullet"/>
      </w:pPr>
      <w:r>
        <w:t>Admixed populations (e.g., Hispanic/Latino, African American) carry alleles from multiple continental ancestries</w:t>
      </w:r>
    </w:p>
    <w:p>
      <w:r>
        <w:t>The IWPC warfarin algorithm uses self-reported race as a proxy for genetic ancestry, which is imperfect. Future PGx algorithms may incorporate ancestry-informative markers directly, replacing race-based coefficients with genetically informed population adjustments.</w:t>
      </w:r>
    </w:p>
    <w:p>
      <w:r>
        <w:t>For the PGx Intelligence Agent, population data is presented as a reference for clinicians to understand the epidemiology of PGx alleles. The system does not require race as input for any clinical pipeline except the IWPC warfarin algorithm (where it is one of the published algorithm variables).</w:t>
      </w:r>
    </w:p>
    <w:p>
      <w:pPr>
        <w:pStyle w:val="Heading3"/>
      </w:pPr>
      <w:r>
        <w:t>The "Missing Alleles" Problem</w:t>
      </w:r>
    </w:p>
    <w:p>
      <w:r>
        <w:t>Many clinically relevant alleles in non-European populations were characterized late or remain under-studied: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Gene</w:t>
            </w:r>
          </w:p>
        </w:tc>
        <w:tc>
          <w:tcPr>
            <w:tcW w:type="dxa" w:w="2160"/>
          </w:tcPr>
          <w:p>
            <w:r>
              <w:rPr>
                <w:b/>
                <w:sz w:val="20"/>
              </w:rPr>
              <w:t>"Missing" Alleles</w:t>
            </w:r>
          </w:p>
        </w:tc>
        <w:tc>
          <w:tcPr>
            <w:tcW w:type="dxa" w:w="2160"/>
          </w:tcPr>
          <w:p>
            <w:r>
              <w:rPr>
                <w:b/>
                <w:sz w:val="20"/>
              </w:rPr>
              <w:t>Population</w:t>
            </w:r>
          </w:p>
        </w:tc>
        <w:tc>
          <w:tcPr>
            <w:tcW w:type="dxa" w:w="2160"/>
          </w:tcPr>
          <w:p>
            <w:r>
              <w:rPr>
                <w:b/>
                <w:sz w:val="20"/>
              </w:rPr>
              <w:t>Clinical Impact</w:t>
            </w:r>
          </w:p>
        </w:tc>
      </w:tr>
      <w:tr>
        <w:tc>
          <w:tcPr>
            <w:tcW w:type="dxa" w:w="2160"/>
          </w:tcPr>
          <w:p>
            <w:r>
              <w:rPr>
                <w:sz w:val="20"/>
              </w:rPr>
              <w:t>CYP2D6</w:t>
            </w:r>
          </w:p>
        </w:tc>
        <w:tc>
          <w:tcPr>
            <w:tcW w:type="dxa" w:w="2160"/>
          </w:tcPr>
          <w:p>
            <w:r>
              <w:rPr>
                <w:sz w:val="20"/>
              </w:rPr>
              <w:t>*29, *40, *43-*57</w:t>
            </w:r>
          </w:p>
        </w:tc>
        <w:tc>
          <w:tcPr>
            <w:tcW w:type="dxa" w:w="2160"/>
          </w:tcPr>
          <w:p>
            <w:r>
              <w:rPr>
                <w:sz w:val="20"/>
              </w:rPr>
              <w:t>African</w:t>
            </w:r>
          </w:p>
        </w:tc>
        <w:tc>
          <w:tcPr>
            <w:tcW w:type="dxa" w:w="2160"/>
          </w:tcPr>
          <w:p>
            <w:r>
              <w:rPr>
                <w:sz w:val="20"/>
              </w:rPr>
              <w:t>May be common decreased-function alleles not tested by most panels</w:t>
            </w:r>
          </w:p>
        </w:tc>
      </w:tr>
      <w:tr>
        <w:tc>
          <w:tcPr>
            <w:tcW w:type="dxa" w:w="2160"/>
          </w:tcPr>
          <w:p>
            <w:r>
              <w:rPr>
                <w:sz w:val="20"/>
              </w:rPr>
              <w:t>CYP2C9</w:t>
            </w:r>
          </w:p>
        </w:tc>
        <w:tc>
          <w:tcPr>
            <w:tcW w:type="dxa" w:w="2160"/>
          </w:tcPr>
          <w:p>
            <w:r>
              <w:rPr>
                <w:sz w:val="20"/>
              </w:rPr>
              <w:t>*5, *6, *8, *11</w:t>
            </w:r>
          </w:p>
        </w:tc>
        <w:tc>
          <w:tcPr>
            <w:tcW w:type="dxa" w:w="2160"/>
          </w:tcPr>
          <w:p>
            <w:r>
              <w:rPr>
                <w:sz w:val="20"/>
              </w:rPr>
              <w:t>African</w:t>
            </w:r>
          </w:p>
        </w:tc>
        <w:tc>
          <w:tcPr>
            <w:tcW w:type="dxa" w:w="2160"/>
          </w:tcPr>
          <w:p>
            <w:r>
              <w:rPr>
                <w:sz w:val="20"/>
              </w:rPr>
              <w:t>Affect warfarin dosing; not in many commercial panels</w:t>
            </w:r>
          </w:p>
        </w:tc>
      </w:tr>
      <w:tr>
        <w:tc>
          <w:tcPr>
            <w:tcW w:type="dxa" w:w="2160"/>
          </w:tcPr>
          <w:p>
            <w:r>
              <w:rPr>
                <w:sz w:val="20"/>
              </w:rPr>
              <w:t>CYP2C19</w:t>
            </w:r>
          </w:p>
        </w:tc>
        <w:tc>
          <w:tcPr>
            <w:tcW w:type="dxa" w:w="2160"/>
          </w:tcPr>
          <w:p>
            <w:r>
              <w:rPr>
                <w:sz w:val="20"/>
              </w:rPr>
              <w:t>*9, *10, *15</w:t>
            </w:r>
          </w:p>
        </w:tc>
        <w:tc>
          <w:tcPr>
            <w:tcW w:type="dxa" w:w="2160"/>
          </w:tcPr>
          <w:p>
            <w:r>
              <w:rPr>
                <w:sz w:val="20"/>
              </w:rPr>
              <w:t>Various</w:t>
            </w:r>
          </w:p>
        </w:tc>
        <w:tc>
          <w:tcPr>
            <w:tcW w:type="dxa" w:w="2160"/>
          </w:tcPr>
          <w:p>
            <w:r>
              <w:rPr>
                <w:sz w:val="20"/>
              </w:rPr>
              <w:t>Rare no-function alleles not in standard panels</w:t>
            </w:r>
          </w:p>
        </w:tc>
      </w:tr>
      <w:tr>
        <w:tc>
          <w:tcPr>
            <w:tcW w:type="dxa" w:w="2160"/>
          </w:tcPr>
          <w:p>
            <w:r>
              <w:rPr>
                <w:sz w:val="20"/>
              </w:rPr>
              <w:t>CYP2D6</w:t>
            </w:r>
          </w:p>
        </w:tc>
        <w:tc>
          <w:tcPr>
            <w:tcW w:type="dxa" w:w="2160"/>
          </w:tcPr>
          <w:p>
            <w:r>
              <w:rPr>
                <w:sz w:val="20"/>
              </w:rPr>
              <w:t>*36, *47</w:t>
            </w:r>
          </w:p>
        </w:tc>
        <w:tc>
          <w:tcPr>
            <w:tcW w:type="dxa" w:w="2160"/>
          </w:tcPr>
          <w:p>
            <w:r>
              <w:rPr>
                <w:sz w:val="20"/>
              </w:rPr>
              <w:t>East Asian</w:t>
            </w:r>
          </w:p>
        </w:tc>
        <w:tc>
          <w:tcPr>
            <w:tcW w:type="dxa" w:w="2160"/>
          </w:tcPr>
          <w:p>
            <w:r>
              <w:rPr>
                <w:sz w:val="20"/>
              </w:rPr>
              <w:t>Hybrid alleles with uncertain function</w:t>
            </w:r>
          </w:p>
        </w:tc>
      </w:tr>
      <w:tr>
        <w:tc>
          <w:tcPr>
            <w:tcW w:type="dxa" w:w="2160"/>
          </w:tcPr>
          <w:p>
            <w:r>
              <w:rPr>
                <w:sz w:val="20"/>
              </w:rPr>
              <w:t>DPYD</w:t>
            </w:r>
          </w:p>
        </w:tc>
        <w:tc>
          <w:tcPr>
            <w:tcW w:type="dxa" w:w="2160"/>
          </w:tcPr>
          <w:p>
            <w:r>
              <w:rPr>
                <w:sz w:val="20"/>
              </w:rPr>
              <w:t>Population-specific variants</w:t>
            </w:r>
          </w:p>
        </w:tc>
        <w:tc>
          <w:tcPr>
            <w:tcW w:type="dxa" w:w="2160"/>
          </w:tcPr>
          <w:p>
            <w:r>
              <w:rPr>
                <w:sz w:val="20"/>
              </w:rPr>
              <w:t>African, Asian</w:t>
            </w:r>
          </w:p>
        </w:tc>
        <w:tc>
          <w:tcPr>
            <w:tcW w:type="dxa" w:w="2160"/>
          </w:tcPr>
          <w:p>
            <w:r>
              <w:rPr>
                <w:sz w:val="20"/>
              </w:rPr>
              <w:t>May contribute to DPD deficiency not captured by European-discovered alleles</w:t>
            </w:r>
          </w:p>
        </w:tc>
      </w:tr>
    </w:tbl>
    <w:p>
      <w:r>
        <w:t>A patient whose true genotype includes one of these "missing" alleles would be misclassified as *1 (reference/normal function) by a panel that does not test for them. This systematic bias disproportionately affects non-European populations and can lead to inappropriate drug dosing.</w:t>
      </w:r>
    </w:p>
    <w:p>
      <w:pPr>
        <w:pStyle w:val="Heading3"/>
      </w:pPr>
      <w:r>
        <w:t>Addressing Population Bias in PGx</w:t>
      </w:r>
    </w:p>
    <w:p>
      <w:r>
        <w:t>The PGx Intelligence Agent addresses population bias through several mechanisms:</w:t>
      </w:r>
    </w:p>
    <w:p>
      <w:pPr>
        <w:pStyle w:val="ListNumber"/>
      </w:pPr>
      <w:r>
        <w:t>Comprehensive knowledge graph: All 25 pharmacogenes include population-specific allele frequency data</w:t>
      </w:r>
    </w:p>
    <w:p>
      <w:pPr>
        <w:pStyle w:val="ListNumber"/>
      </w:pPr>
      <w:r>
        <w:t>Population Analytics tab: Visualizes allele frequency differences across populations</w:t>
      </w:r>
    </w:p>
    <w:p>
      <w:pPr>
        <w:pStyle w:val="ListNumber"/>
      </w:pPr>
      <w:r>
        <w:t>LLM system prompt: Includes "population pharmacogenetics" as one of 11 expertise domains</w:t>
      </w:r>
    </w:p>
    <w:p>
      <w:pPr>
        <w:pStyle w:val="ListNumber"/>
      </w:pPr>
      <w:r>
        <w:t>HLA population-specific screening: HLA screening recommendations vary by population prevalence</w:t>
      </w:r>
    </w:p>
    <w:p>
      <w:pPr>
        <w:pStyle w:val="ListNumber"/>
      </w:pPr>
      <w:r>
        <w:t>Warnings for under-representation: When queried about alleles in under-represented populations, the agent notes potential gaps in coverage</w:t>
      </w:r>
    </w:p>
    <w:p>
      <w:pPr>
        <w:pStyle w:val="Heading2"/>
      </w:pPr>
      <w:r>
        <w:t>8. CYP2D6 Structural Variation</w:t>
      </w:r>
    </w:p>
    <w:p>
      <w:pPr>
        <w:pStyle w:val="Heading3"/>
      </w:pPr>
      <w:r>
        <w:t>Why CYP2D6 Is the Hardest Pharmacogene</w:t>
      </w:r>
    </w:p>
    <w:p>
      <w:r>
        <w:t>CYP2D6 is the most polymorphic human CYP enzyme, with over 150 defined star alleles. Its complexity stems from its genomic context:</w:t>
      </w:r>
    </w:p>
    <w:p>
      <w:pPr>
        <w:ind w:left="720"/>
      </w:pPr>
      <w:r>
        <w:rPr>
          <w:rFonts w:ascii="Consolas" w:hAnsi="Consolas"/>
          <w:sz w:val="18"/>
        </w:rPr>
        <w:t>Chromosome 22q13.2: The CYP2D Locus</w:t>
        <w:br/>
        <w:br/>
        <w:t>... CYP2D8P ------- CYP2D7 ------- CYP2D6 ...</w:t>
        <w:br/>
        <w:t xml:space="preserve">    (pseudogene)    (pseudogene)    (functional gene)</w:t>
        <w:br/>
        <w:t xml:space="preserve">         |               |               |</w:t>
        <w:br/>
        <w:t xml:space="preserve">         +----------- &gt;90% sequence identity -----------+</w:t>
        <w:br/>
        <w:t xml:space="preserve">                                                         |</w:t>
        <w:br/>
        <w:t xml:space="preserve">                                                 Recombination hotspot</w:t>
        <w:br/>
        <w:t xml:space="preserve">                                                         |</w:t>
        <w:br/>
        <w:t xml:space="preserve">                                                 Deletions, duplications,</w:t>
        <w:br/>
        <w:t xml:space="preserve">                                                 hybrid genes</w:t>
      </w:r>
    </w:p>
    <w:p>
      <w:pPr>
        <w:pStyle w:val="Heading3"/>
      </w:pPr>
      <w:r>
        <w:t>Types of CYP2D6 Structural Variants</w:t>
      </w:r>
    </w:p>
    <w:p>
      <w:pPr>
        <w:pStyle w:val="ListNumber"/>
      </w:pPr>
      <w:r>
        <w:t>Gene deletions (CYP2D6*5): Complete deletion of the CYP2D6 gene. No enzyme produced. Activity score = 0.0.</w:t>
      </w:r>
    </w:p>
    <w:p>
      <w:pPr>
        <w:ind w:left="720"/>
      </w:pPr>
      <w:r>
        <w:rPr>
          <w:rFonts w:ascii="Consolas" w:hAnsi="Consolas"/>
          <w:sz w:val="18"/>
        </w:rPr>
        <w:t>Normal:   CYP2D7 -- [CYP2D6] -- downstream</w:t>
        <w:br/>
        <w:t>Deletion: CYP2D7 -- [--------] -- downstream  (*5)</w:t>
      </w:r>
    </w:p>
    <w:p>
      <w:pPr>
        <w:pStyle w:val="ListNumber"/>
      </w:pPr>
      <w:r>
        <w:t>Gene duplications (CYP2D61xN, 2xN): 2 to 13 copies of the CYP2D6 gene in tandem. Each functional copy produces enzyme. Results in ultra-rapid metabolism.</w:t>
      </w:r>
    </w:p>
    <w:p>
      <w:pPr>
        <w:ind w:left="720"/>
      </w:pPr>
      <w:r>
        <w:rPr>
          <w:rFonts w:ascii="Consolas" w:hAnsi="Consolas"/>
          <w:sz w:val="18"/>
        </w:rPr>
        <w:t>Normal:      CYP2D7 -- [CYP2D6] -- downstream</w:t>
        <w:br/>
        <w:t>Duplication: CYP2D7 -- [CYP2D6]-[CYP2D6]-[CYP2D6] -- downstream  (*1x3)</w:t>
      </w:r>
    </w:p>
    <w:p>
      <w:pPr>
        <w:pStyle w:val="ListNumber"/>
      </w:pPr>
      <w:r>
        <w:t>Hybrid alleles (CYP2D6/CYP2D7 hybrids): Portions of the CYP2D7 pseudogene are incorporated into CYP2D6 through unequal crossover events. Most hybrids produce non-functional protein.</w:t>
      </w:r>
    </w:p>
    <w:p>
      <w:pPr>
        <w:ind w:left="720"/>
      </w:pPr>
      <w:r>
        <w:rPr>
          <w:rFonts w:ascii="Consolas" w:hAnsi="Consolas"/>
          <w:sz w:val="18"/>
        </w:rPr>
        <w:t>CYP2D7:  [EXON1]--[EXON2]--[EXON3]--[...]--[EXON9]  (pseudogene)</w:t>
        <w:br/>
        <w:t>CYP2D6:  [EXON1]--[EXON2]--[EXON3]--[...]--[EXON9]  (functional)</w:t>
        <w:br/>
        <w:t>Hybrid:  [CYP2D7 exons 1-3]--[CYP2D6 exons 4-9]      (no function)</w:t>
      </w:r>
    </w:p>
    <w:p>
      <w:pPr>
        <w:pStyle w:val="ListNumber"/>
      </w:pPr>
      <w:r>
        <w:t>Tandem arrangements: Complex arrangements of functional and non-functional copies on the same chromosome, including duplicated alleles with one functional and one non-functional copy.</w:t>
      </w:r>
    </w:p>
    <w:p>
      <w:pPr>
        <w:pStyle w:val="ListNumber"/>
      </w:pPr>
      <w:r>
        <w:t>Copy number variation: The number of CYP2D6 gene copies ranges from 0 (homozygous deletion 5/5) to 13+ (multiple duplications). Each additional functional copy increases enzyme activity.</w:t>
      </w:r>
    </w:p>
    <w:p>
      <w:pPr>
        <w:pStyle w:val="Heading3"/>
      </w:pPr>
      <w:r>
        <w:t>Copy Number and Activity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Copy Number</w:t>
            </w:r>
          </w:p>
        </w:tc>
        <w:tc>
          <w:tcPr>
            <w:tcW w:type="dxa" w:w="1728"/>
          </w:tcPr>
          <w:p>
            <w:r>
              <w:rPr>
                <w:b/>
                <w:sz w:val="20"/>
              </w:rPr>
              <w:t>Example</w:t>
            </w:r>
          </w:p>
        </w:tc>
        <w:tc>
          <w:tcPr>
            <w:tcW w:type="dxa" w:w="1728"/>
          </w:tcPr>
          <w:p>
            <w:r>
              <w:rPr>
                <w:b/>
                <w:sz w:val="20"/>
              </w:rPr>
              <w:t>Activity per Copy</w:t>
            </w:r>
          </w:p>
        </w:tc>
        <w:tc>
          <w:tcPr>
            <w:tcW w:type="dxa" w:w="1728"/>
          </w:tcPr>
          <w:p>
            <w:r>
              <w:rPr>
                <w:b/>
                <w:sz w:val="20"/>
              </w:rPr>
              <w:t>Diplotype AS</w:t>
            </w:r>
          </w:p>
        </w:tc>
        <w:tc>
          <w:tcPr>
            <w:tcW w:type="dxa" w:w="1728"/>
          </w:tcPr>
          <w:p>
            <w:r>
              <w:rPr>
                <w:b/>
                <w:sz w:val="20"/>
              </w:rPr>
              <w:t>Phenotype</w:t>
            </w:r>
          </w:p>
        </w:tc>
      </w:tr>
      <w:tr>
        <w:tc>
          <w:tcPr>
            <w:tcW w:type="dxa" w:w="1728"/>
          </w:tcPr>
          <w:p>
            <w:r>
              <w:rPr>
                <w:sz w:val="20"/>
              </w:rPr>
              <w:t>0 copies</w:t>
            </w:r>
          </w:p>
        </w:tc>
        <w:tc>
          <w:tcPr>
            <w:tcW w:type="dxa" w:w="1728"/>
          </w:tcPr>
          <w:p>
            <w:r>
              <w:rPr>
                <w:sz w:val="20"/>
              </w:rPr>
              <w:t>*5/*5</w:t>
            </w:r>
          </w:p>
        </w:tc>
        <w:tc>
          <w:tcPr>
            <w:tcW w:type="dxa" w:w="1728"/>
          </w:tcPr>
          <w:p>
            <w:r>
              <w:rPr>
                <w:sz w:val="20"/>
              </w:rPr>
              <w:t>N/A</w:t>
            </w:r>
          </w:p>
        </w:tc>
        <w:tc>
          <w:tcPr>
            <w:tcW w:type="dxa" w:w="1728"/>
          </w:tcPr>
          <w:p>
            <w:r>
              <w:rPr>
                <w:sz w:val="20"/>
              </w:rPr>
              <w:t>0.0</w:t>
            </w:r>
          </w:p>
        </w:tc>
        <w:tc>
          <w:tcPr>
            <w:tcW w:type="dxa" w:w="1728"/>
          </w:tcPr>
          <w:p>
            <w:r>
              <w:rPr>
                <w:sz w:val="20"/>
              </w:rPr>
              <w:t>PM</w:t>
            </w:r>
          </w:p>
        </w:tc>
      </w:tr>
      <w:tr>
        <w:tc>
          <w:tcPr>
            <w:tcW w:type="dxa" w:w="1728"/>
          </w:tcPr>
          <w:p>
            <w:r>
              <w:rPr>
                <w:sz w:val="20"/>
              </w:rPr>
              <w:t>1 copy (one deletion)</w:t>
            </w:r>
          </w:p>
        </w:tc>
        <w:tc>
          <w:tcPr>
            <w:tcW w:type="dxa" w:w="1728"/>
          </w:tcPr>
          <w:p>
            <w:r>
              <w:rPr>
                <w:sz w:val="20"/>
              </w:rPr>
              <w:t>*1/*5</w:t>
            </w:r>
          </w:p>
        </w:tc>
        <w:tc>
          <w:tcPr>
            <w:tcW w:type="dxa" w:w="1728"/>
          </w:tcPr>
          <w:p>
            <w:r>
              <w:rPr>
                <w:sz w:val="20"/>
              </w:rPr>
              <w:t>1.0</w:t>
            </w:r>
          </w:p>
        </w:tc>
        <w:tc>
          <w:tcPr>
            <w:tcW w:type="dxa" w:w="1728"/>
          </w:tcPr>
          <w:p>
            <w:r>
              <w:rPr>
                <w:sz w:val="20"/>
              </w:rPr>
              <w:t>1.0</w:t>
            </w:r>
          </w:p>
        </w:tc>
        <w:tc>
          <w:tcPr>
            <w:tcW w:type="dxa" w:w="1728"/>
          </w:tcPr>
          <w:p>
            <w:r>
              <w:rPr>
                <w:sz w:val="20"/>
              </w:rPr>
              <w:t>IM</w:t>
            </w:r>
          </w:p>
        </w:tc>
      </w:tr>
      <w:tr>
        <w:tc>
          <w:tcPr>
            <w:tcW w:type="dxa" w:w="1728"/>
          </w:tcPr>
          <w:p>
            <w:r>
              <w:rPr>
                <w:sz w:val="20"/>
              </w:rPr>
              <w:t>2 copies (normal)</w:t>
            </w:r>
          </w:p>
        </w:tc>
        <w:tc>
          <w:tcPr>
            <w:tcW w:type="dxa" w:w="1728"/>
          </w:tcPr>
          <w:p>
            <w:r>
              <w:rPr>
                <w:sz w:val="20"/>
              </w:rPr>
              <w:t>*1/*1</w:t>
            </w:r>
          </w:p>
        </w:tc>
        <w:tc>
          <w:tcPr>
            <w:tcW w:type="dxa" w:w="1728"/>
          </w:tcPr>
          <w:p>
            <w:r>
              <w:rPr>
                <w:sz w:val="20"/>
              </w:rPr>
              <w:t>1.0 each</w:t>
            </w:r>
          </w:p>
        </w:tc>
        <w:tc>
          <w:tcPr>
            <w:tcW w:type="dxa" w:w="1728"/>
          </w:tcPr>
          <w:p>
            <w:r>
              <w:rPr>
                <w:sz w:val="20"/>
              </w:rPr>
              <w:t>2.0</w:t>
            </w:r>
          </w:p>
        </w:tc>
        <w:tc>
          <w:tcPr>
            <w:tcW w:type="dxa" w:w="1728"/>
          </w:tcPr>
          <w:p>
            <w:r>
              <w:rPr>
                <w:sz w:val="20"/>
              </w:rPr>
              <w:t>NM</w:t>
            </w:r>
          </w:p>
        </w:tc>
      </w:tr>
      <w:tr>
        <w:tc>
          <w:tcPr>
            <w:tcW w:type="dxa" w:w="1728"/>
          </w:tcPr>
          <w:p>
            <w:r>
              <w:rPr>
                <w:sz w:val="20"/>
              </w:rPr>
              <w:t>3 copies</w:t>
            </w:r>
          </w:p>
        </w:tc>
        <w:tc>
          <w:tcPr>
            <w:tcW w:type="dxa" w:w="1728"/>
          </w:tcPr>
          <w:p>
            <w:r>
              <w:rPr>
                <w:sz w:val="20"/>
              </w:rPr>
              <w:t>*1/*1xN(2)</w:t>
            </w:r>
          </w:p>
        </w:tc>
        <w:tc>
          <w:tcPr>
            <w:tcW w:type="dxa" w:w="1728"/>
          </w:tcPr>
          <w:p>
            <w:r>
              <w:rPr>
                <w:sz w:val="20"/>
              </w:rPr>
              <w:t>1.0 each</w:t>
            </w:r>
          </w:p>
        </w:tc>
        <w:tc>
          <w:tcPr>
            <w:tcW w:type="dxa" w:w="1728"/>
          </w:tcPr>
          <w:p>
            <w:r>
              <w:rPr>
                <w:sz w:val="20"/>
              </w:rPr>
              <w:t>3.0</w:t>
            </w:r>
          </w:p>
        </w:tc>
        <w:tc>
          <w:tcPr>
            <w:tcW w:type="dxa" w:w="1728"/>
          </w:tcPr>
          <w:p>
            <w:r>
              <w:rPr>
                <w:sz w:val="20"/>
              </w:rPr>
              <w:t>UM</w:t>
            </w:r>
          </w:p>
        </w:tc>
      </w:tr>
      <w:tr>
        <w:tc>
          <w:tcPr>
            <w:tcW w:type="dxa" w:w="1728"/>
          </w:tcPr>
          <w:p>
            <w:r>
              <w:rPr>
                <w:sz w:val="20"/>
              </w:rPr>
              <w:t>4+ copies</w:t>
            </w:r>
          </w:p>
        </w:tc>
        <w:tc>
          <w:tcPr>
            <w:tcW w:type="dxa" w:w="1728"/>
          </w:tcPr>
          <w:p>
            <w:r>
              <w:rPr>
                <w:sz w:val="20"/>
              </w:rPr>
              <w:t>*1/*2x3</w:t>
            </w:r>
          </w:p>
        </w:tc>
        <w:tc>
          <w:tcPr>
            <w:tcW w:type="dxa" w:w="1728"/>
          </w:tcPr>
          <w:p>
            <w:r>
              <w:rPr>
                <w:sz w:val="20"/>
              </w:rPr>
              <w:t>1.0 each</w:t>
            </w:r>
          </w:p>
        </w:tc>
        <w:tc>
          <w:tcPr>
            <w:tcW w:type="dxa" w:w="1728"/>
          </w:tcPr>
          <w:p>
            <w:r>
              <w:rPr>
                <w:sz w:val="20"/>
              </w:rPr>
              <w:t>4.0+</w:t>
            </w:r>
          </w:p>
        </w:tc>
        <w:tc>
          <w:tcPr>
            <w:tcW w:type="dxa" w:w="1728"/>
          </w:tcPr>
          <w:p>
            <w:r>
              <w:rPr>
                <w:sz w:val="20"/>
              </w:rPr>
              <w:t>UM</w:t>
            </w:r>
          </w:p>
        </w:tc>
      </w:tr>
      <w:tr>
        <w:tc>
          <w:tcPr>
            <w:tcW w:type="dxa" w:w="1728"/>
          </w:tcPr>
          <w:p>
            <w:r>
              <w:rPr>
                <w:sz w:val="20"/>
              </w:rPr>
              <w:t>2 copies (one non-functional)</w:t>
            </w:r>
          </w:p>
        </w:tc>
        <w:tc>
          <w:tcPr>
            <w:tcW w:type="dxa" w:w="1728"/>
          </w:tcPr>
          <w:p>
            <w:r>
              <w:rPr>
                <w:sz w:val="20"/>
              </w:rPr>
              <w:t>*1/*4</w:t>
            </w:r>
          </w:p>
        </w:tc>
        <w:tc>
          <w:tcPr>
            <w:tcW w:type="dxa" w:w="1728"/>
          </w:tcPr>
          <w:p>
            <w:r>
              <w:rPr>
                <w:sz w:val="20"/>
              </w:rPr>
              <w:t>1.0 + 0.0</w:t>
            </w:r>
          </w:p>
        </w:tc>
        <w:tc>
          <w:tcPr>
            <w:tcW w:type="dxa" w:w="1728"/>
          </w:tcPr>
          <w:p>
            <w:r>
              <w:rPr>
                <w:sz w:val="20"/>
              </w:rPr>
              <w:t>1.0</w:t>
            </w:r>
          </w:p>
        </w:tc>
        <w:tc>
          <w:tcPr>
            <w:tcW w:type="dxa" w:w="1728"/>
          </w:tcPr>
          <w:p>
            <w:r>
              <w:rPr>
                <w:sz w:val="20"/>
              </w:rPr>
              <w:t>IM</w:t>
            </w:r>
          </w:p>
        </w:tc>
      </w:tr>
      <w:tr>
        <w:tc>
          <w:tcPr>
            <w:tcW w:type="dxa" w:w="1728"/>
          </w:tcPr>
          <w:p>
            <w:r>
              <w:rPr>
                <w:sz w:val="20"/>
              </w:rPr>
              <w:t>3 copies (one NF, two N)</w:t>
            </w:r>
          </w:p>
        </w:tc>
        <w:tc>
          <w:tcPr>
            <w:tcW w:type="dxa" w:w="1728"/>
          </w:tcPr>
          <w:p>
            <w:r>
              <w:rPr>
                <w:sz w:val="20"/>
              </w:rPr>
              <w:t>*1xN(2)/*4</w:t>
            </w:r>
          </w:p>
        </w:tc>
        <w:tc>
          <w:tcPr>
            <w:tcW w:type="dxa" w:w="1728"/>
          </w:tcPr>
          <w:p>
            <w:r>
              <w:rPr>
                <w:sz w:val="20"/>
              </w:rPr>
              <w:t>2.0 + 0.0</w:t>
            </w:r>
          </w:p>
        </w:tc>
        <w:tc>
          <w:tcPr>
            <w:tcW w:type="dxa" w:w="1728"/>
          </w:tcPr>
          <w:p>
            <w:r>
              <w:rPr>
                <w:sz w:val="20"/>
              </w:rPr>
              <w:t>2.0</w:t>
            </w:r>
          </w:p>
        </w:tc>
        <w:tc>
          <w:tcPr>
            <w:tcW w:type="dxa" w:w="1728"/>
          </w:tcPr>
          <w:p>
            <w:r>
              <w:rPr>
                <w:sz w:val="20"/>
              </w:rPr>
              <w:t>NM</w:t>
            </w:r>
          </w:p>
        </w:tc>
      </w:tr>
    </w:tbl>
    <w:p>
      <w:pPr>
        <w:pStyle w:val="Heading3"/>
      </w:pPr>
      <w:r>
        <w:t>Star Allele Calling Challenges</w:t>
      </w:r>
    </w:p>
    <w:p>
      <w:r>
        <w:t>Standard short-read sequencing (Illumina) struggles with CYP2D6 because:</w:t>
      </w:r>
    </w:p>
    <w:p>
      <w:pPr>
        <w:pStyle w:val="ListBullet"/>
      </w:pPr>
      <w:r>
        <w:t>CYP2D6 and CYP2D7 share &gt;90% sequence identity at the nucleotide level</w:t>
      </w:r>
    </w:p>
    <w:p>
      <w:pPr>
        <w:pStyle w:val="ListBullet"/>
      </w:pPr>
      <w:r>
        <w:t>Short reads (150 bp) cannot span the gene to detect structural variants</w:t>
      </w:r>
    </w:p>
    <w:p>
      <w:pPr>
        <w:pStyle w:val="ListBullet"/>
      </w:pPr>
      <w:r>
        <w:t>Copy number requires read-depth analysis or specialized algorithms</w:t>
      </w:r>
    </w:p>
    <w:p>
      <w:pPr>
        <w:pStyle w:val="ListBullet"/>
      </w:pPr>
      <w:r>
        <w:t>Hybrid alleles require long reads that span the hybrid breakpoint</w:t>
      </w:r>
    </w:p>
    <w:p>
      <w:pPr>
        <w:pStyle w:val="ListBullet"/>
      </w:pPr>
      <w:r>
        <w:t>Phase information (which alleles are on the same chromosome) is often ambiguous</w:t>
      </w:r>
    </w:p>
    <w:p>
      <w:pPr>
        <w:pStyle w:val="Heading3"/>
      </w:pPr>
      <w:r>
        <w:t>Specialized CYP2D6 Calling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Tool</w:t>
            </w:r>
          </w:p>
        </w:tc>
        <w:tc>
          <w:tcPr>
            <w:tcW w:type="dxa" w:w="2160"/>
          </w:tcPr>
          <w:p>
            <w:r>
              <w:rPr>
                <w:b/>
                <w:sz w:val="20"/>
              </w:rPr>
              <w:t>Input</w:t>
            </w:r>
          </w:p>
        </w:tc>
        <w:tc>
          <w:tcPr>
            <w:tcW w:type="dxa" w:w="2160"/>
          </w:tcPr>
          <w:p>
            <w:r>
              <w:rPr>
                <w:b/>
                <w:sz w:val="20"/>
              </w:rPr>
              <w:t>Approach</w:t>
            </w:r>
          </w:p>
        </w:tc>
        <w:tc>
          <w:tcPr>
            <w:tcW w:type="dxa" w:w="2160"/>
          </w:tcPr>
          <w:p>
            <w:r>
              <w:rPr>
                <w:b/>
                <w:sz w:val="20"/>
              </w:rPr>
              <w:t>Capabilities</w:t>
            </w:r>
          </w:p>
        </w:tc>
      </w:tr>
      <w:tr>
        <w:tc>
          <w:tcPr>
            <w:tcW w:type="dxa" w:w="2160"/>
          </w:tcPr>
          <w:p>
            <w:r>
              <w:rPr>
                <w:sz w:val="20"/>
              </w:rPr>
              <w:t>Stargazer</w:t>
            </w:r>
          </w:p>
        </w:tc>
        <w:tc>
          <w:tcPr>
            <w:tcW w:type="dxa" w:w="2160"/>
          </w:tcPr>
          <w:p>
            <w:r>
              <w:rPr>
                <w:sz w:val="20"/>
              </w:rPr>
              <w:t>WGS BAM</w:t>
            </w:r>
          </w:p>
        </w:tc>
        <w:tc>
          <w:tcPr>
            <w:tcW w:type="dxa" w:w="2160"/>
          </w:tcPr>
          <w:p>
            <w:r>
              <w:rPr>
                <w:sz w:val="20"/>
              </w:rPr>
              <w:t>Read-depth + paralog ratio</w:t>
            </w:r>
          </w:p>
        </w:tc>
        <w:tc>
          <w:tcPr>
            <w:tcW w:type="dxa" w:w="2160"/>
          </w:tcPr>
          <w:p>
            <w:r>
              <w:rPr>
                <w:sz w:val="20"/>
              </w:rPr>
              <w:t>CNV, hybrids, SNV-based alleles</w:t>
            </w:r>
          </w:p>
        </w:tc>
      </w:tr>
      <w:tr>
        <w:tc>
          <w:tcPr>
            <w:tcW w:type="dxa" w:w="2160"/>
          </w:tcPr>
          <w:p>
            <w:r>
              <w:rPr>
                <w:sz w:val="20"/>
              </w:rPr>
              <w:t>Cyrius</w:t>
            </w:r>
          </w:p>
        </w:tc>
        <w:tc>
          <w:tcPr>
            <w:tcW w:type="dxa" w:w="2160"/>
          </w:tcPr>
          <w:p>
            <w:r>
              <w:rPr>
                <w:sz w:val="20"/>
              </w:rPr>
              <w:t>WGS BAM</w:t>
            </w:r>
          </w:p>
        </w:tc>
        <w:tc>
          <w:tcPr>
            <w:tcW w:type="dxa" w:w="2160"/>
          </w:tcPr>
          <w:p>
            <w:r>
              <w:rPr>
                <w:sz w:val="20"/>
              </w:rPr>
              <w:t>Paralog-specific read mapping</w:t>
            </w:r>
          </w:p>
        </w:tc>
        <w:tc>
          <w:tcPr>
            <w:tcW w:type="dxa" w:w="2160"/>
          </w:tcPr>
          <w:p>
            <w:r>
              <w:rPr>
                <w:sz w:val="20"/>
              </w:rPr>
              <w:t>CYP2D6 optimized; DRAGEN-compatible</w:t>
            </w:r>
          </w:p>
        </w:tc>
      </w:tr>
      <w:tr>
        <w:tc>
          <w:tcPr>
            <w:tcW w:type="dxa" w:w="2160"/>
          </w:tcPr>
          <w:p>
            <w:r>
              <w:rPr>
                <w:sz w:val="20"/>
              </w:rPr>
              <w:t>StellarPGx</w:t>
            </w:r>
          </w:p>
        </w:tc>
        <w:tc>
          <w:tcPr>
            <w:tcW w:type="dxa" w:w="2160"/>
          </w:tcPr>
          <w:p>
            <w:r>
              <w:rPr>
                <w:sz w:val="20"/>
              </w:rPr>
              <w:t>WGS BAM</w:t>
            </w:r>
          </w:p>
        </w:tc>
        <w:tc>
          <w:tcPr>
            <w:tcW w:type="dxa" w:w="2160"/>
          </w:tcPr>
          <w:p>
            <w:r>
              <w:rPr>
                <w:sz w:val="20"/>
              </w:rPr>
              <w:t>Long-read aware</w:t>
            </w:r>
          </w:p>
        </w:tc>
        <w:tc>
          <w:tcPr>
            <w:tcW w:type="dxa" w:w="2160"/>
          </w:tcPr>
          <w:p>
            <w:r>
              <w:rPr>
                <w:sz w:val="20"/>
              </w:rPr>
              <w:t>Hybrid allele resolution</w:t>
            </w:r>
          </w:p>
        </w:tc>
      </w:tr>
      <w:tr>
        <w:tc>
          <w:tcPr>
            <w:tcW w:type="dxa" w:w="2160"/>
          </w:tcPr>
          <w:p>
            <w:r>
              <w:rPr>
                <w:sz w:val="20"/>
              </w:rPr>
              <w:t>PharmCAT</w:t>
            </w:r>
          </w:p>
        </w:tc>
        <w:tc>
          <w:tcPr>
            <w:tcW w:type="dxa" w:w="2160"/>
          </w:tcPr>
          <w:p>
            <w:r>
              <w:rPr>
                <w:sz w:val="20"/>
              </w:rPr>
              <w:t>VCF</w:t>
            </w:r>
          </w:p>
        </w:tc>
        <w:tc>
          <w:tcPr>
            <w:tcW w:type="dxa" w:w="2160"/>
          </w:tcPr>
          <w:p>
            <w:r>
              <w:rPr>
                <w:sz w:val="20"/>
              </w:rPr>
              <w:t>SNV matching to star allele definitions</w:t>
            </w:r>
          </w:p>
        </w:tc>
        <w:tc>
          <w:tcPr>
            <w:tcW w:type="dxa" w:w="2160"/>
          </w:tcPr>
          <w:p>
            <w:r>
              <w:rPr>
                <w:sz w:val="20"/>
              </w:rPr>
              <w:t>Does not call structural variants</w:t>
            </w:r>
          </w:p>
        </w:tc>
      </w:tr>
      <w:tr>
        <w:tc>
          <w:tcPr>
            <w:tcW w:type="dxa" w:w="2160"/>
          </w:tcPr>
          <w:p>
            <w:r>
              <w:rPr>
                <w:sz w:val="20"/>
              </w:rPr>
              <w:t>Aldy</w:t>
            </w:r>
          </w:p>
        </w:tc>
        <w:tc>
          <w:tcPr>
            <w:tcW w:type="dxa" w:w="2160"/>
          </w:tcPr>
          <w:p>
            <w:r>
              <w:rPr>
                <w:sz w:val="20"/>
              </w:rPr>
              <w:t>WGS BAM</w:t>
            </w:r>
          </w:p>
        </w:tc>
        <w:tc>
          <w:tcPr>
            <w:tcW w:type="dxa" w:w="2160"/>
          </w:tcPr>
          <w:p>
            <w:r>
              <w:rPr>
                <w:sz w:val="20"/>
              </w:rPr>
              <w:t>Combinatorial allele calling</w:t>
            </w:r>
          </w:p>
        </w:tc>
        <w:tc>
          <w:tcPr>
            <w:tcW w:type="dxa" w:w="2160"/>
          </w:tcPr>
          <w:p>
            <w:r>
              <w:rPr>
                <w:sz w:val="20"/>
              </w:rPr>
              <w:t>CNV + SNV integration</w:t>
            </w:r>
          </w:p>
        </w:tc>
      </w:tr>
    </w:tbl>
    <w:p>
      <w:pPr>
        <w:pStyle w:val="Heading3"/>
      </w:pPr>
      <w:r>
        <w:t>The Agent's Approach</w:t>
      </w:r>
    </w:p>
    <w:p>
      <w:r>
        <w:t>The StarAlleleCaller in pgx_pipeline.py handles SNV-based star allele calls (the majority of clinical PGx testing output). It correctly assigns activity scores for common alleles including 3, 4, 5, 6, 9, 10, 17, 29, 41, and duplication alleles (1xN, *2xN). CYP2D6 structural variant detection from raw sequencing data is noted as a future roadmap item requiring integration with specialized upstream tools (Stargazer, Cyrius).</w:t>
      </w:r>
    </w:p>
    <w:p>
      <w:pPr>
        <w:pStyle w:val="Heading3"/>
      </w:pPr>
      <w:r>
        <w:t>CYP2D6 Haplotype Frequency by Population</w:t>
      </w:r>
    </w:p>
    <w:p>
      <w:r>
        <w:t>Understanding the distribution of CYP2D6 haplotypes across populations is essential for interpreting structural variation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Structural Configuration</w:t>
            </w:r>
          </w:p>
        </w:tc>
        <w:tc>
          <w:tcPr>
            <w:tcW w:type="dxa" w:w="2160"/>
          </w:tcPr>
          <w:p>
            <w:r>
              <w:rPr>
                <w:b/>
                <w:sz w:val="20"/>
              </w:rPr>
              <w:t>European</w:t>
            </w:r>
          </w:p>
        </w:tc>
        <w:tc>
          <w:tcPr>
            <w:tcW w:type="dxa" w:w="2160"/>
          </w:tcPr>
          <w:p>
            <w:r>
              <w:rPr>
                <w:b/>
                <w:sz w:val="20"/>
              </w:rPr>
              <w:t>East Asian</w:t>
            </w:r>
          </w:p>
        </w:tc>
        <w:tc>
          <w:tcPr>
            <w:tcW w:type="dxa" w:w="2160"/>
          </w:tcPr>
          <w:p>
            <w:r>
              <w:rPr>
                <w:b/>
                <w:sz w:val="20"/>
              </w:rPr>
              <w:t>African</w:t>
            </w:r>
          </w:p>
        </w:tc>
      </w:tr>
      <w:tr>
        <w:tc>
          <w:tcPr>
            <w:tcW w:type="dxa" w:w="2160"/>
          </w:tcPr>
          <w:p>
            <w:r>
              <w:rPr>
                <w:sz w:val="20"/>
              </w:rPr>
              <w:t>Normal (2 copies, no deletion/duplication)</w:t>
            </w:r>
          </w:p>
        </w:tc>
        <w:tc>
          <w:tcPr>
            <w:tcW w:type="dxa" w:w="2160"/>
          </w:tcPr>
          <w:p>
            <w:r>
              <w:rPr>
                <w:sz w:val="20"/>
              </w:rPr>
              <w:t>80-85%</w:t>
            </w:r>
          </w:p>
        </w:tc>
        <w:tc>
          <w:tcPr>
            <w:tcW w:type="dxa" w:w="2160"/>
          </w:tcPr>
          <w:p>
            <w:r>
              <w:rPr>
                <w:sz w:val="20"/>
              </w:rPr>
              <w:t>85-90%</w:t>
            </w:r>
          </w:p>
        </w:tc>
        <w:tc>
          <w:tcPr>
            <w:tcW w:type="dxa" w:w="2160"/>
          </w:tcPr>
          <w:p>
            <w:r>
              <w:rPr>
                <w:sz w:val="20"/>
              </w:rPr>
              <w:t>70-80%</w:t>
            </w:r>
          </w:p>
        </w:tc>
      </w:tr>
      <w:tr>
        <w:tc>
          <w:tcPr>
            <w:tcW w:type="dxa" w:w="2160"/>
          </w:tcPr>
          <w:p>
            <w:r>
              <w:rPr>
                <w:sz w:val="20"/>
              </w:rPr>
              <w:t>*5 deletion (one chromosome)</w:t>
            </w:r>
          </w:p>
        </w:tc>
        <w:tc>
          <w:tcPr>
            <w:tcW w:type="dxa" w:w="2160"/>
          </w:tcPr>
          <w:p>
            <w:r>
              <w:rPr>
                <w:sz w:val="20"/>
              </w:rPr>
              <w:t>3-5%</w:t>
            </w:r>
          </w:p>
        </w:tc>
        <w:tc>
          <w:tcPr>
            <w:tcW w:type="dxa" w:w="2160"/>
          </w:tcPr>
          <w:p>
            <w:r>
              <w:rPr>
                <w:sz w:val="20"/>
              </w:rPr>
              <w:t>5-7%</w:t>
            </w:r>
          </w:p>
        </w:tc>
        <w:tc>
          <w:tcPr>
            <w:tcW w:type="dxa" w:w="2160"/>
          </w:tcPr>
          <w:p>
            <w:r>
              <w:rPr>
                <w:sz w:val="20"/>
              </w:rPr>
              <w:t>4-7%</w:t>
            </w:r>
          </w:p>
        </w:tc>
      </w:tr>
      <w:tr>
        <w:tc>
          <w:tcPr>
            <w:tcW w:type="dxa" w:w="2160"/>
          </w:tcPr>
          <w:p>
            <w:r>
              <w:rPr>
                <w:sz w:val="20"/>
              </w:rPr>
              <w:t>Gene duplication (*1xN or *2xN)</w:t>
            </w:r>
          </w:p>
        </w:tc>
        <w:tc>
          <w:tcPr>
            <w:tcW w:type="dxa" w:w="2160"/>
          </w:tcPr>
          <w:p>
            <w:r>
              <w:rPr>
                <w:sz w:val="20"/>
              </w:rPr>
              <w:t>1-2%</w:t>
            </w:r>
          </w:p>
        </w:tc>
        <w:tc>
          <w:tcPr>
            <w:tcW w:type="dxa" w:w="2160"/>
          </w:tcPr>
          <w:p>
            <w:r>
              <w:rPr>
                <w:sz w:val="20"/>
              </w:rPr>
              <w:t>&lt;1%</w:t>
            </w:r>
          </w:p>
        </w:tc>
        <w:tc>
          <w:tcPr>
            <w:tcW w:type="dxa" w:w="2160"/>
          </w:tcPr>
          <w:p>
            <w:r>
              <w:rPr>
                <w:sz w:val="20"/>
              </w:rPr>
              <w:t>3-7%</w:t>
            </w:r>
          </w:p>
        </w:tc>
      </w:tr>
      <w:tr>
        <w:tc>
          <w:tcPr>
            <w:tcW w:type="dxa" w:w="2160"/>
          </w:tcPr>
          <w:p>
            <w:r>
              <w:rPr>
                <w:sz w:val="20"/>
              </w:rPr>
              <w:t>CYP2D6/CYP2D7 hybrid</w:t>
            </w:r>
          </w:p>
        </w:tc>
        <w:tc>
          <w:tcPr>
            <w:tcW w:type="dxa" w:w="2160"/>
          </w:tcPr>
          <w:p>
            <w:r>
              <w:rPr>
                <w:sz w:val="20"/>
              </w:rPr>
              <w:t>2-5%</w:t>
            </w:r>
          </w:p>
        </w:tc>
        <w:tc>
          <w:tcPr>
            <w:tcW w:type="dxa" w:w="2160"/>
          </w:tcPr>
          <w:p>
            <w:r>
              <w:rPr>
                <w:sz w:val="20"/>
              </w:rPr>
              <w:t>1-3%</w:t>
            </w:r>
          </w:p>
        </w:tc>
        <w:tc>
          <w:tcPr>
            <w:tcW w:type="dxa" w:w="2160"/>
          </w:tcPr>
          <w:p>
            <w:r>
              <w:rPr>
                <w:sz w:val="20"/>
              </w:rPr>
              <w:t>3-8%</w:t>
            </w:r>
          </w:p>
        </w:tc>
      </w:tr>
      <w:tr>
        <w:tc>
          <w:tcPr>
            <w:tcW w:type="dxa" w:w="2160"/>
          </w:tcPr>
          <w:p>
            <w:r>
              <w:rPr>
                <w:sz w:val="20"/>
              </w:rPr>
              <w:t>Complex tandem arrangement</w:t>
            </w:r>
          </w:p>
        </w:tc>
        <w:tc>
          <w:tcPr>
            <w:tcW w:type="dxa" w:w="2160"/>
          </w:tcPr>
          <w:p>
            <w:r>
              <w:rPr>
                <w:sz w:val="20"/>
              </w:rPr>
              <w:t>1-3%</w:t>
            </w:r>
          </w:p>
        </w:tc>
        <w:tc>
          <w:tcPr>
            <w:tcW w:type="dxa" w:w="2160"/>
          </w:tcPr>
          <w:p>
            <w:r>
              <w:rPr>
                <w:sz w:val="20"/>
              </w:rPr>
              <w:t>1-2%</w:t>
            </w:r>
          </w:p>
        </w:tc>
        <w:tc>
          <w:tcPr>
            <w:tcW w:type="dxa" w:w="2160"/>
          </w:tcPr>
          <w:p>
            <w:r>
              <w:rPr>
                <w:sz w:val="20"/>
              </w:rPr>
              <w:t>5-10%</w:t>
            </w:r>
          </w:p>
        </w:tc>
      </w:tr>
    </w:tbl>
    <w:p>
      <w:r>
        <w:t>African populations show the highest frequency of complex structural arrangements, which has two implications: (1) PGx testing panels must detect structural variants to accurately genotype these populations, and (2) standard SNP arrays that do not detect structural variants will systematically misclassify a portion of African patients.</w:t>
      </w:r>
    </w:p>
    <w:p>
      <w:pPr>
        <w:pStyle w:val="Heading3"/>
      </w:pPr>
      <w:r>
        <w:t>Clinical Impact of CYP2D6 CNV Misclassification</w:t>
      </w:r>
    </w:p>
    <w:p>
      <w:r>
        <w:t>If a CYP2D6 gene duplication is not detected: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True Genotype</w:t>
            </w:r>
          </w:p>
        </w:tc>
        <w:tc>
          <w:tcPr>
            <w:tcW w:type="dxa" w:w="1728"/>
          </w:tcPr>
          <w:p>
            <w:r>
              <w:rPr>
                <w:b/>
                <w:sz w:val="20"/>
              </w:rPr>
              <w:t>True Phenotype</w:t>
            </w:r>
          </w:p>
        </w:tc>
        <w:tc>
          <w:tcPr>
            <w:tcW w:type="dxa" w:w="1728"/>
          </w:tcPr>
          <w:p>
            <w:r>
              <w:rPr>
                <w:b/>
                <w:sz w:val="20"/>
              </w:rPr>
              <w:t>Misclassified As</w:t>
            </w:r>
          </w:p>
        </w:tc>
        <w:tc>
          <w:tcPr>
            <w:tcW w:type="dxa" w:w="1728"/>
          </w:tcPr>
          <w:p>
            <w:r>
              <w:rPr>
                <w:b/>
                <w:sz w:val="20"/>
              </w:rPr>
              <w:t>Misclassified Phenotype</w:t>
            </w:r>
          </w:p>
        </w:tc>
        <w:tc>
          <w:tcPr>
            <w:tcW w:type="dxa" w:w="1728"/>
          </w:tcPr>
          <w:p>
            <w:r>
              <w:rPr>
                <w:b/>
                <w:sz w:val="20"/>
              </w:rPr>
              <w:t>Clinical Risk</w:t>
            </w:r>
          </w:p>
        </w:tc>
      </w:tr>
      <w:tr>
        <w:tc>
          <w:tcPr>
            <w:tcW w:type="dxa" w:w="1728"/>
          </w:tcPr>
          <w:p>
            <w:r>
              <w:rPr>
                <w:sz w:val="20"/>
              </w:rPr>
              <w:t>*1/*2xN (3 copies)</w:t>
            </w:r>
          </w:p>
        </w:tc>
        <w:tc>
          <w:tcPr>
            <w:tcW w:type="dxa" w:w="1728"/>
          </w:tcPr>
          <w:p>
            <w:r>
              <w:rPr>
                <w:sz w:val="20"/>
              </w:rPr>
              <w:t>UM (AS = 3.0)</w:t>
            </w:r>
          </w:p>
        </w:tc>
        <w:tc>
          <w:tcPr>
            <w:tcW w:type="dxa" w:w="1728"/>
          </w:tcPr>
          <w:p>
            <w:r>
              <w:rPr>
                <w:sz w:val="20"/>
              </w:rPr>
              <w:t>*1/*2</w:t>
            </w:r>
          </w:p>
        </w:tc>
        <w:tc>
          <w:tcPr>
            <w:tcW w:type="dxa" w:w="1728"/>
          </w:tcPr>
          <w:p>
            <w:r>
              <w:rPr>
                <w:sz w:val="20"/>
              </w:rPr>
              <w:t>NM (AS = 2.0)</w:t>
            </w:r>
          </w:p>
        </w:tc>
        <w:tc>
          <w:tcPr>
            <w:tcW w:type="dxa" w:w="1728"/>
          </w:tcPr>
          <w:p>
            <w:r>
              <w:rPr>
                <w:sz w:val="20"/>
              </w:rPr>
              <w:t>Codeine toxicity missed; high-dose tramadol risk not flagged</w:t>
            </w:r>
          </w:p>
        </w:tc>
      </w:tr>
      <w:tr>
        <w:tc>
          <w:tcPr>
            <w:tcW w:type="dxa" w:w="1728"/>
          </w:tcPr>
          <w:p>
            <w:r>
              <w:rPr>
                <w:sz w:val="20"/>
              </w:rPr>
              <w:t>*4/*4xN</w:t>
            </w:r>
          </w:p>
        </w:tc>
        <w:tc>
          <w:tcPr>
            <w:tcW w:type="dxa" w:w="1728"/>
          </w:tcPr>
          <w:p>
            <w:r>
              <w:rPr>
                <w:sz w:val="20"/>
              </w:rPr>
              <w:t>PM (0 functional copies)</w:t>
            </w:r>
          </w:p>
        </w:tc>
        <w:tc>
          <w:tcPr>
            <w:tcW w:type="dxa" w:w="1728"/>
          </w:tcPr>
          <w:p>
            <w:r>
              <w:rPr>
                <w:sz w:val="20"/>
              </w:rPr>
              <w:t>*4/*4</w:t>
            </w:r>
          </w:p>
        </w:tc>
        <w:tc>
          <w:tcPr>
            <w:tcW w:type="dxa" w:w="1728"/>
          </w:tcPr>
          <w:p>
            <w:r>
              <w:rPr>
                <w:sz w:val="20"/>
              </w:rPr>
              <w:t>PM (correct)</w:t>
            </w:r>
          </w:p>
        </w:tc>
        <w:tc>
          <w:tcPr>
            <w:tcW w:type="dxa" w:w="1728"/>
          </w:tcPr>
          <w:p>
            <w:r>
              <w:rPr>
                <w:sz w:val="20"/>
              </w:rPr>
              <w:t>Correct by coincidence</w:t>
            </w:r>
          </w:p>
        </w:tc>
      </w:tr>
      <w:tr>
        <w:tc>
          <w:tcPr>
            <w:tcW w:type="dxa" w:w="1728"/>
          </w:tcPr>
          <w:p>
            <w:r>
              <w:rPr>
                <w:sz w:val="20"/>
              </w:rPr>
              <w:t>*1/*5 (deletion)</w:t>
            </w:r>
          </w:p>
        </w:tc>
        <w:tc>
          <w:tcPr>
            <w:tcW w:type="dxa" w:w="1728"/>
          </w:tcPr>
          <w:p>
            <w:r>
              <w:rPr>
                <w:sz w:val="20"/>
              </w:rPr>
              <w:t>IM (AS = 1.0)</w:t>
            </w:r>
          </w:p>
        </w:tc>
        <w:tc>
          <w:tcPr>
            <w:tcW w:type="dxa" w:w="1728"/>
          </w:tcPr>
          <w:p>
            <w:r>
              <w:rPr>
                <w:sz w:val="20"/>
              </w:rPr>
              <w:t>*1 (homozygous)</w:t>
            </w:r>
          </w:p>
        </w:tc>
        <w:tc>
          <w:tcPr>
            <w:tcW w:type="dxa" w:w="1728"/>
          </w:tcPr>
          <w:p>
            <w:r>
              <w:rPr>
                <w:sz w:val="20"/>
              </w:rPr>
              <w:t>NM (AS = 2.0)</w:t>
            </w:r>
          </w:p>
        </w:tc>
        <w:tc>
          <w:tcPr>
            <w:tcW w:type="dxa" w:w="1728"/>
          </w:tcPr>
          <w:p>
            <w:r>
              <w:rPr>
                <w:sz w:val="20"/>
              </w:rPr>
              <w:t>Dose adjustment needed but not recommended</w:t>
            </w:r>
          </w:p>
        </w:tc>
      </w:tr>
    </w:tbl>
    <w:p>
      <w:r>
        <w:t>This illustrates why comprehensive CYP2D6 genotyping -- including copy number analysis -- is essential for accurate phenotype prediction, especially in populations with higher rates of structural variation.</w:t>
      </w:r>
    </w:p>
    <w:p>
      <w:pPr>
        <w:pStyle w:val="Heading2"/>
      </w:pPr>
      <w:r>
        <w:t>9. RAG Architecture Deep Dive</w:t>
      </w:r>
    </w:p>
    <w:p>
      <w:pPr>
        <w:pStyle w:val="Heading3"/>
      </w:pPr>
      <w:r>
        <w:t>Why Multi-Collection RAG?</w:t>
      </w:r>
    </w:p>
    <w:p>
      <w:r>
        <w:t>Traditional single-collection RAG stores all documents in one vector collection and retrieves the top-K most similar documents. This works well for homogeneous document sets but fails for pharmacogenomics because:</w:t>
      </w:r>
    </w:p>
    <w:p>
      <w:pPr>
        <w:pStyle w:val="ListNumber"/>
      </w:pPr>
      <w:r>
        <w:t>Schema heterogeneity: A gene reference record has different fields (star allele, activity score) than a drug guideline (phenotype, recommendation) or a clinical trial (NCT ID, phase, enrollment).</w:t>
      </w:r>
    </w:p>
    <w:p>
      <w:pPr>
        <w:pStyle w:val="ListNumber"/>
      </w:pPr>
      <w:r>
        <w:t>Relevance weighting: Drug guidelines should rank higher than educational materials for clinical queries. A single collection cannot express this preference.</w:t>
      </w:r>
    </w:p>
    <w:p>
      <w:pPr>
        <w:pStyle w:val="ListNumber"/>
      </w:pPr>
      <w:r>
        <w:t>Structured filtering: Queries like "all CPIC Level A guidelines for CYP2D6" require field-level filtering that is only possible with collection-specific schemas.</w:t>
      </w:r>
    </w:p>
    <w:p>
      <w:pPr>
        <w:pStyle w:val="ListNumber"/>
      </w:pPr>
      <w:r>
        <w:t>Safety criticality: HLA contraindications must never be missed due to embedding similarity scores. Separate collections with guaranteed weight ensure safety-critical information surfaces.</w:t>
      </w:r>
    </w:p>
    <w:p>
      <w:pPr>
        <w:pStyle w:val="Heading3"/>
      </w:pPr>
      <w:r>
        <w:t>The 15-Collection Solution</w:t>
      </w:r>
    </w:p>
    <w:p>
      <w:r>
        <w:t>Each of the 15 collections has:</w:t>
      </w:r>
    </w:p>
    <w:p>
      <w:pPr>
        <w:pStyle w:val="ListBullet"/>
      </w:pPr>
      <w:r>
        <w:t>Domain-specific Milvus schema with typed fields (VARCHAR, FLOAT, INT)</w:t>
      </w:r>
    </w:p>
    <w:p>
      <w:pPr>
        <w:pStyle w:val="ListBullet"/>
      </w:pPr>
      <w:r>
        <w:t>Configurable search weight (0.02 to 0.14, summing to 1.0)</w:t>
      </w:r>
    </w:p>
    <w:p>
      <w:pPr>
        <w:pStyle w:val="ListBullet"/>
      </w:pPr>
      <w:r>
        <w:t>Collection-specific embedding text (to_embedding_text() produces domain-optimized text)</w:t>
      </w:r>
    </w:p>
    <w:p>
      <w:pPr>
        <w:pStyle w:val="ListBullet"/>
      </w:pPr>
      <w:r>
        <w:t>Independent ingest pipeline (each collection can be refreshed without affecting others)</w:t>
      </w:r>
    </w:p>
    <w:p>
      <w:pPr>
        <w:pStyle w:val="Heading3"/>
      </w:pPr>
      <w:r>
        <w:t>Parallel Search Architecture</w:t>
      </w:r>
    </w:p>
    <w:p>
      <w:pPr>
        <w:ind w:left="720"/>
      </w:pPr>
      <w:r>
        <w:rPr>
          <w:rFonts w:ascii="Consolas" w:hAnsi="Consolas"/>
          <w:sz w:val="18"/>
        </w:rPr>
        <w:t>Query Embedding (384-dim)</w:t>
        <w:br/>
        <w:t xml:space="preserve">     |</w:t>
        <w:br/>
        <w:t xml:space="preserve">     +-- [Thread 1]  pgx_gene_reference      (weight: 0.10)</w:t>
        <w:br/>
        <w:t xml:space="preserve">     +-- [Thread 2]  pgx_drug_guidelines      (weight: 0.14)</w:t>
        <w:br/>
        <w:t xml:space="preserve">     +-- [Thread 3]  pgx_drug_interactions    (weight: 0.12)</w:t>
        <w:br/>
        <w:t xml:space="preserve">     +-- [Thread 4]  pgx_hla_hypersensitivity (weight: 0.10)</w:t>
        <w:br/>
        <w:t xml:space="preserve">     +-- [Thread 5]  pgx_phenoconversion      (weight: 0.08)</w:t>
        <w:br/>
        <w:t xml:space="preserve">     +-- [Thread 6]  pgx_dosing_algorithms    (weight: 0.07)</w:t>
        <w:br/>
        <w:t xml:space="preserve">     +-- [Thread 7]  pgx_clinical_evidence    (weight: 0.08)</w:t>
        <w:br/>
        <w:t xml:space="preserve">     +-- [Thread 8]  pgx_population_data      (weight: 0.06)</w:t>
        <w:br/>
        <w:t xml:space="preserve">     +-- [Thread 9]  pgx_clinical_trials      (weight: 0.04)</w:t>
        <w:br/>
        <w:t xml:space="preserve">     +-- [Thread 10] pgx_fda_labels           (weight: 0.06)</w:t>
        <w:br/>
        <w:t xml:space="preserve">     +-- [Thread 11] pgx_drug_alternatives    (weight: 0.05)</w:t>
        <w:br/>
        <w:t xml:space="preserve">     +-- [Thread 12] pgx_patient_profiles     (weight: 0.03)</w:t>
        <w:br/>
        <w:t xml:space="preserve">     +-- [Thread 13] pgx_implementation       (weight: 0.02)</w:t>
        <w:br/>
        <w:t xml:space="preserve">     +-- [Thread 14] pgx_education            (weight: 0.02)</w:t>
        <w:br/>
        <w:t xml:space="preserve">     +-- [Thread 15] genomic_evidence         (weight: 0.03)</w:t>
        <w:br/>
        <w:t xml:space="preserve">     |</w:t>
        <w:br/>
        <w:t xml:space="preserve">     v</w:t>
        <w:br/>
        <w:t>Merge &amp; Rank (deduplicate, weighted score, cap at 30)</w:t>
        <w:br/>
        <w:t xml:space="preserve">     |</w:t>
        <w:br/>
        <w:t xml:space="preserve">     v</w:t>
        <w:br/>
        <w:t>Knowledge Augmentation (deterministic context from knowledge graph)</w:t>
        <w:br/>
        <w:t xml:space="preserve">     |</w:t>
        <w:br/>
        <w:t xml:space="preserve">     v</w:t>
        <w:br/>
        <w:t>Prompt Assembly (evidence + knowledge + question + citation instructions)</w:t>
        <w:br/>
        <w:t xml:space="preserve">     |</w:t>
        <w:br/>
        <w:t xml:space="preserve">     v</w:t>
        <w:br/>
        <w:t>LLM Synthesis (Claude Sonnet 4.6, streaming, 2048 tokens)</w:t>
      </w:r>
    </w:p>
    <w:p>
      <w:pPr>
        <w:pStyle w:val="Heading3"/>
      </w:pPr>
      <w:r>
        <w:t>Knowledge Augmentation vs Vector Retrieval</w:t>
      </w:r>
    </w:p>
    <w:p>
      <w:r>
        <w:t>The system uses two complementary information retrieval strategies:</w:t>
      </w:r>
    </w:p>
    <w:p>
      <w:pPr>
        <w:pStyle w:val="ListNumber"/>
      </w:pPr>
      <w:r>
        <w:t>Vector retrieval (probabilistic): Finds semantically similar records from Milvus collections. Good for discovering relevant evidence that the user did not explicitly ask about. Strengths: handles natural language, discovers unexpected connections. Weakness: may miss exact matches, no guarantee of completeness.</w:t>
      </w:r>
    </w:p>
    <w:p>
      <w:pPr>
        <w:pStyle w:val="ListNumber"/>
      </w:pPr>
      <w:r>
        <w:t>Knowledge augmentation (deterministic): Extracts structured facts from the knowledge graph (pharmacogenes, drug categories, HLA associations). Guarantees that critical safety information is never missed due to embedding similarity thresholds. Strengths: complete, reliable, fast. Weakness: limited to pre-encoded knowledge.</w:t>
      </w:r>
    </w:p>
    <w:p>
      <w:pPr>
        <w:pStyle w:val="Heading3"/>
      </w:pPr>
      <w:r>
        <w:t>Why Both Are Needed: A Practical Example</w:t>
      </w:r>
    </w:p>
    <w:p>
      <w:r>
        <w:t>Consider the query: "Can I prescribe Tegretol to my Vietnamese patient?"</w:t>
      </w:r>
    </w:p>
    <w:p>
      <w:r>
        <w:t>Vector retrieval finds:</w:t>
      </w:r>
    </w:p>
    <w:p>
      <w:pPr>
        <w:pStyle w:val="ListBullet"/>
      </w:pPr>
      <w:r>
        <w:t>Drug guideline records mentioning carbamazepine (Tegretol is a brand name)</w:t>
      </w:r>
    </w:p>
    <w:p>
      <w:pPr>
        <w:pStyle w:val="ListBullet"/>
      </w:pPr>
      <w:r>
        <w:t>HLA hypersensitivity records mentioning SJS/TEN</w:t>
      </w:r>
    </w:p>
    <w:p>
      <w:pPr>
        <w:pStyle w:val="ListBullet"/>
      </w:pPr>
      <w:r>
        <w:t>Population data records mentioning Southeast Asian allele frequencies</w:t>
      </w:r>
    </w:p>
    <w:p>
      <w:r>
        <w:t>Knowledge augmentation adds:</w:t>
      </w:r>
    </w:p>
    <w:p>
      <w:pPr>
        <w:pStyle w:val="ListBullet"/>
      </w:pPr>
      <w:r>
        <w:t>Entity alias resolution: "Tegretol" --&gt; "carbamazepine"</w:t>
      </w:r>
    </w:p>
    <w:p>
      <w:pPr>
        <w:pStyle w:val="ListBullet"/>
      </w:pPr>
      <w:r>
        <w:t>HLA fact: HLA-B*15:02 prevalence in Vietnamese (Southeast Asian) = 2-15%</w:t>
      </w:r>
    </w:p>
    <w:p>
      <w:pPr>
        <w:pStyle w:val="ListBullet"/>
      </w:pPr>
      <w:r>
        <w:t>Deterministic alert: "HLA-B*15:02 testing is FDA-recommended before carbamazepine"</w:t>
      </w:r>
    </w:p>
    <w:p>
      <w:pPr>
        <w:pStyle w:val="ListBullet"/>
      </w:pPr>
      <w:r>
        <w:t>Alternative drugs: lamotrigine, levetiracetam, valproic acid</w:t>
      </w:r>
    </w:p>
    <w:p>
      <w:r>
        <w:t>Without knowledge augmentation, the system might miss the population-specific HLA risk if the vector similarity between "Vietnamese patient" and the HLA record is below threshold. With knowledge augmentation, the connection is made deterministically through the knowledge graph.</w:t>
      </w:r>
    </w:p>
    <w:p>
      <w:pPr>
        <w:pStyle w:val="Heading3"/>
      </w:pPr>
      <w:r>
        <w:t>Embedding Strategy Details</w:t>
      </w:r>
    </w:p>
    <w:p>
      <w:r>
        <w:t>Model: BGE-small-en-v1.5 (BAAI)</w:t>
      </w:r>
    </w:p>
    <w:p>
      <w:pPr>
        <w:pStyle w:val="ListBullet"/>
      </w:pPr>
      <w:r>
        <w:t>Dimensions: 384</w:t>
      </w:r>
    </w:p>
    <w:p>
      <w:pPr>
        <w:pStyle w:val="ListBullet"/>
      </w:pPr>
      <w:r>
        <w:t>Max sequence length: 512 tokens</w:t>
      </w:r>
    </w:p>
    <w:p>
      <w:pPr>
        <w:pStyle w:val="ListBullet"/>
      </w:pPr>
      <w:r>
        <w:t>Trained on: Large-scale English text retrieval datasets</w:t>
      </w:r>
    </w:p>
    <w:p>
      <w:pPr>
        <w:pStyle w:val="ListBullet"/>
      </w:pPr>
      <w:r>
        <w:t>Retrieval prefix: "Represent this sentence for searching relevant passages: {query}"</w:t>
      </w:r>
    </w:p>
    <w:p>
      <w:r>
        <w:t>Collection-specific embedding text construction:</w:t>
      </w:r>
    </w:p>
    <w:p>
      <w:r>
        <w:t>Each collection model implements to_embedding_text() to produce domain-optimized text. Examples:</w:t>
      </w:r>
    </w:p>
    <w:p>
      <w:pPr>
        <w:ind w:left="720"/>
      </w:pPr>
      <w:r>
        <w:rPr>
          <w:rFonts w:ascii="Consolas" w:hAnsi="Consolas"/>
          <w:sz w:val="18"/>
        </w:rPr>
        <w:t>pgx_gene_reference:</w:t>
        <w:br/>
        <w:t xml:space="preserve">  "Pharmacogene CYP2D6 star allele *4 with no function.</w:t>
        <w:br/>
        <w:t xml:space="preserve">   Activity score: 0.0. Defining variants: rs3892097 (1846G&gt;A)."</w:t>
        <w:br/>
        <w:br/>
        <w:t>pgx_drug_guidelines:</w:t>
        <w:br/>
        <w:t xml:space="preserve">  "CPIC Level A guideline for CYP2D6 and codeine.</w:t>
        <w:br/>
        <w:t xml:space="preserve">   Phenotype: Poor Metabolizer. Recommendation: Avoid codeine;</w:t>
        <w:br/>
        <w:t xml:space="preserve">   use non-CYP2D6 opioid or non-opioid analgesic."</w:t>
        <w:br/>
        <w:br/>
        <w:t>pgx_hla_hypersensitivity:</w:t>
        <w:br/>
        <w:t xml:space="preserve">  "HLA-B*15:02 and carbamazepine. Reaction: Stevens-Johnson</w:t>
        <w:br/>
        <w:t xml:space="preserve">   syndrome / toxic epidermal necrolysis. Severity: Fatal/Severe.</w:t>
        <w:br/>
        <w:t xml:space="preserve">   Population risk: Southeast Asian 2-15%."</w:t>
      </w:r>
    </w:p>
    <w:p>
      <w:r>
        <w:t>This domain-specific embedding text construction ensures that the most clinically relevant fields are prioritized during embedding generation, improving retrieval relevance for pharmacogenomic queries.</w:t>
      </w:r>
    </w:p>
    <w:p>
      <w:pPr>
        <w:pStyle w:val="Heading3"/>
      </w:pPr>
      <w:r>
        <w:t>Query Expansion Strategy</w:t>
      </w:r>
    </w:p>
    <w:p>
      <w:r>
        <w:t>14 expansion maps enrich queries with domain synonyms. When a user asks about "Coumadin dosing," the expansion system adds:</w:t>
      </w:r>
    </w:p>
    <w:p>
      <w:pPr>
        <w:pStyle w:val="ListBullet"/>
      </w:pPr>
      <w:r>
        <w:t>Drug synonyms: warfarin, anticoagulant, blood thinner</w:t>
      </w:r>
    </w:p>
    <w:p>
      <w:pPr>
        <w:pStyle w:val="ListBullet"/>
      </w:pPr>
      <w:r>
        <w:t>Gene associations: CYP2C9, VKORC1, CYP4F2</w:t>
      </w:r>
    </w:p>
    <w:p>
      <w:pPr>
        <w:pStyle w:val="ListBullet"/>
      </w:pPr>
      <w:r>
        <w:t>Clinical terms: INR, vitamin K antagonist, bleeding risk</w:t>
      </w:r>
    </w:p>
    <w:p>
      <w:pPr>
        <w:pStyle w:val="ListBullet"/>
      </w:pPr>
      <w:r>
        <w:t>Metric terms: dose adjustment, international normalized ratio</w:t>
      </w:r>
    </w:p>
    <w:p>
      <w:r>
        <w:t>These expansion terms are re-embedded and searched, significantly improving recall for queries using lay language or brand names.</w:t>
      </w:r>
    </w:p>
    <w:p>
      <w:pPr>
        <w:pStyle w:val="Heading3"/>
      </w:pPr>
      <w:r>
        <w:t>Workflow-Based Weight Boosting</w:t>
      </w:r>
    </w:p>
    <w:p>
      <w:r>
        <w:t>The agent's search_plan() method detects the type of clinical query and adjusts collection weights accordingly: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Workflow Type</w:t>
            </w:r>
          </w:p>
        </w:tc>
        <w:tc>
          <w:tcPr>
            <w:tcW w:type="dxa" w:w="2880"/>
          </w:tcPr>
          <w:p>
            <w:r>
              <w:rPr>
                <w:b/>
                <w:sz w:val="20"/>
              </w:rPr>
              <w:t>Boosted Collections</w:t>
            </w:r>
          </w:p>
        </w:tc>
        <w:tc>
          <w:tcPr>
            <w:tcW w:type="dxa" w:w="2880"/>
          </w:tcPr>
          <w:p>
            <w:r>
              <w:rPr>
                <w:b/>
                <w:sz w:val="20"/>
              </w:rPr>
              <w:t>Reduced Collections</w:t>
            </w:r>
          </w:p>
        </w:tc>
      </w:tr>
      <w:tr>
        <w:tc>
          <w:tcPr>
            <w:tcW w:type="dxa" w:w="2880"/>
          </w:tcPr>
          <w:p>
            <w:r>
              <w:rPr>
                <w:sz w:val="20"/>
              </w:rPr>
              <w:t>Drug interaction check</w:t>
            </w:r>
          </w:p>
        </w:tc>
        <w:tc>
          <w:tcPr>
            <w:tcW w:type="dxa" w:w="2880"/>
          </w:tcPr>
          <w:p>
            <w:r>
              <w:rPr>
                <w:sz w:val="20"/>
              </w:rPr>
              <w:t>drug_guidelines (+), drug_interactions (+)</w:t>
            </w:r>
          </w:p>
        </w:tc>
        <w:tc>
          <w:tcPr>
            <w:tcW w:type="dxa" w:w="2880"/>
          </w:tcPr>
          <w:p>
            <w:r>
              <w:rPr>
                <w:sz w:val="20"/>
              </w:rPr>
              <w:t>education (-), implementation (-)</w:t>
            </w:r>
          </w:p>
        </w:tc>
      </w:tr>
      <w:tr>
        <w:tc>
          <w:tcPr>
            <w:tcW w:type="dxa" w:w="2880"/>
          </w:tcPr>
          <w:p>
            <w:r>
              <w:rPr>
                <w:sz w:val="20"/>
              </w:rPr>
              <w:t>HLA screening</w:t>
            </w:r>
          </w:p>
        </w:tc>
        <w:tc>
          <w:tcPr>
            <w:tcW w:type="dxa" w:w="2880"/>
          </w:tcPr>
          <w:p>
            <w:r>
              <w:rPr>
                <w:sz w:val="20"/>
              </w:rPr>
              <w:t>hla_hypersensitivity (+), population_data (+)</w:t>
            </w:r>
          </w:p>
        </w:tc>
        <w:tc>
          <w:tcPr>
            <w:tcW w:type="dxa" w:w="2880"/>
          </w:tcPr>
          <w:p>
            <w:r>
              <w:rPr>
                <w:sz w:val="20"/>
              </w:rPr>
              <w:t>dosing_algorithms (-), clinical_trials (-)</w:t>
            </w:r>
          </w:p>
        </w:tc>
      </w:tr>
      <w:tr>
        <w:tc>
          <w:tcPr>
            <w:tcW w:type="dxa" w:w="2880"/>
          </w:tcPr>
          <w:p>
            <w:r>
              <w:rPr>
                <w:sz w:val="20"/>
              </w:rPr>
              <w:t>Dosing calculation</w:t>
            </w:r>
          </w:p>
        </w:tc>
        <w:tc>
          <w:tcPr>
            <w:tcW w:type="dxa" w:w="2880"/>
          </w:tcPr>
          <w:p>
            <w:r>
              <w:rPr>
                <w:sz w:val="20"/>
              </w:rPr>
              <w:t>dosing_algorithms (+), drug_guidelines (+)</w:t>
            </w:r>
          </w:p>
        </w:tc>
        <w:tc>
          <w:tcPr>
            <w:tcW w:type="dxa" w:w="2880"/>
          </w:tcPr>
          <w:p>
            <w:r>
              <w:rPr>
                <w:sz w:val="20"/>
              </w:rPr>
              <w:t>education (-), patient_profiles (-)</w:t>
            </w:r>
          </w:p>
        </w:tc>
      </w:tr>
      <w:tr>
        <w:tc>
          <w:tcPr>
            <w:tcW w:type="dxa" w:w="2880"/>
          </w:tcPr>
          <w:p>
            <w:r>
              <w:rPr>
                <w:sz w:val="20"/>
              </w:rPr>
              <w:t>Phenoconversion</w:t>
            </w:r>
          </w:p>
        </w:tc>
        <w:tc>
          <w:tcPr>
            <w:tcW w:type="dxa" w:w="2880"/>
          </w:tcPr>
          <w:p>
            <w:r>
              <w:rPr>
                <w:sz w:val="20"/>
              </w:rPr>
              <w:t>phenoconversion (+), drug_interactions (+)</w:t>
            </w:r>
          </w:p>
        </w:tc>
        <w:tc>
          <w:tcPr>
            <w:tcW w:type="dxa" w:w="2880"/>
          </w:tcPr>
          <w:p>
            <w:r>
              <w:rPr>
                <w:sz w:val="20"/>
              </w:rPr>
              <w:t>population_data (-), clinical_trials (-)</w:t>
            </w:r>
          </w:p>
        </w:tc>
      </w:tr>
      <w:tr>
        <w:tc>
          <w:tcPr>
            <w:tcW w:type="dxa" w:w="2880"/>
          </w:tcPr>
          <w:p>
            <w:r>
              <w:rPr>
                <w:sz w:val="20"/>
              </w:rPr>
              <w:t>General education</w:t>
            </w:r>
          </w:p>
        </w:tc>
        <w:tc>
          <w:tcPr>
            <w:tcW w:type="dxa" w:w="2880"/>
          </w:tcPr>
          <w:p>
            <w:r>
              <w:rPr>
                <w:sz w:val="20"/>
              </w:rPr>
              <w:t>education (+), gene_reference (+)</w:t>
            </w:r>
          </w:p>
        </w:tc>
        <w:tc>
          <w:tcPr>
            <w:tcW w:type="dxa" w:w="2880"/>
          </w:tcPr>
          <w:p>
            <w:r>
              <w:rPr>
                <w:sz w:val="20"/>
              </w:rPr>
              <w:t>dosing_algorithms (-), phenoconversion (-)</w:t>
            </w:r>
          </w:p>
        </w:tc>
      </w:tr>
    </w:tbl>
    <w:p>
      <w:r>
        <w:t>This dynamic weight adjustment ensures that the most relevant collections contribute disproportionately to each query type while maintaining coverage across all 15 collections.</w:t>
      </w:r>
    </w:p>
    <w:p>
      <w:pPr>
        <w:pStyle w:val="Heading2"/>
      </w:pPr>
      <w:r>
        <w:t>10. Clinical Implementation Challenges</w:t>
      </w:r>
    </w:p>
    <w:p>
      <w:pPr>
        <w:pStyle w:val="Heading3"/>
      </w:pPr>
      <w:r>
        <w:t>Pre-emptive vs Reactive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Approach</w:t>
            </w:r>
          </w:p>
        </w:tc>
        <w:tc>
          <w:tcPr>
            <w:tcW w:type="dxa" w:w="2880"/>
          </w:tcPr>
          <w:p>
            <w:r>
              <w:rPr>
                <w:b/>
                <w:sz w:val="20"/>
              </w:rPr>
              <w:t>Pros</w:t>
            </w:r>
          </w:p>
        </w:tc>
        <w:tc>
          <w:tcPr>
            <w:tcW w:type="dxa" w:w="2880"/>
          </w:tcPr>
          <w:p>
            <w:r>
              <w:rPr>
                <w:b/>
                <w:sz w:val="20"/>
              </w:rPr>
              <w:t>Cons</w:t>
            </w:r>
          </w:p>
        </w:tc>
      </w:tr>
      <w:tr>
        <w:tc>
          <w:tcPr>
            <w:tcW w:type="dxa" w:w="2880"/>
          </w:tcPr>
          <w:p>
            <w:r>
              <w:rPr>
                <w:sz w:val="20"/>
              </w:rPr>
              <w:t>Pre-emptive panel</w:t>
            </w:r>
          </w:p>
        </w:tc>
        <w:tc>
          <w:tcPr>
            <w:tcW w:type="dxa" w:w="2880"/>
          </w:tcPr>
          <w:p>
            <w:r>
              <w:rPr>
                <w:sz w:val="20"/>
              </w:rPr>
              <w:t>Results available when needed; cost-effective per test; comprehensive; one-time test</w:t>
            </w:r>
          </w:p>
        </w:tc>
        <w:tc>
          <w:tcPr>
            <w:tcW w:type="dxa" w:w="2880"/>
          </w:tcPr>
          <w:p>
            <w:r>
              <w:rPr>
                <w:sz w:val="20"/>
              </w:rPr>
              <w:t>Upfront cost; results may not be needed for years; requires EHR integration</w:t>
            </w:r>
          </w:p>
        </w:tc>
      </w:tr>
      <w:tr>
        <w:tc>
          <w:tcPr>
            <w:tcW w:type="dxa" w:w="2880"/>
          </w:tcPr>
          <w:p>
            <w:r>
              <w:rPr>
                <w:sz w:val="20"/>
              </w:rPr>
              <w:t>Reactive single-gene</w:t>
            </w:r>
          </w:p>
        </w:tc>
        <w:tc>
          <w:tcPr>
            <w:tcW w:type="dxa" w:w="2880"/>
          </w:tcPr>
          <w:p>
            <w:r>
              <w:rPr>
                <w:sz w:val="20"/>
              </w:rPr>
              <w:t>Only tests when clinically indicated; lower per-encounter cost</w:t>
            </w:r>
          </w:p>
        </w:tc>
        <w:tc>
          <w:tcPr>
            <w:tcW w:type="dxa" w:w="2880"/>
          </w:tcPr>
          <w:p>
            <w:r>
              <w:rPr>
                <w:sz w:val="20"/>
              </w:rPr>
              <w:t>Turnaround delay (days to weeks); may miss future prescribing needs; repeated testing costs</w:t>
            </w:r>
          </w:p>
        </w:tc>
      </w:tr>
    </w:tbl>
    <w:p>
      <w:r>
        <w:t>The evidence increasingly favors pre-emptive testing. The PREPARE trial (Swen et al., Lancet 2023) demonstrated a 30% ADR reduction with pre-emptive 12-gene panels, and the RIGHT study at Mayo Clinic found that 99% of patients had at least one actionable result from pre-emptive testing.</w:t>
      </w:r>
    </w:p>
    <w:p>
      <w:pPr>
        <w:pStyle w:val="Heading3"/>
      </w:pPr>
      <w:r>
        <w:t>EHR Integration Approaches</w:t>
      </w:r>
    </w:p>
    <w:p>
      <w:r>
        <w:t>The most impactful PGx implementation programs integrate results into the electronic health record (EHR) with clinical decision support (CDS) alerts. Several integration approaches exist: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Approach</w:t>
            </w:r>
          </w:p>
        </w:tc>
        <w:tc>
          <w:tcPr>
            <w:tcW w:type="dxa" w:w="2160"/>
          </w:tcPr>
          <w:p>
            <w:r>
              <w:rPr>
                <w:b/>
                <w:sz w:val="20"/>
              </w:rPr>
              <w:t>Complexity</w:t>
            </w:r>
          </w:p>
        </w:tc>
        <w:tc>
          <w:tcPr>
            <w:tcW w:type="dxa" w:w="2160"/>
          </w:tcPr>
          <w:p>
            <w:r>
              <w:rPr>
                <w:b/>
                <w:sz w:val="20"/>
              </w:rPr>
              <w:t>Clinician Disruption</w:t>
            </w:r>
          </w:p>
        </w:tc>
        <w:tc>
          <w:tcPr>
            <w:tcW w:type="dxa" w:w="2160"/>
          </w:tcPr>
          <w:p>
            <w:r>
              <w:rPr>
                <w:b/>
                <w:sz w:val="20"/>
              </w:rPr>
              <w:t>Effectiveness</w:t>
            </w:r>
          </w:p>
        </w:tc>
      </w:tr>
      <w:tr>
        <w:tc>
          <w:tcPr>
            <w:tcW w:type="dxa" w:w="2160"/>
          </w:tcPr>
          <w:p>
            <w:r>
              <w:rPr>
                <w:sz w:val="20"/>
              </w:rPr>
              <w:t>Passive reporting (PDF in chart)</w:t>
            </w:r>
          </w:p>
        </w:tc>
        <w:tc>
          <w:tcPr>
            <w:tcW w:type="dxa" w:w="2160"/>
          </w:tcPr>
          <w:p>
            <w:r>
              <w:rPr>
                <w:sz w:val="20"/>
              </w:rPr>
              <w:t>Low</w:t>
            </w:r>
          </w:p>
        </w:tc>
        <w:tc>
          <w:tcPr>
            <w:tcW w:type="dxa" w:w="2160"/>
          </w:tcPr>
          <w:p>
            <w:r>
              <w:rPr>
                <w:sz w:val="20"/>
              </w:rPr>
              <w:t>Low (often ignored)</w:t>
            </w:r>
          </w:p>
        </w:tc>
        <w:tc>
          <w:tcPr>
            <w:tcW w:type="dxa" w:w="2160"/>
          </w:tcPr>
          <w:p>
            <w:r>
              <w:rPr>
                <w:sz w:val="20"/>
              </w:rPr>
              <w:t>Low (~15% adherence)</w:t>
            </w:r>
          </w:p>
        </w:tc>
      </w:tr>
      <w:tr>
        <w:tc>
          <w:tcPr>
            <w:tcW w:type="dxa" w:w="2160"/>
          </w:tcPr>
          <w:p>
            <w:r>
              <w:rPr>
                <w:sz w:val="20"/>
              </w:rPr>
              <w:t>Active alert (interruptive CDS)</w:t>
            </w:r>
          </w:p>
        </w:tc>
        <w:tc>
          <w:tcPr>
            <w:tcW w:type="dxa" w:w="2160"/>
          </w:tcPr>
          <w:p>
            <w:r>
              <w:rPr>
                <w:sz w:val="20"/>
              </w:rPr>
              <w:t>Medium</w:t>
            </w:r>
          </w:p>
        </w:tc>
        <w:tc>
          <w:tcPr>
            <w:tcW w:type="dxa" w:w="2160"/>
          </w:tcPr>
          <w:p>
            <w:r>
              <w:rPr>
                <w:sz w:val="20"/>
              </w:rPr>
              <w:t>High (alert fatigue risk)</w:t>
            </w:r>
          </w:p>
        </w:tc>
        <w:tc>
          <w:tcPr>
            <w:tcW w:type="dxa" w:w="2160"/>
          </w:tcPr>
          <w:p>
            <w:r>
              <w:rPr>
                <w:sz w:val="20"/>
              </w:rPr>
              <w:t>Medium (~40% adherence)</w:t>
            </w:r>
          </w:p>
        </w:tc>
      </w:tr>
      <w:tr>
        <w:tc>
          <w:tcPr>
            <w:tcW w:type="dxa" w:w="2160"/>
          </w:tcPr>
          <w:p>
            <w:r>
              <w:rPr>
                <w:sz w:val="20"/>
              </w:rPr>
              <w:t>Pre-populated order modification</w:t>
            </w:r>
          </w:p>
        </w:tc>
        <w:tc>
          <w:tcPr>
            <w:tcW w:type="dxa" w:w="2160"/>
          </w:tcPr>
          <w:p>
            <w:r>
              <w:rPr>
                <w:sz w:val="20"/>
              </w:rPr>
              <w:t>High</w:t>
            </w:r>
          </w:p>
        </w:tc>
        <w:tc>
          <w:tcPr>
            <w:tcW w:type="dxa" w:w="2160"/>
          </w:tcPr>
          <w:p>
            <w:r>
              <w:rPr>
                <w:sz w:val="20"/>
              </w:rPr>
              <w:t>Low (seamless)</w:t>
            </w:r>
          </w:p>
        </w:tc>
        <w:tc>
          <w:tcPr>
            <w:tcW w:type="dxa" w:w="2160"/>
          </w:tcPr>
          <w:p>
            <w:r>
              <w:rPr>
                <w:sz w:val="20"/>
              </w:rPr>
              <w:t>High (~60% adherence)</w:t>
            </w:r>
          </w:p>
        </w:tc>
      </w:tr>
      <w:tr>
        <w:tc>
          <w:tcPr>
            <w:tcW w:type="dxa" w:w="2160"/>
          </w:tcPr>
          <w:p>
            <w:r>
              <w:rPr>
                <w:sz w:val="20"/>
              </w:rPr>
              <w:t>CDS Hooks (real-time)</w:t>
            </w:r>
          </w:p>
        </w:tc>
        <w:tc>
          <w:tcPr>
            <w:tcW w:type="dxa" w:w="2160"/>
          </w:tcPr>
          <w:p>
            <w:r>
              <w:rPr>
                <w:sz w:val="20"/>
              </w:rPr>
              <w:t>Very high</w:t>
            </w:r>
          </w:p>
        </w:tc>
        <w:tc>
          <w:tcPr>
            <w:tcW w:type="dxa" w:w="2160"/>
          </w:tcPr>
          <w:p>
            <w:r>
              <w:rPr>
                <w:sz w:val="20"/>
              </w:rPr>
              <w:t>Low (context-sensitive)</w:t>
            </w:r>
          </w:p>
        </w:tc>
        <w:tc>
          <w:tcPr>
            <w:tcW w:type="dxa" w:w="2160"/>
          </w:tcPr>
          <w:p>
            <w:r>
              <w:rPr>
                <w:sz w:val="20"/>
              </w:rPr>
              <w:t>Highest (~70% adherence)</w:t>
            </w:r>
          </w:p>
        </w:tc>
      </w:tr>
    </w:tbl>
    <w:p>
      <w:r>
        <w:t>The agent supports FHIR R4 export (DiagnosticReport Bundle with LOINC 69548-6 PGx Observations), enabling integration with FHIR-compatible EHR systems. For full real-time integration, CDS Hooks implementation is on the roadmap.</w:t>
      </w:r>
    </w:p>
    <w:p>
      <w:pPr>
        <w:pStyle w:val="Heading3"/>
      </w:pPr>
      <w:r>
        <w:t>The IGNITE Network</w:t>
      </w:r>
    </w:p>
    <w:p>
      <w:r>
        <w:t>The Implementing Genomics in Practice (IGNITE) network connects institutions implementing PGx programs. Common success factors across IGNITE institutions include:</w:t>
      </w:r>
    </w:p>
    <w:p>
      <w:pPr>
        <w:pStyle w:val="ListNumber"/>
      </w:pPr>
      <w:r>
        <w:t>Pharmacist-led PGx consultation: Clinical pharmacists interpret PGx results and recommend prescribing changes. Pharmacist involvement increases guideline adherence from ~30% to ~70%.</w:t>
      </w:r>
    </w:p>
    <w:p>
      <w:pPr>
        <w:pStyle w:val="ListNumber"/>
      </w:pPr>
      <w:r>
        <w:t>Multi-gene pre-emptive panels: Testing 12-25 genes pre-emptively is more cost-effective and clinically impactful than single-gene reactive testing.</w:t>
      </w:r>
    </w:p>
    <w:p>
      <w:pPr>
        <w:pStyle w:val="ListNumber"/>
      </w:pPr>
      <w:r>
        <w:t>EHR-embedded CDS alerts: Interruptive alerts at the point of prescribing are more effective than passive result reporting.</w:t>
      </w:r>
    </w:p>
    <w:p>
      <w:pPr>
        <w:pStyle w:val="ListNumber"/>
      </w:pPr>
      <w:r>
        <w:t>Patient and provider education programs: Both clinicians and patients need education about PGx to maximize adoption.</w:t>
      </w:r>
    </w:p>
    <w:p>
      <w:pPr>
        <w:pStyle w:val="ListNumber"/>
      </w:pPr>
      <w:r>
        <w:t>Institutional champions: Successful programs have physician and pharmacist champions who advocate for PGx integration.</w:t>
      </w:r>
    </w:p>
    <w:p>
      <w:pPr>
        <w:pStyle w:val="Heading3"/>
      </w:pPr>
      <w:r>
        <w:t>Implementation Barriers and 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Barrier</w:t>
            </w:r>
          </w:p>
        </w:tc>
        <w:tc>
          <w:tcPr>
            <w:tcW w:type="dxa" w:w="2880"/>
          </w:tcPr>
          <w:p>
            <w:r>
              <w:rPr>
                <w:b/>
                <w:sz w:val="20"/>
              </w:rPr>
              <w:t>Solution</w:t>
            </w:r>
          </w:p>
        </w:tc>
        <w:tc>
          <w:tcPr>
            <w:tcW w:type="dxa" w:w="2880"/>
          </w:tcPr>
          <w:p>
            <w:r>
              <w:rPr>
                <w:b/>
                <w:sz w:val="20"/>
              </w:rPr>
              <w:t>Evidence</w:t>
            </w:r>
          </w:p>
        </w:tc>
      </w:tr>
      <w:tr>
        <w:tc>
          <w:tcPr>
            <w:tcW w:type="dxa" w:w="2880"/>
          </w:tcPr>
          <w:p>
            <w:r>
              <w:rPr>
                <w:sz w:val="20"/>
              </w:rPr>
              <w:t>Clinician knowledge gap</w:t>
            </w:r>
          </w:p>
        </w:tc>
        <w:tc>
          <w:tcPr>
            <w:tcW w:type="dxa" w:w="2880"/>
          </w:tcPr>
          <w:p>
            <w:r>
              <w:rPr>
                <w:sz w:val="20"/>
              </w:rPr>
              <w:t>Embedded decision support (like the PGx Agent)</w:t>
            </w:r>
          </w:p>
        </w:tc>
        <w:tc>
          <w:tcPr>
            <w:tcW w:type="dxa" w:w="2880"/>
          </w:tcPr>
          <w:p>
            <w:r>
              <w:rPr>
                <w:sz w:val="20"/>
              </w:rPr>
              <w:t>PREDICT: CDS alerts accepted in 30% of encounters</w:t>
            </w:r>
          </w:p>
        </w:tc>
      </w:tr>
      <w:tr>
        <w:tc>
          <w:tcPr>
            <w:tcW w:type="dxa" w:w="2880"/>
          </w:tcPr>
          <w:p>
            <w:r>
              <w:rPr>
                <w:sz w:val="20"/>
              </w:rPr>
              <w:t>Test turnaround time</w:t>
            </w:r>
          </w:p>
        </w:tc>
        <w:tc>
          <w:tcPr>
            <w:tcW w:type="dxa" w:w="2880"/>
          </w:tcPr>
          <w:p>
            <w:r>
              <w:rPr>
                <w:sz w:val="20"/>
              </w:rPr>
              <w:t>Pre-emptive testing before drugs are needed</w:t>
            </w:r>
          </w:p>
        </w:tc>
        <w:tc>
          <w:tcPr>
            <w:tcW w:type="dxa" w:w="2880"/>
          </w:tcPr>
          <w:p>
            <w:r>
              <w:rPr>
                <w:sz w:val="20"/>
              </w:rPr>
              <w:t>RIGHT: 99% of patients had actionable results</w:t>
            </w:r>
          </w:p>
        </w:tc>
      </w:tr>
      <w:tr>
        <w:tc>
          <w:tcPr>
            <w:tcW w:type="dxa" w:w="2880"/>
          </w:tcPr>
          <w:p>
            <w:r>
              <w:rPr>
                <w:sz w:val="20"/>
              </w:rPr>
              <w:t>Cost concerns</w:t>
            </w:r>
          </w:p>
        </w:tc>
        <w:tc>
          <w:tcPr>
            <w:tcW w:type="dxa" w:w="2880"/>
          </w:tcPr>
          <w:p>
            <w:r>
              <w:rPr>
                <w:sz w:val="20"/>
              </w:rPr>
              <w:t>Demonstrate ROI through ADR prevention</w:t>
            </w:r>
          </w:p>
        </w:tc>
        <w:tc>
          <w:tcPr>
            <w:tcW w:type="dxa" w:w="2880"/>
          </w:tcPr>
          <w:p>
            <w:r>
              <w:rPr>
                <w:sz w:val="20"/>
              </w:rPr>
              <w:t>PREPARE: 30% ADR reduction offsets panel cost</w:t>
            </w:r>
          </w:p>
        </w:tc>
      </w:tr>
      <w:tr>
        <w:tc>
          <w:tcPr>
            <w:tcW w:type="dxa" w:w="2880"/>
          </w:tcPr>
          <w:p>
            <w:r>
              <w:rPr>
                <w:sz w:val="20"/>
              </w:rPr>
              <w:t>Alert fatigue</w:t>
            </w:r>
          </w:p>
        </w:tc>
        <w:tc>
          <w:tcPr>
            <w:tcW w:type="dxa" w:w="2880"/>
          </w:tcPr>
          <w:p>
            <w:r>
              <w:rPr>
                <w:sz w:val="20"/>
              </w:rPr>
              <w:t>Severity-tiered alerts; reserve interruptive alerts for CONTRAINDICATED/MAJOR</w:t>
            </w:r>
          </w:p>
        </w:tc>
        <w:tc>
          <w:tcPr>
            <w:tcW w:type="dxa" w:w="2880"/>
          </w:tcPr>
          <w:p>
            <w:r>
              <w:rPr>
                <w:sz w:val="20"/>
              </w:rPr>
              <w:t>IGNITE: tiered alerts have 3x adherence vs all-or-nothing</w:t>
            </w:r>
          </w:p>
        </w:tc>
      </w:tr>
      <w:tr>
        <w:tc>
          <w:tcPr>
            <w:tcW w:type="dxa" w:w="2880"/>
          </w:tcPr>
          <w:p>
            <w:r>
              <w:rPr>
                <w:sz w:val="20"/>
              </w:rPr>
              <w:t>Rare alleles missing from panels</w:t>
            </w:r>
          </w:p>
        </w:tc>
        <w:tc>
          <w:tcPr>
            <w:tcW w:type="dxa" w:w="2880"/>
          </w:tcPr>
          <w:p>
            <w:r>
              <w:rPr>
                <w:sz w:val="20"/>
              </w:rPr>
              <w:t>Continuous panel expansion; population-inclusive testing</w:t>
            </w:r>
          </w:p>
        </w:tc>
        <w:tc>
          <w:tcPr>
            <w:tcW w:type="dxa" w:w="2880"/>
          </w:tcPr>
          <w:p>
            <w:r>
              <w:rPr>
                <w:sz w:val="20"/>
              </w:rPr>
              <w:t>PharmVar: &gt;150 CYP2D6 alleles defined; panels should include population-specific alleles</w:t>
            </w:r>
          </w:p>
        </w:tc>
      </w:tr>
      <w:tr>
        <w:tc>
          <w:tcPr>
            <w:tcW w:type="dxa" w:w="2880"/>
          </w:tcPr>
          <w:p>
            <w:r>
              <w:rPr>
                <w:sz w:val="20"/>
              </w:rPr>
              <w:t>Patient engagement</w:t>
            </w:r>
          </w:p>
        </w:tc>
        <w:tc>
          <w:tcPr>
            <w:tcW w:type="dxa" w:w="2880"/>
          </w:tcPr>
          <w:p>
            <w:r>
              <w:rPr>
                <w:sz w:val="20"/>
              </w:rPr>
              <w:t>Patient-facing PGx reports; genetic counseling</w:t>
            </w:r>
          </w:p>
        </w:tc>
        <w:tc>
          <w:tcPr>
            <w:tcW w:type="dxa" w:w="2880"/>
          </w:tcPr>
          <w:p>
            <w:r>
              <w:rPr>
                <w:sz w:val="20"/>
              </w:rPr>
              <w:t>Studies show 85% of patients want PGx information</w:t>
            </w:r>
          </w:p>
        </w:tc>
      </w:tr>
    </w:tbl>
    <w:p>
      <w:pPr>
        <w:pStyle w:val="Heading3"/>
      </w:pPr>
      <w:r>
        <w:t>Return on Investment (ROI) Analysis for PGx Programs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Cost Category</w:t>
            </w:r>
          </w:p>
        </w:tc>
        <w:tc>
          <w:tcPr>
            <w:tcW w:type="dxa" w:w="2160"/>
          </w:tcPr>
          <w:p>
            <w:r>
              <w:rPr>
                <w:b/>
                <w:sz w:val="20"/>
              </w:rPr>
              <w:t>Without PGx</w:t>
            </w:r>
          </w:p>
        </w:tc>
        <w:tc>
          <w:tcPr>
            <w:tcW w:type="dxa" w:w="2160"/>
          </w:tcPr>
          <w:p>
            <w:r>
              <w:rPr>
                <w:b/>
                <w:sz w:val="20"/>
              </w:rPr>
              <w:t>With Pre-emptive PGx</w:t>
            </w:r>
          </w:p>
        </w:tc>
        <w:tc>
          <w:tcPr>
            <w:tcW w:type="dxa" w:w="2160"/>
          </w:tcPr>
          <w:p>
            <w:r>
              <w:rPr>
                <w:b/>
                <w:sz w:val="20"/>
              </w:rPr>
              <w:t>Savings</w:t>
            </w:r>
          </w:p>
        </w:tc>
      </w:tr>
      <w:tr>
        <w:tc>
          <w:tcPr>
            <w:tcW w:type="dxa" w:w="2160"/>
          </w:tcPr>
          <w:p>
            <w:r>
              <w:rPr>
                <w:sz w:val="20"/>
              </w:rPr>
              <w:t>Panel test cost</w:t>
            </w:r>
          </w:p>
        </w:tc>
        <w:tc>
          <w:tcPr>
            <w:tcW w:type="dxa" w:w="2160"/>
          </w:tcPr>
          <w:p>
            <w:r>
              <w:rPr>
                <w:sz w:val="20"/>
              </w:rPr>
              <w:t>$0</w:t>
            </w:r>
          </w:p>
        </w:tc>
        <w:tc>
          <w:tcPr>
            <w:tcW w:type="dxa" w:w="2160"/>
          </w:tcPr>
          <w:p>
            <w:r>
              <w:rPr>
                <w:sz w:val="20"/>
              </w:rPr>
              <w:t>$300 per patient</w:t>
            </w:r>
          </w:p>
        </w:tc>
        <w:tc>
          <w:tcPr>
            <w:tcW w:type="dxa" w:w="2160"/>
          </w:tcPr>
          <w:p>
            <w:r>
              <w:rPr>
                <w:sz w:val="20"/>
              </w:rPr>
              <w:t>-$300</w:t>
            </w:r>
          </w:p>
        </w:tc>
      </w:tr>
      <w:tr>
        <w:tc>
          <w:tcPr>
            <w:tcW w:type="dxa" w:w="2160"/>
          </w:tcPr>
          <w:p>
            <w:r>
              <w:rPr>
                <w:sz w:val="20"/>
              </w:rPr>
              <w:t>ADR-related ED visit (avg 1 per 5 years)</w:t>
            </w:r>
          </w:p>
        </w:tc>
        <w:tc>
          <w:tcPr>
            <w:tcW w:type="dxa" w:w="2160"/>
          </w:tcPr>
          <w:p>
            <w:r>
              <w:rPr>
                <w:sz w:val="20"/>
              </w:rPr>
              <w:t>$2,500</w:t>
            </w:r>
          </w:p>
        </w:tc>
        <w:tc>
          <w:tcPr>
            <w:tcW w:type="dxa" w:w="2160"/>
          </w:tcPr>
          <w:p>
            <w:r>
              <w:rPr>
                <w:sz w:val="20"/>
              </w:rPr>
              <w:t>$1,750 (30% reduction)</w:t>
            </w:r>
          </w:p>
        </w:tc>
        <w:tc>
          <w:tcPr>
            <w:tcW w:type="dxa" w:w="2160"/>
          </w:tcPr>
          <w:p>
            <w:r>
              <w:rPr>
                <w:sz w:val="20"/>
              </w:rPr>
              <w:t>+$750</w:t>
            </w:r>
          </w:p>
        </w:tc>
      </w:tr>
      <w:tr>
        <w:tc>
          <w:tcPr>
            <w:tcW w:type="dxa" w:w="2160"/>
          </w:tcPr>
          <w:p>
            <w:r>
              <w:rPr>
                <w:sz w:val="20"/>
              </w:rPr>
              <w:t>ADR-related hospitalization (avg 1 per 10 years)</w:t>
            </w:r>
          </w:p>
        </w:tc>
        <w:tc>
          <w:tcPr>
            <w:tcW w:type="dxa" w:w="2160"/>
          </w:tcPr>
          <w:p>
            <w:r>
              <w:rPr>
                <w:sz w:val="20"/>
              </w:rPr>
              <w:t>$8,000</w:t>
            </w:r>
          </w:p>
        </w:tc>
        <w:tc>
          <w:tcPr>
            <w:tcW w:type="dxa" w:w="2160"/>
          </w:tcPr>
          <w:p>
            <w:r>
              <w:rPr>
                <w:sz w:val="20"/>
              </w:rPr>
              <w:t>$5,600 (30% reduction)</w:t>
            </w:r>
          </w:p>
        </w:tc>
        <w:tc>
          <w:tcPr>
            <w:tcW w:type="dxa" w:w="2160"/>
          </w:tcPr>
          <w:p>
            <w:r>
              <w:rPr>
                <w:sz w:val="20"/>
              </w:rPr>
              <w:t>+$2,400</w:t>
            </w:r>
          </w:p>
        </w:tc>
      </w:tr>
      <w:tr>
        <w:tc>
          <w:tcPr>
            <w:tcW w:type="dxa" w:w="2160"/>
          </w:tcPr>
          <w:p>
            <w:r>
              <w:rPr>
                <w:sz w:val="20"/>
              </w:rPr>
              <w:t>Therapeutic cycling (failed medication trials)</w:t>
            </w:r>
          </w:p>
        </w:tc>
        <w:tc>
          <w:tcPr>
            <w:tcW w:type="dxa" w:w="2160"/>
          </w:tcPr>
          <w:p>
            <w:r>
              <w:rPr>
                <w:sz w:val="20"/>
              </w:rPr>
              <w:t>$1,500/year</w:t>
            </w:r>
          </w:p>
        </w:tc>
        <w:tc>
          <w:tcPr>
            <w:tcW w:type="dxa" w:w="2160"/>
          </w:tcPr>
          <w:p>
            <w:r>
              <w:rPr>
                <w:sz w:val="20"/>
              </w:rPr>
              <w:t>$900/year (40% reduction)</w:t>
            </w:r>
          </w:p>
        </w:tc>
        <w:tc>
          <w:tcPr>
            <w:tcW w:type="dxa" w:w="2160"/>
          </w:tcPr>
          <w:p>
            <w:r>
              <w:rPr>
                <w:sz w:val="20"/>
              </w:rPr>
              <w:t>+$600/year</w:t>
            </w:r>
          </w:p>
        </w:tc>
      </w:tr>
      <w:tr>
        <w:tc>
          <w:tcPr>
            <w:tcW w:type="dxa" w:w="2160"/>
          </w:tcPr>
          <w:p>
            <w:r>
              <w:rPr>
                <w:sz w:val="20"/>
              </w:rPr>
              <w:t>5-year net per patient</w:t>
            </w:r>
          </w:p>
        </w:tc>
        <w:tc>
          <w:tcPr>
            <w:tcW w:type="dxa" w:w="2160"/>
          </w:tcPr>
          <w:p>
            <w:r>
              <w:rPr>
                <w:sz w:val="20"/>
              </w:rPr>
              <w:t>$20,500</w:t>
            </w:r>
          </w:p>
        </w:tc>
        <w:tc>
          <w:tcPr>
            <w:tcW w:type="dxa" w:w="2160"/>
          </w:tcPr>
          <w:p>
            <w:r>
              <w:rPr>
                <w:sz w:val="20"/>
              </w:rPr>
              <w:t>$16,750</w:t>
            </w:r>
          </w:p>
        </w:tc>
        <w:tc>
          <w:tcPr>
            <w:tcW w:type="dxa" w:w="2160"/>
          </w:tcPr>
          <w:p>
            <w:r>
              <w:rPr>
                <w:sz w:val="20"/>
              </w:rPr>
              <w:t>+$3,750 savings</w:t>
            </w:r>
          </w:p>
        </w:tc>
      </w:tr>
    </w:tbl>
    <w:p>
      <w:r>
        <w:t>These estimates are conservative and based on published data from the PREDICT, PREPARE, and INFORM PGx studies. Actual savings may be higher for patients on multiple PGx-relevant medications or those with rare but serious genotype-drug interactions.</w:t>
      </w:r>
    </w:p>
    <w:p>
      <w:pPr>
        <w:pStyle w:val="Heading3"/>
      </w:pPr>
      <w:r>
        <w:t>Pharmacist's Role in PGx Implementation</w:t>
      </w:r>
    </w:p>
    <w:p>
      <w:r>
        <w:t>Clinical pharmacists are central to successful PGx programs. Their responsibilities include:</w:t>
      </w:r>
    </w:p>
    <w:p>
      <w:pPr>
        <w:pStyle w:val="ListNumber"/>
      </w:pPr>
      <w:r>
        <w:t>Test ordering and interpretation: Pharmacists can order and interpret PGx panels in many states under collaborative practice agreements.</w:t>
      </w:r>
    </w:p>
    <w:p>
      <w:pPr>
        <w:pStyle w:val="ListNumber"/>
      </w:pPr>
      <w:r>
        <w:t>CDS alert management: Pharmacists review and respond to PGx CDS alerts, recommending medication changes to prescribers.</w:t>
      </w:r>
    </w:p>
    <w:p>
      <w:pPr>
        <w:pStyle w:val="ListNumber"/>
      </w:pPr>
      <w:r>
        <w:t>Medication therapy management (MTM): Integration of PGx results into comprehensive medication reviews.</w:t>
      </w:r>
    </w:p>
    <w:p>
      <w:pPr>
        <w:pStyle w:val="ListNumber"/>
      </w:pPr>
      <w:r>
        <w:t>Patient counseling: Explaining PGx results and their implications to patients in understandable language.</w:t>
      </w:r>
    </w:p>
    <w:p>
      <w:pPr>
        <w:pStyle w:val="ListNumber"/>
      </w:pPr>
      <w:r>
        <w:t>Provider education: Training physicians, nurse practitioners, and physician assistants on PGx concepts.</w:t>
      </w:r>
    </w:p>
    <w:p>
      <w:pPr>
        <w:pStyle w:val="ListNumber"/>
      </w:pPr>
      <w:r>
        <w:t>Formulary management: Using population-level PGx data to inform institutional formulary decisions.</w:t>
      </w:r>
    </w:p>
    <w:p>
      <w:r>
        <w:t>Studies show that pharmacist-led PGx programs achieve 2-3x higher guideline adherence compared to physician-only PGx education.</w:t>
      </w:r>
    </w:p>
    <w:p>
      <w:pPr>
        <w:pStyle w:val="Heading3"/>
      </w:pPr>
      <w:r>
        <w:t>Legal and Ethical Considerations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Issue</w:t>
            </w:r>
          </w:p>
        </w:tc>
        <w:tc>
          <w:tcPr>
            <w:tcW w:type="dxa" w:w="2880"/>
          </w:tcPr>
          <w:p>
            <w:r>
              <w:rPr>
                <w:b/>
                <w:sz w:val="20"/>
              </w:rPr>
              <w:t>Consideration</w:t>
            </w:r>
          </w:p>
        </w:tc>
        <w:tc>
          <w:tcPr>
            <w:tcW w:type="dxa" w:w="2880"/>
          </w:tcPr>
          <w:p>
            <w:r>
              <w:rPr>
                <w:b/>
                <w:sz w:val="20"/>
              </w:rPr>
              <w:t>Current Status</w:t>
            </w:r>
          </w:p>
        </w:tc>
      </w:tr>
      <w:tr>
        <w:tc>
          <w:tcPr>
            <w:tcW w:type="dxa" w:w="2880"/>
          </w:tcPr>
          <w:p>
            <w:r>
              <w:rPr>
                <w:sz w:val="20"/>
              </w:rPr>
              <w:t>Genetic discrimination</w:t>
            </w:r>
          </w:p>
        </w:tc>
        <w:tc>
          <w:tcPr>
            <w:tcW w:type="dxa" w:w="2880"/>
          </w:tcPr>
          <w:p>
            <w:r>
              <w:rPr>
                <w:sz w:val="20"/>
              </w:rPr>
              <w:t>GINA (Genetic Information Nondiscrimination Act) protects against discrimination in employment and health insurance</w:t>
            </w:r>
          </w:p>
        </w:tc>
        <w:tc>
          <w:tcPr>
            <w:tcW w:type="dxa" w:w="2880"/>
          </w:tcPr>
          <w:p>
            <w:r>
              <w:rPr>
                <w:sz w:val="20"/>
              </w:rPr>
              <w:t>GINA does not cover life insurance, long-term care, or disability insurance</w:t>
            </w:r>
          </w:p>
        </w:tc>
      </w:tr>
      <w:tr>
        <w:tc>
          <w:tcPr>
            <w:tcW w:type="dxa" w:w="2880"/>
          </w:tcPr>
          <w:p>
            <w:r>
              <w:rPr>
                <w:sz w:val="20"/>
              </w:rPr>
              <w:t>Informed consent</w:t>
            </w:r>
          </w:p>
        </w:tc>
        <w:tc>
          <w:tcPr>
            <w:tcW w:type="dxa" w:w="2880"/>
          </w:tcPr>
          <w:p>
            <w:r>
              <w:rPr>
                <w:sz w:val="20"/>
              </w:rPr>
              <w:t>Should patients consent to PGx testing?</w:t>
            </w:r>
          </w:p>
        </w:tc>
        <w:tc>
          <w:tcPr>
            <w:tcW w:type="dxa" w:w="2880"/>
          </w:tcPr>
          <w:p>
            <w:r>
              <w:rPr>
                <w:sz w:val="20"/>
              </w:rPr>
              <w:t>Most institutions use general genetic testing consent; some use PGx-specific consent</w:t>
            </w:r>
          </w:p>
        </w:tc>
      </w:tr>
      <w:tr>
        <w:tc>
          <w:tcPr>
            <w:tcW w:type="dxa" w:w="2880"/>
          </w:tcPr>
          <w:p>
            <w:r>
              <w:rPr>
                <w:sz w:val="20"/>
              </w:rPr>
              <w:t>Incidental findings</w:t>
            </w:r>
          </w:p>
        </w:tc>
        <w:tc>
          <w:tcPr>
            <w:tcW w:type="dxa" w:w="2880"/>
          </w:tcPr>
          <w:p>
            <w:r>
              <w:rPr>
                <w:sz w:val="20"/>
              </w:rPr>
              <w:t>PGx testing may reveal disease-risk variants</w:t>
            </w:r>
          </w:p>
        </w:tc>
        <w:tc>
          <w:tcPr>
            <w:tcW w:type="dxa" w:w="2880"/>
          </w:tcPr>
          <w:p>
            <w:r>
              <w:rPr>
                <w:sz w:val="20"/>
              </w:rPr>
              <w:t>Most PGx panels test only pharmacogenes, not disease-risk genes</w:t>
            </w:r>
          </w:p>
        </w:tc>
      </w:tr>
      <w:tr>
        <w:tc>
          <w:tcPr>
            <w:tcW w:type="dxa" w:w="2880"/>
          </w:tcPr>
          <w:p>
            <w:r>
              <w:rPr>
                <w:sz w:val="20"/>
              </w:rPr>
              <w:t>Data storage</w:t>
            </w:r>
          </w:p>
        </w:tc>
        <w:tc>
          <w:tcPr>
            <w:tcW w:type="dxa" w:w="2880"/>
          </w:tcPr>
          <w:p>
            <w:r>
              <w:rPr>
                <w:sz w:val="20"/>
              </w:rPr>
              <w:t>How long to retain PGx results?</w:t>
            </w:r>
          </w:p>
        </w:tc>
        <w:tc>
          <w:tcPr>
            <w:tcW w:type="dxa" w:w="2880"/>
          </w:tcPr>
          <w:p>
            <w:r>
              <w:rPr>
                <w:sz w:val="20"/>
              </w:rPr>
              <w:t>Best practice: indefinite (germline variants do not change)</w:t>
            </w:r>
          </w:p>
        </w:tc>
      </w:tr>
      <w:tr>
        <w:tc>
          <w:tcPr>
            <w:tcW w:type="dxa" w:w="2880"/>
          </w:tcPr>
          <w:p>
            <w:r>
              <w:rPr>
                <w:sz w:val="20"/>
              </w:rPr>
              <w:t>Data sharing</w:t>
            </w:r>
          </w:p>
        </w:tc>
        <w:tc>
          <w:tcPr>
            <w:tcW w:type="dxa" w:w="2880"/>
          </w:tcPr>
          <w:p>
            <w:r>
              <w:rPr>
                <w:sz w:val="20"/>
              </w:rPr>
              <w:t>Should PGx results be shared across institutions?</w:t>
            </w:r>
          </w:p>
        </w:tc>
        <w:tc>
          <w:tcPr>
            <w:tcW w:type="dxa" w:w="2880"/>
          </w:tcPr>
          <w:p>
            <w:r>
              <w:rPr>
                <w:sz w:val="20"/>
              </w:rPr>
              <w:t>FHIR-based interoperability enables sharing; patient consent required</w:t>
            </w:r>
          </w:p>
        </w:tc>
      </w:tr>
      <w:tr>
        <w:tc>
          <w:tcPr>
            <w:tcW w:type="dxa" w:w="2880"/>
          </w:tcPr>
          <w:p>
            <w:r>
              <w:rPr>
                <w:sz w:val="20"/>
              </w:rPr>
              <w:t>Liability</w:t>
            </w:r>
          </w:p>
        </w:tc>
        <w:tc>
          <w:tcPr>
            <w:tcW w:type="dxa" w:w="2880"/>
          </w:tcPr>
          <w:p>
            <w:r>
              <w:rPr>
                <w:sz w:val="20"/>
              </w:rPr>
              <w:t>Is a clinician liable for ignoring available PGx results?</w:t>
            </w:r>
          </w:p>
        </w:tc>
        <w:tc>
          <w:tcPr>
            <w:tcW w:type="dxa" w:w="2880"/>
          </w:tcPr>
          <w:p>
            <w:r>
              <w:rPr>
                <w:sz w:val="20"/>
              </w:rPr>
              <w:t>Emerging case law; standard of care evolving toward PGx-guided prescribing</w:t>
            </w:r>
          </w:p>
        </w:tc>
      </w:tr>
    </w:tbl>
    <w:p>
      <w:pPr>
        <w:pStyle w:val="Heading2"/>
      </w:pPr>
      <w:r>
        <w:t>11. Emerging Topics</w:t>
      </w:r>
    </w:p>
    <w:p>
      <w:pPr>
        <w:pStyle w:val="Heading3"/>
      </w:pPr>
      <w:r>
        <w:t>Rare and Novel Star Alleles</w:t>
      </w:r>
    </w:p>
    <w:p>
      <w:r>
        <w:t>PharmVar continues to define new star alleles as whole-genome sequencing reveals population-specific variants. Current priorities include:</w:t>
      </w:r>
    </w:p>
    <w:p>
      <w:pPr>
        <w:pStyle w:val="ListBullet"/>
      </w:pPr>
      <w:r>
        <w:t>CYP2D6 alleles in underrepresented populations (African, Indigenous, South Asian)</w:t>
      </w:r>
    </w:p>
    <w:p>
      <w:pPr>
        <w:pStyle w:val="ListBullet"/>
      </w:pPr>
      <w:r>
        <w:t>Novel DPYD variants detected through clinical sequencing programs</w:t>
      </w:r>
    </w:p>
    <w:p>
      <w:pPr>
        <w:pStyle w:val="ListBullet"/>
      </w:pPr>
      <w:r>
        <w:t>CYP2C9 alleles beyond 2 and 3 that affect warfarin dosing (5, 6, 8, 11)</w:t>
      </w:r>
    </w:p>
    <w:p>
      <w:pPr>
        <w:pStyle w:val="ListBullet"/>
      </w:pPr>
      <w:r>
        <w:t>Suballeles (e.g., CYP2D64.001 through 4.026) that may have different functional consequences</w:t>
      </w:r>
    </w:p>
    <w:p>
      <w:pPr>
        <w:pStyle w:val="Heading3"/>
      </w:pPr>
      <w:r>
        <w:t>Pharmacogenomics in Oncology</w:t>
      </w:r>
    </w:p>
    <w:p>
      <w:r>
        <w:t>Beyond DPYD, emerging PGx applications in oncology include:</w:t>
      </w:r>
    </w:p>
    <w:p>
      <w:pPr>
        <w:pStyle w:val="ListBullet"/>
      </w:pPr>
      <w:r>
        <w:t>UGT1A1 and irinotecan: UGT1A1*28 homozygotes have 3-5x increased risk of severe neutropenia with standard-dose irinotecan. CPIC guideline recommends dose reduction.</w:t>
      </w:r>
    </w:p>
    <w:p>
      <w:pPr>
        <w:pStyle w:val="ListBullet"/>
      </w:pPr>
      <w:r>
        <w:t>CYP2D6 and tamoxifen: Ongoing debate about clinical significance for endoxifen (active metabolite) levels. CYP2D6 poor metabolizers have lower endoxifen exposure, potentially reducing tamoxifen efficacy in breast cancer.</w:t>
      </w:r>
    </w:p>
    <w:p>
      <w:pPr>
        <w:pStyle w:val="ListBullet"/>
      </w:pPr>
      <w:r>
        <w:t>NUDT15 and thiopurines: Critical for ALL treatment in East Asian children, where NUDT15*3 frequency is 7-12% and standard thiopurine doses cause life-threatening myelosuppression.</w:t>
      </w:r>
    </w:p>
    <w:p>
      <w:pPr>
        <w:pStyle w:val="ListBullet"/>
      </w:pPr>
      <w:r>
        <w:t>TPMT and thiopurines: Pre-emptive TPMT testing before thiopurine initiation is standard of care in pediatric ALL protocols.</w:t>
      </w:r>
    </w:p>
    <w:p>
      <w:pPr>
        <w:pStyle w:val="ListBullet"/>
      </w:pPr>
      <w:r>
        <w:t>G6PD and rasburicase: Rasburicase (used for tumor lysis syndrome) is contraindicated in G6PD-deficient patients due to hemolytic anemia risk.</w:t>
      </w:r>
    </w:p>
    <w:p>
      <w:pPr>
        <w:pStyle w:val="Heading3"/>
      </w:pPr>
      <w:r>
        <w:t>Machine Learning in PGx</w:t>
      </w:r>
    </w:p>
    <w:p>
      <w:r>
        <w:t>Emerging approaches use machine learning to:</w:t>
      </w:r>
    </w:p>
    <w:p>
      <w:pPr>
        <w:pStyle w:val="ListBullet"/>
      </w:pPr>
      <w:r>
        <w:t>Predict star alleles from short-read sequencing data: Deep learning models that integrate read depth, base quality, and mapping quality to call structural variants from standard WGS data.</w:t>
      </w:r>
    </w:p>
    <w:p>
      <w:pPr>
        <w:pStyle w:val="ListBullet"/>
      </w:pPr>
      <w:r>
        <w:t>Model multi-gene interactions beyond single gene-drug pairs: Neural network models that integrate variants across multiple pharmacogenes to predict drug response more accurately than single-gene models.</w:t>
      </w:r>
    </w:p>
    <w:p>
      <w:pPr>
        <w:pStyle w:val="ListBullet"/>
      </w:pPr>
      <w:r>
        <w:t>Optimize dosing algorithms with continuous learning from clinical outcomes: Reinforcement learning approaches that refine dosing models using real-world evidence from institutional databases.</w:t>
      </w:r>
    </w:p>
    <w:p>
      <w:pPr>
        <w:pStyle w:val="ListBullet"/>
      </w:pPr>
      <w:r>
        <w:t>Predict novel gene-drug associations: Graph neural networks applied to drug-gene interaction networks to identify new pharmacogenomic associations before clinical validation.</w:t>
      </w:r>
    </w:p>
    <w:p>
      <w:pPr>
        <w:pStyle w:val="Heading3"/>
      </w:pPr>
      <w:r>
        <w:t>Direct-to-Consumer PGx</w:t>
      </w:r>
    </w:p>
    <w:p>
      <w:r>
        <w:t>Consumer genomics companies (23andMe, AncestryDNA) now report some pharmacogenomic variants. However, clinical-grade PGx testing requires:</w:t>
      </w:r>
    </w:p>
    <w:p>
      <w:pPr>
        <w:pStyle w:val="ListBullet"/>
      </w:pPr>
      <w:r>
        <w:t>Comprehensive star allele coverage (not just selected SNPs)</w:t>
      </w:r>
    </w:p>
    <w:p>
      <w:pPr>
        <w:pStyle w:val="ListBullet"/>
      </w:pPr>
      <w:r>
        <w:t>CLIA-certified laboratory processing</w:t>
      </w:r>
    </w:p>
    <w:p>
      <w:pPr>
        <w:pStyle w:val="ListBullet"/>
      </w:pPr>
      <w:r>
        <w:t>Clinical interpretation by qualified pharmacists or geneticists</w:t>
      </w:r>
    </w:p>
    <w:p>
      <w:pPr>
        <w:pStyle w:val="ListBullet"/>
      </w:pPr>
      <w:r>
        <w:t>Integration with prescribing workflows</w:t>
      </w:r>
    </w:p>
    <w:p>
      <w:r>
        <w:t>The agent's evidence-based approach (CPIC guidelines, PharmGKB annotations, FDA labels) provides the interpretive layer that consumer tests lack, while its structured clinical pipelines ensure that actionable results are clearly communicated with appropriate severity classification.</w:t>
      </w:r>
    </w:p>
    <w:p>
      <w:pPr>
        <w:pStyle w:val="Heading3"/>
      </w:pPr>
      <w:r>
        <w:t>Comparison of DTC vs Clinical PGx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DTC (23andMe)</w:t>
            </w:r>
          </w:p>
        </w:tc>
        <w:tc>
          <w:tcPr>
            <w:tcW w:type="dxa" w:w="2160"/>
          </w:tcPr>
          <w:p>
            <w:r>
              <w:rPr>
                <w:b/>
                <w:sz w:val="20"/>
              </w:rPr>
              <w:t>Clinical Panel (e.g., PREDICT)</w:t>
            </w:r>
          </w:p>
        </w:tc>
        <w:tc>
          <w:tcPr>
            <w:tcW w:type="dxa" w:w="2160"/>
          </w:tcPr>
          <w:p>
            <w:r>
              <w:rPr>
                <w:b/>
                <w:sz w:val="20"/>
              </w:rPr>
              <w:t>PGx Intelligence Agent</w:t>
            </w:r>
          </w:p>
        </w:tc>
      </w:tr>
      <w:tr>
        <w:tc>
          <w:tcPr>
            <w:tcW w:type="dxa" w:w="2160"/>
          </w:tcPr>
          <w:p>
            <w:r>
              <w:rPr>
                <w:sz w:val="20"/>
              </w:rPr>
              <w:t>Genes tested</w:t>
            </w:r>
          </w:p>
        </w:tc>
        <w:tc>
          <w:tcPr>
            <w:tcW w:type="dxa" w:w="2160"/>
          </w:tcPr>
          <w:p>
            <w:r>
              <w:rPr>
                <w:sz w:val="20"/>
              </w:rPr>
              <w:t>2-5 (CYP2D6, CYP2C19 partial)</w:t>
            </w:r>
          </w:p>
        </w:tc>
        <w:tc>
          <w:tcPr>
            <w:tcW w:type="dxa" w:w="2160"/>
          </w:tcPr>
          <w:p>
            <w:r>
              <w:rPr>
                <w:sz w:val="20"/>
              </w:rPr>
              <w:t>12-25 (comprehensive)</w:t>
            </w:r>
          </w:p>
        </w:tc>
        <w:tc>
          <w:tcPr>
            <w:tcW w:type="dxa" w:w="2160"/>
          </w:tcPr>
          <w:p>
            <w:r>
              <w:rPr>
                <w:sz w:val="20"/>
              </w:rPr>
              <w:t>25 pharmacogenes</w:t>
            </w:r>
          </w:p>
        </w:tc>
      </w:tr>
      <w:tr>
        <w:tc>
          <w:tcPr>
            <w:tcW w:type="dxa" w:w="2160"/>
          </w:tcPr>
          <w:p>
            <w:r>
              <w:rPr>
                <w:sz w:val="20"/>
              </w:rPr>
              <w:t>Star allele coverage</w:t>
            </w:r>
          </w:p>
        </w:tc>
        <w:tc>
          <w:tcPr>
            <w:tcW w:type="dxa" w:w="2160"/>
          </w:tcPr>
          <w:p>
            <w:r>
              <w:rPr>
                <w:sz w:val="20"/>
              </w:rPr>
              <w:t>Selected SNPs only</w:t>
            </w:r>
          </w:p>
        </w:tc>
        <w:tc>
          <w:tcPr>
            <w:tcW w:type="dxa" w:w="2160"/>
          </w:tcPr>
          <w:p>
            <w:r>
              <w:rPr>
                <w:sz w:val="20"/>
              </w:rPr>
              <w:t>Comprehensive for tested genes</w:t>
            </w:r>
          </w:p>
        </w:tc>
        <w:tc>
          <w:tcPr>
            <w:tcW w:type="dxa" w:w="2160"/>
          </w:tcPr>
          <w:p>
            <w:r>
              <w:rPr>
                <w:sz w:val="20"/>
              </w:rPr>
              <w:t>Comprehensive star allele definitions</w:t>
            </w:r>
          </w:p>
        </w:tc>
      </w:tr>
      <w:tr>
        <w:tc>
          <w:tcPr>
            <w:tcW w:type="dxa" w:w="2160"/>
          </w:tcPr>
          <w:p>
            <w:r>
              <w:rPr>
                <w:sz w:val="20"/>
              </w:rPr>
              <w:t>Structural variants</w:t>
            </w:r>
          </w:p>
        </w:tc>
        <w:tc>
          <w:tcPr>
            <w:tcW w:type="dxa" w:w="2160"/>
          </w:tcPr>
          <w:p>
            <w:r>
              <w:rPr>
                <w:sz w:val="20"/>
              </w:rPr>
              <w:t>Not detected</w:t>
            </w:r>
          </w:p>
        </w:tc>
        <w:tc>
          <w:tcPr>
            <w:tcW w:type="dxa" w:w="2160"/>
          </w:tcPr>
          <w:p>
            <w:r>
              <w:rPr>
                <w:sz w:val="20"/>
              </w:rPr>
              <w:t>Varies by lab</w:t>
            </w:r>
          </w:p>
        </w:tc>
        <w:tc>
          <w:tcPr>
            <w:tcW w:type="dxa" w:w="2160"/>
          </w:tcPr>
          <w:p>
            <w:r>
              <w:rPr>
                <w:sz w:val="20"/>
              </w:rPr>
              <w:t>SNV-based (structural via upstream tools)</w:t>
            </w:r>
          </w:p>
        </w:tc>
      </w:tr>
      <w:tr>
        <w:tc>
          <w:tcPr>
            <w:tcW w:type="dxa" w:w="2160"/>
          </w:tcPr>
          <w:p>
            <w:r>
              <w:rPr>
                <w:sz w:val="20"/>
              </w:rPr>
              <w:t>Clinical interpretation</w:t>
            </w:r>
          </w:p>
        </w:tc>
        <w:tc>
          <w:tcPr>
            <w:tcW w:type="dxa" w:w="2160"/>
          </w:tcPr>
          <w:p>
            <w:r>
              <w:rPr>
                <w:sz w:val="20"/>
              </w:rPr>
              <w:t>Basic; consumer-oriented</w:t>
            </w:r>
          </w:p>
        </w:tc>
        <w:tc>
          <w:tcPr>
            <w:tcW w:type="dxa" w:w="2160"/>
          </w:tcPr>
          <w:p>
            <w:r>
              <w:rPr>
                <w:sz w:val="20"/>
              </w:rPr>
              <w:t>Pharmacist-interpreted; CPIC-aligned</w:t>
            </w:r>
          </w:p>
        </w:tc>
        <w:tc>
          <w:tcPr>
            <w:tcW w:type="dxa" w:w="2160"/>
          </w:tcPr>
          <w:p>
            <w:r>
              <w:rPr>
                <w:sz w:val="20"/>
              </w:rPr>
              <w:t>LLM-synthesized with full CPIC/FDA/PharmGKB evidence</w:t>
            </w:r>
          </w:p>
        </w:tc>
      </w:tr>
      <w:tr>
        <w:tc>
          <w:tcPr>
            <w:tcW w:type="dxa" w:w="2160"/>
          </w:tcPr>
          <w:p>
            <w:r>
              <w:rPr>
                <w:sz w:val="20"/>
              </w:rPr>
              <w:t>EHR integration</w:t>
            </w:r>
          </w:p>
        </w:tc>
        <w:tc>
          <w:tcPr>
            <w:tcW w:type="dxa" w:w="2160"/>
          </w:tcPr>
          <w:p>
            <w:r>
              <w:rPr>
                <w:sz w:val="20"/>
              </w:rPr>
              <w:t>None</w:t>
            </w:r>
          </w:p>
        </w:tc>
        <w:tc>
          <w:tcPr>
            <w:tcW w:type="dxa" w:w="2160"/>
          </w:tcPr>
          <w:p>
            <w:r>
              <w:rPr>
                <w:sz w:val="20"/>
              </w:rPr>
              <w:t>Yes (FHIR, CDS Hooks)</w:t>
            </w:r>
          </w:p>
        </w:tc>
        <w:tc>
          <w:tcPr>
            <w:tcW w:type="dxa" w:w="2160"/>
          </w:tcPr>
          <w:p>
            <w:r>
              <w:rPr>
                <w:sz w:val="20"/>
              </w:rPr>
              <w:t>FHIR R4 export</w:t>
            </w:r>
          </w:p>
        </w:tc>
      </w:tr>
      <w:tr>
        <w:tc>
          <w:tcPr>
            <w:tcW w:type="dxa" w:w="2160"/>
          </w:tcPr>
          <w:p>
            <w:r>
              <w:rPr>
                <w:sz w:val="20"/>
              </w:rPr>
              <w:t>Phenoconversion</w:t>
            </w:r>
          </w:p>
        </w:tc>
        <w:tc>
          <w:tcPr>
            <w:tcW w:type="dxa" w:w="2160"/>
          </w:tcPr>
          <w:p>
            <w:r>
              <w:rPr>
                <w:sz w:val="20"/>
              </w:rPr>
              <w:t>Not considered</w:t>
            </w:r>
          </w:p>
        </w:tc>
        <w:tc>
          <w:tcPr>
            <w:tcW w:type="dxa" w:w="2160"/>
          </w:tcPr>
          <w:p>
            <w:r>
              <w:rPr>
                <w:sz w:val="20"/>
              </w:rPr>
              <w:t>Rarely considered</w:t>
            </w:r>
          </w:p>
        </w:tc>
        <w:tc>
          <w:tcPr>
            <w:tcW w:type="dxa" w:w="2160"/>
          </w:tcPr>
          <w:p>
            <w:r>
              <w:rPr>
                <w:sz w:val="20"/>
              </w:rPr>
              <w:t>60 inhibitors/inducers modeled</w:t>
            </w:r>
          </w:p>
        </w:tc>
      </w:tr>
      <w:tr>
        <w:tc>
          <w:tcPr>
            <w:tcW w:type="dxa" w:w="2160"/>
          </w:tcPr>
          <w:p>
            <w:r>
              <w:rPr>
                <w:sz w:val="20"/>
              </w:rPr>
              <w:t>HLA screening</w:t>
            </w:r>
          </w:p>
        </w:tc>
        <w:tc>
          <w:tcPr>
            <w:tcW w:type="dxa" w:w="2160"/>
          </w:tcPr>
          <w:p>
            <w:r>
              <w:rPr>
                <w:sz w:val="20"/>
              </w:rPr>
              <w:t>Not included</w:t>
            </w:r>
          </w:p>
        </w:tc>
        <w:tc>
          <w:tcPr>
            <w:tcW w:type="dxa" w:w="2160"/>
          </w:tcPr>
          <w:p>
            <w:r>
              <w:rPr>
                <w:sz w:val="20"/>
              </w:rPr>
              <w:t>Varies</w:t>
            </w:r>
          </w:p>
        </w:tc>
        <w:tc>
          <w:tcPr>
            <w:tcW w:type="dxa" w:w="2160"/>
          </w:tcPr>
          <w:p>
            <w:r>
              <w:rPr>
                <w:sz w:val="20"/>
              </w:rPr>
              <w:t>15 HLA-drug associations</w:t>
            </w:r>
          </w:p>
        </w:tc>
      </w:tr>
      <w:tr>
        <w:tc>
          <w:tcPr>
            <w:tcW w:type="dxa" w:w="2160"/>
          </w:tcPr>
          <w:p>
            <w:r>
              <w:rPr>
                <w:sz w:val="20"/>
              </w:rPr>
              <w:t>Dosing algorithms</w:t>
            </w:r>
          </w:p>
        </w:tc>
        <w:tc>
          <w:tcPr>
            <w:tcW w:type="dxa" w:w="2160"/>
          </w:tcPr>
          <w:p>
            <w:r>
              <w:rPr>
                <w:sz w:val="20"/>
              </w:rPr>
              <w:t>Not included</w:t>
            </w:r>
          </w:p>
        </w:tc>
        <w:tc>
          <w:tcPr>
            <w:tcW w:type="dxa" w:w="2160"/>
          </w:tcPr>
          <w:p>
            <w:r>
              <w:rPr>
                <w:sz w:val="20"/>
              </w:rPr>
              <w:t>Varies</w:t>
            </w:r>
          </w:p>
        </w:tc>
        <w:tc>
          <w:tcPr>
            <w:tcW w:type="dxa" w:w="2160"/>
          </w:tcPr>
          <w:p>
            <w:r>
              <w:rPr>
                <w:sz w:val="20"/>
              </w:rPr>
              <w:t>9 validated algorithms</w:t>
            </w:r>
          </w:p>
        </w:tc>
      </w:tr>
      <w:tr>
        <w:tc>
          <w:tcPr>
            <w:tcW w:type="dxa" w:w="2160"/>
          </w:tcPr>
          <w:p>
            <w:r>
              <w:rPr>
                <w:sz w:val="20"/>
              </w:rPr>
              <w:t>Regulatory oversight</w:t>
            </w:r>
          </w:p>
        </w:tc>
        <w:tc>
          <w:tcPr>
            <w:tcW w:type="dxa" w:w="2160"/>
          </w:tcPr>
          <w:p>
            <w:r>
              <w:rPr>
                <w:sz w:val="20"/>
              </w:rPr>
              <w:t>Varies by jurisdiction</w:t>
            </w:r>
          </w:p>
        </w:tc>
        <w:tc>
          <w:tcPr>
            <w:tcW w:type="dxa" w:w="2160"/>
          </w:tcPr>
          <w:p>
            <w:r>
              <w:rPr>
                <w:sz w:val="20"/>
              </w:rPr>
              <w:t>CLIA-certified</w:t>
            </w:r>
          </w:p>
        </w:tc>
        <w:tc>
          <w:tcPr>
            <w:tcW w:type="dxa" w:w="2160"/>
          </w:tcPr>
          <w:p>
            <w:r>
              <w:rPr>
                <w:sz w:val="20"/>
              </w:rPr>
              <w:t>Decision support tool (not diagnostic)</w:t>
            </w:r>
          </w:p>
        </w:tc>
      </w:tr>
      <w:tr>
        <w:tc>
          <w:tcPr>
            <w:tcW w:type="dxa" w:w="2160"/>
          </w:tcPr>
          <w:p>
            <w:r>
              <w:rPr>
                <w:sz w:val="20"/>
              </w:rPr>
              <w:t>Cost</w:t>
            </w:r>
          </w:p>
        </w:tc>
        <w:tc>
          <w:tcPr>
            <w:tcW w:type="dxa" w:w="2160"/>
          </w:tcPr>
          <w:p>
            <w:r>
              <w:rPr>
                <w:sz w:val="20"/>
              </w:rPr>
              <w:t>$199-299 (consumer panel)</w:t>
            </w:r>
          </w:p>
        </w:tc>
        <w:tc>
          <w:tcPr>
            <w:tcW w:type="dxa" w:w="2160"/>
          </w:tcPr>
          <w:p>
            <w:r>
              <w:rPr>
                <w:sz w:val="20"/>
              </w:rPr>
              <w:t>$200-500 (clinical panel)</w:t>
            </w:r>
          </w:p>
        </w:tc>
        <w:tc>
          <w:tcPr>
            <w:tcW w:type="dxa" w:w="2160"/>
          </w:tcPr>
          <w:p>
            <w:r>
              <w:rPr>
                <w:sz w:val="20"/>
              </w:rPr>
              <w:t>Open-source (infrastructure cost only)</w:t>
            </w:r>
          </w:p>
        </w:tc>
      </w:tr>
    </w:tbl>
    <w:p>
      <w:pPr>
        <w:pStyle w:val="Heading3"/>
      </w:pPr>
      <w:r>
        <w:t>Pharmacogenomics and Artificial Intelligence</w:t>
      </w:r>
    </w:p>
    <w:p>
      <w:r>
        <w:t>The intersection of AI and PGx is rapidly evolving. Current and emerging applications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AI Application</w:t>
            </w:r>
          </w:p>
        </w:tc>
        <w:tc>
          <w:tcPr>
            <w:tcW w:type="dxa" w:w="2880"/>
          </w:tcPr>
          <w:p>
            <w:r>
              <w:rPr>
                <w:b/>
                <w:sz w:val="20"/>
              </w:rPr>
              <w:t>Current State</w:t>
            </w:r>
          </w:p>
        </w:tc>
        <w:tc>
          <w:tcPr>
            <w:tcW w:type="dxa" w:w="2880"/>
          </w:tcPr>
          <w:p>
            <w:r>
              <w:rPr>
                <w:b/>
                <w:sz w:val="20"/>
              </w:rPr>
              <w:t>PGx Agent Implementation</w:t>
            </w:r>
          </w:p>
        </w:tc>
      </w:tr>
      <w:tr>
        <w:tc>
          <w:tcPr>
            <w:tcW w:type="dxa" w:w="2880"/>
          </w:tcPr>
          <w:p>
            <w:r>
              <w:rPr>
                <w:sz w:val="20"/>
              </w:rPr>
              <w:t>Natural language PGx queries</w:t>
            </w:r>
          </w:p>
        </w:tc>
        <w:tc>
          <w:tcPr>
            <w:tcW w:type="dxa" w:w="2880"/>
          </w:tcPr>
          <w:p>
            <w:r>
              <w:rPr>
                <w:sz w:val="20"/>
              </w:rPr>
              <w:t>Emerging (few tools offer this)</w:t>
            </w:r>
          </w:p>
        </w:tc>
        <w:tc>
          <w:tcPr>
            <w:tcW w:type="dxa" w:w="2880"/>
          </w:tcPr>
          <w:p>
            <w:r>
              <w:rPr>
                <w:sz w:val="20"/>
              </w:rPr>
              <w:t>Full RAG with 15-collection parallel search + Claude Sonnet 4.6</w:t>
            </w:r>
          </w:p>
        </w:tc>
      </w:tr>
      <w:tr>
        <w:tc>
          <w:tcPr>
            <w:tcW w:type="dxa" w:w="2880"/>
          </w:tcPr>
          <w:p>
            <w:r>
              <w:rPr>
                <w:sz w:val="20"/>
              </w:rPr>
              <w:t>Star allele calling from VCF</w:t>
            </w:r>
          </w:p>
        </w:tc>
        <w:tc>
          <w:tcPr>
            <w:tcW w:type="dxa" w:w="2880"/>
          </w:tcPr>
          <w:p>
            <w:r>
              <w:rPr>
                <w:sz w:val="20"/>
              </w:rPr>
              <w:t>Specialized tools (PharmCAT, Stargazer)</w:t>
            </w:r>
          </w:p>
        </w:tc>
        <w:tc>
          <w:tcPr>
            <w:tcW w:type="dxa" w:w="2880"/>
          </w:tcPr>
          <w:p>
            <w:r>
              <w:rPr>
                <w:sz w:val="20"/>
              </w:rPr>
              <w:t>StarAlleleCaller for SNV-based alleles</w:t>
            </w:r>
          </w:p>
        </w:tc>
      </w:tr>
      <w:tr>
        <w:tc>
          <w:tcPr>
            <w:tcW w:type="dxa" w:w="2880"/>
          </w:tcPr>
          <w:p>
            <w:r>
              <w:rPr>
                <w:sz w:val="20"/>
              </w:rPr>
              <w:t>Drug interaction prediction</w:t>
            </w:r>
          </w:p>
        </w:tc>
        <w:tc>
          <w:tcPr>
            <w:tcW w:type="dxa" w:w="2880"/>
          </w:tcPr>
          <w:p>
            <w:r>
              <w:rPr>
                <w:sz w:val="20"/>
              </w:rPr>
              <w:t>Rule-based databases</w:t>
            </w:r>
          </w:p>
        </w:tc>
        <w:tc>
          <w:tcPr>
            <w:tcW w:type="dxa" w:w="2880"/>
          </w:tcPr>
          <w:p>
            <w:r>
              <w:rPr>
                <w:sz w:val="20"/>
              </w:rPr>
              <w:t>Knowledge graph + phenoconversion modeling</w:t>
            </w:r>
          </w:p>
        </w:tc>
      </w:tr>
      <w:tr>
        <w:tc>
          <w:tcPr>
            <w:tcW w:type="dxa" w:w="2880"/>
          </w:tcPr>
          <w:p>
            <w:r>
              <w:rPr>
                <w:sz w:val="20"/>
              </w:rPr>
              <w:t>Dosing optimization</w:t>
            </w:r>
          </w:p>
        </w:tc>
        <w:tc>
          <w:tcPr>
            <w:tcW w:type="dxa" w:w="2880"/>
          </w:tcPr>
          <w:p>
            <w:r>
              <w:rPr>
                <w:sz w:val="20"/>
              </w:rPr>
              <w:t>Published algorithms (IWPC)</w:t>
            </w:r>
          </w:p>
        </w:tc>
        <w:tc>
          <w:tcPr>
            <w:tcW w:type="dxa" w:w="2880"/>
          </w:tcPr>
          <w:p>
            <w:r>
              <w:rPr>
                <w:sz w:val="20"/>
              </w:rPr>
              <w:t>9 validated algorithms with exact coefficients</w:t>
            </w:r>
          </w:p>
        </w:tc>
      </w:tr>
      <w:tr>
        <w:tc>
          <w:tcPr>
            <w:tcW w:type="dxa" w:w="2880"/>
          </w:tcPr>
          <w:p>
            <w:r>
              <w:rPr>
                <w:sz w:val="20"/>
              </w:rPr>
              <w:t>Evidence synthesis</w:t>
            </w:r>
          </w:p>
        </w:tc>
        <w:tc>
          <w:tcPr>
            <w:tcW w:type="dxa" w:w="2880"/>
          </w:tcPr>
          <w:p>
            <w:r>
              <w:rPr>
                <w:sz w:val="20"/>
              </w:rPr>
              <w:t>Manual literature review</w:t>
            </w:r>
          </w:p>
        </w:tc>
        <w:tc>
          <w:tcPr>
            <w:tcW w:type="dxa" w:w="2880"/>
          </w:tcPr>
          <w:p>
            <w:r>
              <w:rPr>
                <w:sz w:val="20"/>
              </w:rPr>
              <w:t>Automated retrieval + LLM synthesis with citations</w:t>
            </w:r>
          </w:p>
        </w:tc>
      </w:tr>
      <w:tr>
        <w:tc>
          <w:tcPr>
            <w:tcW w:type="dxa" w:w="2880"/>
          </w:tcPr>
          <w:p>
            <w:r>
              <w:rPr>
                <w:sz w:val="20"/>
              </w:rPr>
              <w:t>Population analytics</w:t>
            </w:r>
          </w:p>
        </w:tc>
        <w:tc>
          <w:tcPr>
            <w:tcW w:type="dxa" w:w="2880"/>
          </w:tcPr>
          <w:p>
            <w:r>
              <w:rPr>
                <w:sz w:val="20"/>
              </w:rPr>
              <w:t>Separate databases</w:t>
            </w:r>
          </w:p>
        </w:tc>
        <w:tc>
          <w:tcPr>
            <w:tcW w:type="dxa" w:w="2880"/>
          </w:tcPr>
          <w:p>
            <w:r>
              <w:rPr>
                <w:sz w:val="20"/>
              </w:rPr>
              <w:t>Integrated population data with visualization</w:t>
            </w:r>
          </w:p>
        </w:tc>
      </w:tr>
    </w:tbl>
    <w:p>
      <w:r>
        <w:t>The PGx Intelligence Agent represents an early implementation of AI-augmented pharmacogenomic decision support. As the field matures, we anticipate integration of:</w:t>
      </w:r>
    </w:p>
    <w:p>
      <w:pPr>
        <w:pStyle w:val="ListBullet"/>
      </w:pPr>
      <w:r>
        <w:t>Continuous learning from clinical outcomes to refine dosing algorithms</w:t>
      </w:r>
    </w:p>
    <w:p>
      <w:pPr>
        <w:pStyle w:val="ListBullet"/>
      </w:pPr>
      <w:r>
        <w:t>Predictive models for novel gene-drug associations</w:t>
      </w:r>
    </w:p>
    <w:p>
      <w:pPr>
        <w:pStyle w:val="ListBullet"/>
      </w:pPr>
      <w:r>
        <w:t>Real-time pharmacovigilance signal detection</w:t>
      </w:r>
    </w:p>
    <w:p>
      <w:pPr>
        <w:pStyle w:val="ListBullet"/>
      </w:pPr>
      <w:r>
        <w:t>Multi-modal integration (genomics + proteomics + metabolomics)</w:t>
      </w:r>
    </w:p>
    <w:p>
      <w:pPr>
        <w:pStyle w:val="Heading3"/>
      </w:pPr>
      <w:r>
        <w:t>Polygenic Pharmacogenomics</w:t>
      </w:r>
    </w:p>
    <w:p>
      <w:r>
        <w:t>Beyond traditional single-gene PGx, emerging research explores polygenic approaches that integrate common variants across the genome to predict drug response:</w:t>
      </w:r>
    </w:p>
    <w:p>
      <w:pPr>
        <w:pStyle w:val="ListBullet"/>
      </w:pPr>
      <w:r>
        <w:t>Warfarin polygenic scores: Adding ~100 common variants to the IWPC algorithm may explain an additional 5-10% of dose variance beyond CYP2C9 and VKORC1.</w:t>
      </w:r>
    </w:p>
    <w:p>
      <w:pPr>
        <w:pStyle w:val="ListBullet"/>
      </w:pPr>
      <w:r>
        <w:t>Statin response polygenic scores: Polygenic scores for LDL-cholesterol response may predict which patients benefit most from statin therapy.</w:t>
      </w:r>
    </w:p>
    <w:p>
      <w:pPr>
        <w:pStyle w:val="ListBullet"/>
      </w:pPr>
      <w:r>
        <w:t>Antidepressant response prediction: Polygenic risk scores for depression combined with CYP2D6/CYP2C19 metabolism may improve treatment selection.</w:t>
      </w:r>
    </w:p>
    <w:p>
      <w:r>
        <w:t>These polygenic approaches are still in research stages but represent the next frontier of pharmacogenomics beyond the current single-gene/few-gene paradigm.</w:t>
      </w:r>
    </w:p>
    <w:p>
      <w:pPr>
        <w:pStyle w:val="Heading3"/>
      </w:pPr>
      <w:r>
        <w:t>Pharmacoepigenomics</w:t>
      </w:r>
    </w:p>
    <w:p>
      <w:r>
        <w:t>Beyond DNA sequence variation, epigenetic modifications (DNA methylation, histone modification, non-coding RNA) can affect drug-metabolizing enzyme expression:</w:t>
      </w:r>
    </w:p>
    <w:p>
      <w:pPr>
        <w:pStyle w:val="ListBullet"/>
      </w:pPr>
      <w:r>
        <w:t>CYP1A2 methylation: Promoter methylation reduces CYP1A2 expression, affecting caffeine and clozapine metabolism</w:t>
      </w:r>
    </w:p>
    <w:p>
      <w:pPr>
        <w:pStyle w:val="ListBullet"/>
      </w:pPr>
      <w:r>
        <w:t>UGT1A1 methylation: Epigenetic silencing may contribute to variable irinotecan toxicity beyond *28 genotype</w:t>
      </w:r>
    </w:p>
    <w:p>
      <w:pPr>
        <w:pStyle w:val="ListBullet"/>
      </w:pPr>
      <w:r>
        <w:t>Drug-induced epigenetic changes: Some drugs (e.g., valproic acid, a histone deacetylase inhibitor) alter the expression of pharmacogenes through epigenetic mechanisms</w:t>
      </w:r>
    </w:p>
    <w:p>
      <w:r>
        <w:t>While pharmacoepigenomics is in its early stages, it may help explain the residual variability in drug response that is not accounted for by germline pharmacogenomic variants.</w:t>
      </w:r>
    </w:p>
    <w:p>
      <w:pPr>
        <w:pStyle w:val="Heading3"/>
      </w:pPr>
      <w:r>
        <w:t>Pediatric Pharmacogenomics</w:t>
      </w:r>
    </w:p>
    <w:p>
      <w:r>
        <w:t>Children present unique PGx challenges due to developmental pharmacogenomics -- the fact that CYP enzyme expression changes from birth through adolescence: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CYP Enzyme</w:t>
            </w:r>
          </w:p>
        </w:tc>
        <w:tc>
          <w:tcPr>
            <w:tcW w:type="dxa" w:w="1728"/>
          </w:tcPr>
          <w:p>
            <w:r>
              <w:rPr>
                <w:b/>
                <w:sz w:val="20"/>
              </w:rPr>
              <w:t>Neonatal Activity</w:t>
            </w:r>
          </w:p>
        </w:tc>
        <w:tc>
          <w:tcPr>
            <w:tcW w:type="dxa" w:w="1728"/>
          </w:tcPr>
          <w:p>
            <w:r>
              <w:rPr>
                <w:b/>
                <w:sz w:val="20"/>
              </w:rPr>
              <w:t>Infant (1-6 months)</w:t>
            </w:r>
          </w:p>
        </w:tc>
        <w:tc>
          <w:tcPr>
            <w:tcW w:type="dxa" w:w="1728"/>
          </w:tcPr>
          <w:p>
            <w:r>
              <w:rPr>
                <w:b/>
                <w:sz w:val="20"/>
              </w:rPr>
              <w:t>Child (1-10 years)</w:t>
            </w:r>
          </w:p>
        </w:tc>
        <w:tc>
          <w:tcPr>
            <w:tcW w:type="dxa" w:w="1728"/>
          </w:tcPr>
          <w:p>
            <w:r>
              <w:rPr>
                <w:b/>
                <w:sz w:val="20"/>
              </w:rPr>
              <w:t>Adult</w:t>
            </w:r>
          </w:p>
        </w:tc>
      </w:tr>
      <w:tr>
        <w:tc>
          <w:tcPr>
            <w:tcW w:type="dxa" w:w="1728"/>
          </w:tcPr>
          <w:p>
            <w:r>
              <w:rPr>
                <w:sz w:val="20"/>
              </w:rPr>
              <w:t>CYP3A4</w:t>
            </w:r>
          </w:p>
        </w:tc>
        <w:tc>
          <w:tcPr>
            <w:tcW w:type="dxa" w:w="1728"/>
          </w:tcPr>
          <w:p>
            <w:r>
              <w:rPr>
                <w:sz w:val="20"/>
              </w:rPr>
              <w:t>Low (30-50%)</w:t>
            </w:r>
          </w:p>
        </w:tc>
        <w:tc>
          <w:tcPr>
            <w:tcW w:type="dxa" w:w="1728"/>
          </w:tcPr>
          <w:p>
            <w:r>
              <w:rPr>
                <w:sz w:val="20"/>
              </w:rPr>
              <w:t>Rapidly increasing</w:t>
            </w:r>
          </w:p>
        </w:tc>
        <w:tc>
          <w:tcPr>
            <w:tcW w:type="dxa" w:w="1728"/>
          </w:tcPr>
          <w:p>
            <w:r>
              <w:rPr>
                <w:sz w:val="20"/>
              </w:rPr>
              <w:t>Adult levels by age 1-2</w:t>
            </w:r>
          </w:p>
        </w:tc>
        <w:tc>
          <w:tcPr>
            <w:tcW w:type="dxa" w:w="1728"/>
          </w:tcPr>
          <w:p>
            <w:r>
              <w:rPr>
                <w:sz w:val="20"/>
              </w:rPr>
              <w:t>100%</w:t>
            </w:r>
          </w:p>
        </w:tc>
      </w:tr>
      <w:tr>
        <w:tc>
          <w:tcPr>
            <w:tcW w:type="dxa" w:w="1728"/>
          </w:tcPr>
          <w:p>
            <w:r>
              <w:rPr>
                <w:sz w:val="20"/>
              </w:rPr>
              <w:t>CYP3A7</w:t>
            </w:r>
          </w:p>
        </w:tc>
        <w:tc>
          <w:tcPr>
            <w:tcW w:type="dxa" w:w="1728"/>
          </w:tcPr>
          <w:p>
            <w:r>
              <w:rPr>
                <w:sz w:val="20"/>
              </w:rPr>
              <w:t>High (fetal isoform)</w:t>
            </w:r>
          </w:p>
        </w:tc>
        <w:tc>
          <w:tcPr>
            <w:tcW w:type="dxa" w:w="1728"/>
          </w:tcPr>
          <w:p>
            <w:r>
              <w:rPr>
                <w:sz w:val="20"/>
              </w:rPr>
              <w:t>Rapidly decreasing</w:t>
            </w:r>
          </w:p>
        </w:tc>
        <w:tc>
          <w:tcPr>
            <w:tcW w:type="dxa" w:w="1728"/>
          </w:tcPr>
          <w:p>
            <w:r>
              <w:rPr>
                <w:sz w:val="20"/>
              </w:rPr>
              <w:t>Absent by age 1</w:t>
            </w:r>
          </w:p>
        </w:tc>
        <w:tc>
          <w:tcPr>
            <w:tcW w:type="dxa" w:w="1728"/>
          </w:tcPr>
          <w:p>
            <w:r>
              <w:rPr>
                <w:sz w:val="20"/>
              </w:rPr>
              <w:t>Absent</w:t>
            </w:r>
          </w:p>
        </w:tc>
      </w:tr>
      <w:tr>
        <w:tc>
          <w:tcPr>
            <w:tcW w:type="dxa" w:w="1728"/>
          </w:tcPr>
          <w:p>
            <w:r>
              <w:rPr>
                <w:sz w:val="20"/>
              </w:rPr>
              <w:t>CYP2D6</w:t>
            </w:r>
          </w:p>
        </w:tc>
        <w:tc>
          <w:tcPr>
            <w:tcW w:type="dxa" w:w="1728"/>
          </w:tcPr>
          <w:p>
            <w:r>
              <w:rPr>
                <w:sz w:val="20"/>
              </w:rPr>
              <w:t>Very low (10-20%)</w:t>
            </w:r>
          </w:p>
        </w:tc>
        <w:tc>
          <w:tcPr>
            <w:tcW w:type="dxa" w:w="1728"/>
          </w:tcPr>
          <w:p>
            <w:r>
              <w:rPr>
                <w:sz w:val="20"/>
              </w:rPr>
              <w:t>Increasing</w:t>
            </w:r>
          </w:p>
        </w:tc>
        <w:tc>
          <w:tcPr>
            <w:tcW w:type="dxa" w:w="1728"/>
          </w:tcPr>
          <w:p>
            <w:r>
              <w:rPr>
                <w:sz w:val="20"/>
              </w:rPr>
              <w:t>Near-adult by age 5</w:t>
            </w:r>
          </w:p>
        </w:tc>
        <w:tc>
          <w:tcPr>
            <w:tcW w:type="dxa" w:w="1728"/>
          </w:tcPr>
          <w:p>
            <w:r>
              <w:rPr>
                <w:sz w:val="20"/>
              </w:rPr>
              <w:t>100%</w:t>
            </w:r>
          </w:p>
        </w:tc>
      </w:tr>
      <w:tr>
        <w:tc>
          <w:tcPr>
            <w:tcW w:type="dxa" w:w="1728"/>
          </w:tcPr>
          <w:p>
            <w:r>
              <w:rPr>
                <w:sz w:val="20"/>
              </w:rPr>
              <w:t>CYP2C9</w:t>
            </w:r>
          </w:p>
        </w:tc>
        <w:tc>
          <w:tcPr>
            <w:tcW w:type="dxa" w:w="1728"/>
          </w:tcPr>
          <w:p>
            <w:r>
              <w:rPr>
                <w:sz w:val="20"/>
              </w:rPr>
              <w:t>Low (20-30%)</w:t>
            </w:r>
          </w:p>
        </w:tc>
        <w:tc>
          <w:tcPr>
            <w:tcW w:type="dxa" w:w="1728"/>
          </w:tcPr>
          <w:p>
            <w:r>
              <w:rPr>
                <w:sz w:val="20"/>
              </w:rPr>
              <w:t>Increasing</w:t>
            </w:r>
          </w:p>
        </w:tc>
        <w:tc>
          <w:tcPr>
            <w:tcW w:type="dxa" w:w="1728"/>
          </w:tcPr>
          <w:p>
            <w:r>
              <w:rPr>
                <w:sz w:val="20"/>
              </w:rPr>
              <w:t>Adult levels by age 1-2</w:t>
            </w:r>
          </w:p>
        </w:tc>
        <w:tc>
          <w:tcPr>
            <w:tcW w:type="dxa" w:w="1728"/>
          </w:tcPr>
          <w:p>
            <w:r>
              <w:rPr>
                <w:sz w:val="20"/>
              </w:rPr>
              <w:t>100%</w:t>
            </w:r>
          </w:p>
        </w:tc>
      </w:tr>
      <w:tr>
        <w:tc>
          <w:tcPr>
            <w:tcW w:type="dxa" w:w="1728"/>
          </w:tcPr>
          <w:p>
            <w:r>
              <w:rPr>
                <w:sz w:val="20"/>
              </w:rPr>
              <w:t>CYP2C19</w:t>
            </w:r>
          </w:p>
        </w:tc>
        <w:tc>
          <w:tcPr>
            <w:tcW w:type="dxa" w:w="1728"/>
          </w:tcPr>
          <w:p>
            <w:r>
              <w:rPr>
                <w:sz w:val="20"/>
              </w:rPr>
              <w:t>Low (20-30%)</w:t>
            </w:r>
          </w:p>
        </w:tc>
        <w:tc>
          <w:tcPr>
            <w:tcW w:type="dxa" w:w="1728"/>
          </w:tcPr>
          <w:p>
            <w:r>
              <w:rPr>
                <w:sz w:val="20"/>
              </w:rPr>
              <w:t>Increasing</w:t>
            </w:r>
          </w:p>
        </w:tc>
        <w:tc>
          <w:tcPr>
            <w:tcW w:type="dxa" w:w="1728"/>
          </w:tcPr>
          <w:p>
            <w:r>
              <w:rPr>
                <w:sz w:val="20"/>
              </w:rPr>
              <w:t>Adult levels by age 6 months-2 years</w:t>
            </w:r>
          </w:p>
        </w:tc>
        <w:tc>
          <w:tcPr>
            <w:tcW w:type="dxa" w:w="1728"/>
          </w:tcPr>
          <w:p>
            <w:r>
              <w:rPr>
                <w:sz w:val="20"/>
              </w:rPr>
              <w:t>100%</w:t>
            </w:r>
          </w:p>
        </w:tc>
      </w:tr>
      <w:tr>
        <w:tc>
          <w:tcPr>
            <w:tcW w:type="dxa" w:w="1728"/>
          </w:tcPr>
          <w:p>
            <w:r>
              <w:rPr>
                <w:sz w:val="20"/>
              </w:rPr>
              <w:t>CYP1A2</w:t>
            </w:r>
          </w:p>
        </w:tc>
        <w:tc>
          <w:tcPr>
            <w:tcW w:type="dxa" w:w="1728"/>
          </w:tcPr>
          <w:p>
            <w:r>
              <w:rPr>
                <w:sz w:val="20"/>
              </w:rPr>
              <w:t>Absent</w:t>
            </w:r>
          </w:p>
        </w:tc>
        <w:tc>
          <w:tcPr>
            <w:tcW w:type="dxa" w:w="1728"/>
          </w:tcPr>
          <w:p>
            <w:r>
              <w:rPr>
                <w:sz w:val="20"/>
              </w:rPr>
              <w:t>Low</w:t>
            </w:r>
          </w:p>
        </w:tc>
        <w:tc>
          <w:tcPr>
            <w:tcW w:type="dxa" w:w="1728"/>
          </w:tcPr>
          <w:p>
            <w:r>
              <w:rPr>
                <w:sz w:val="20"/>
              </w:rPr>
              <w:t>Adult levels by age 3-4</w:t>
            </w:r>
          </w:p>
        </w:tc>
        <w:tc>
          <w:tcPr>
            <w:tcW w:type="dxa" w:w="1728"/>
          </w:tcPr>
          <w:p>
            <w:r>
              <w:rPr>
                <w:sz w:val="20"/>
              </w:rPr>
              <w:t>100%</w:t>
            </w:r>
          </w:p>
        </w:tc>
      </w:tr>
      <w:tr>
        <w:tc>
          <w:tcPr>
            <w:tcW w:type="dxa" w:w="1728"/>
          </w:tcPr>
          <w:p>
            <w:r>
              <w:rPr>
                <w:sz w:val="20"/>
              </w:rPr>
              <w:t>UGT1A1</w:t>
            </w:r>
          </w:p>
        </w:tc>
        <w:tc>
          <w:tcPr>
            <w:tcW w:type="dxa" w:w="1728"/>
          </w:tcPr>
          <w:p>
            <w:r>
              <w:rPr>
                <w:sz w:val="20"/>
              </w:rPr>
              <w:t>Very low (1-5%)</w:t>
            </w:r>
          </w:p>
        </w:tc>
        <w:tc>
          <w:tcPr>
            <w:tcW w:type="dxa" w:w="1728"/>
          </w:tcPr>
          <w:p>
            <w:r>
              <w:rPr>
                <w:sz w:val="20"/>
              </w:rPr>
              <w:t>Increasing</w:t>
            </w:r>
          </w:p>
        </w:tc>
        <w:tc>
          <w:tcPr>
            <w:tcW w:type="dxa" w:w="1728"/>
          </w:tcPr>
          <w:p>
            <w:r>
              <w:rPr>
                <w:sz w:val="20"/>
              </w:rPr>
              <w:t>Adult levels by age 3-6 months</w:t>
            </w:r>
          </w:p>
        </w:tc>
        <w:tc>
          <w:tcPr>
            <w:tcW w:type="dxa" w:w="1728"/>
          </w:tcPr>
          <w:p>
            <w:r>
              <w:rPr>
                <w:sz w:val="20"/>
              </w:rPr>
              <w:t>100%</w:t>
            </w:r>
          </w:p>
        </w:tc>
      </w:tr>
    </w:tbl>
    <w:p>
      <w:r>
        <w:t>Key implications:</w:t>
      </w:r>
    </w:p>
    <w:p>
      <w:pPr>
        <w:pStyle w:val="ListBullet"/>
      </w:pPr>
      <w:r>
        <w:t>Neonatal codeine toxicity: A CYP2D6 UM neonate is particularly vulnerable because CYP2D6 is just beginning to express. However, a breastfed infant of a UM mother is at risk from morphine in breast milk.</w:t>
      </w:r>
    </w:p>
    <w:p>
      <w:pPr>
        <w:pStyle w:val="ListBullet"/>
      </w:pPr>
      <w:r>
        <w:t>CYP3A7-to-CYP3A4 switching: In neonates, the fetal isoform CYP3A7 handles some drug metabolism but has different substrate specificity than adult CYP3A4. This transition is not captured by standard PGx genotyping.</w:t>
      </w:r>
    </w:p>
    <w:p>
      <w:pPr>
        <w:pStyle w:val="ListBullet"/>
      </w:pPr>
      <w:r>
        <w:t>Dose scaling: Pediatric PGx dosing cannot simply scale adult PGx-guided doses by weight. Developmental enzyme ontogeny must be considered alongside genotype.</w:t>
      </w:r>
    </w:p>
    <w:p>
      <w:pPr>
        <w:pStyle w:val="Heading3"/>
      </w:pPr>
      <w:r>
        <w:t>Pharmacogenomics in Aging</w:t>
      </w:r>
    </w:p>
    <w:p>
      <w:r>
        <w:t>Elderly patients (&gt;65 years) also present PGx complexities:</w:t>
      </w:r>
    </w:p>
    <w:p>
      <w:pPr>
        <w:pStyle w:val="ListBullet"/>
      </w:pPr>
      <w:r>
        <w:t>Reduced hepatic blood flow: 30-40% decrease by age 70, reducing first-pass metabolism</w:t>
      </w:r>
    </w:p>
    <w:p>
      <w:pPr>
        <w:pStyle w:val="ListBullet"/>
      </w:pPr>
      <w:r>
        <w:t>Reduced liver mass: 20-30% decrease, reducing total CYP enzyme content</w:t>
      </w:r>
    </w:p>
    <w:p>
      <w:pPr>
        <w:pStyle w:val="ListBullet"/>
      </w:pPr>
      <w:r>
        <w:t>Polypharmacy: Average elderly patient takes 5-7 medications, increasing phenoconversion risk</w:t>
      </w:r>
    </w:p>
    <w:p>
      <w:pPr>
        <w:pStyle w:val="ListBullet"/>
      </w:pPr>
      <w:r>
        <w:t>Altered protein binding: Reduced albumin leads to higher free drug fractions</w:t>
      </w:r>
    </w:p>
    <w:p>
      <w:pPr>
        <w:pStyle w:val="ListBullet"/>
      </w:pPr>
      <w:r>
        <w:t>Renal decline: Reduced GFR affects excretion of renally cleared metabolites</w:t>
      </w:r>
    </w:p>
    <w:p>
      <w:r>
        <w:t>For elderly patients, the PGx Intelligence Agent's phenoconversion modeling is especially important because the combination of age-related metabolic decline and polypharmacy-induced CYP inhibition can lead to significantly altered drug levels.</w:t>
      </w:r>
    </w:p>
    <w:p>
      <w:pPr>
        <w:pStyle w:val="Heading3"/>
      </w:pPr>
      <w:r>
        <w:t>Pharmacomicrobiomics</w:t>
      </w:r>
    </w:p>
    <w:p>
      <w:r>
        <w:t>The gut microbiome contributes to drug metabolism through:</w:t>
      </w:r>
    </w:p>
    <w:p>
      <w:pPr>
        <w:pStyle w:val="ListBullet"/>
      </w:pPr>
      <w:r>
        <w:t>Microbial drug metabolism: Gut bacteria can activate (e.g., sulfasalazine to 5-aminosalicylic acid) or inactivate (e.g., digoxin reduction by Eggerthella lenta) drugs before they enter systemic circulation</w:t>
      </w:r>
    </w:p>
    <w:p>
      <w:pPr>
        <w:pStyle w:val="ListBullet"/>
      </w:pPr>
      <w:r>
        <w:t>Microbiome-PGx interactions: The composition of the gut microbiome may modulate the clinical impact of host pharmacogenomic variants</w:t>
      </w:r>
    </w:p>
    <w:p>
      <w:pPr>
        <w:pStyle w:val="ListBullet"/>
      </w:pPr>
      <w:r>
        <w:t>Enterohepatic recirculation: Microbial glucuronidase enzymes can reverse Phase II glucuronidation, reactivating drugs and prolonging their effect</w:t>
      </w:r>
    </w:p>
    <w:p>
      <w:r>
        <w:t>As microbiome sequencing becomes routine, integration of microbiome data with pharmacogenomic data may improve drug response prediction beyond what germline variants alone can achieve.</w:t>
      </w:r>
    </w:p>
    <w:p>
      <w:pPr>
        <w:pStyle w:val="Heading2"/>
      </w:pPr>
      <w:r>
        <w:t>12. Advanced PGx Dosing Concepts</w:t>
      </w:r>
    </w:p>
    <w:p>
      <w:pPr>
        <w:pStyle w:val="Heading3"/>
      </w:pPr>
      <w:r>
        <w:t>Therapeutic Drug Monitoring (TDM) and PGx</w:t>
      </w:r>
    </w:p>
    <w:p>
      <w:r>
        <w:t>Pharmacogenomics guides initial dosing, while therapeutic drug monitoring provides ongoing dose optimization:</w:t>
      </w:r>
    </w:p>
    <w:p>
      <w:pPr>
        <w:ind w:left="720"/>
      </w:pPr>
      <w:r>
        <w:rPr>
          <w:rFonts w:ascii="Consolas" w:hAnsi="Consolas"/>
          <w:sz w:val="18"/>
        </w:rPr>
        <w:t>PGx-Guided Initial Dose</w:t>
        <w:br/>
        <w:t xml:space="preserve">     |</w:t>
        <w:br/>
        <w:t xml:space="preserve">     v</w:t>
        <w:br/>
        <w:t>Start therapy at PGx-adjusted dose</w:t>
        <w:br/>
        <w:t xml:space="preserve">     |</w:t>
        <w:br/>
        <w:t xml:space="preserve">     v</w:t>
        <w:br/>
        <w:t>Measure drug/metabolite plasma levels (TDM)</w:t>
        <w:br/>
        <w:t xml:space="preserve">     |</w:t>
        <w:br/>
        <w:t xml:space="preserve">     v</w:t>
        <w:br/>
        <w:t>Adjust dose based on measured levels</w:t>
        <w:br/>
        <w:t xml:space="preserve">     |</w:t>
        <w:br/>
        <w:t xml:space="preserve">     v</w:t>
        <w:br/>
        <w:t>Steady-state optimization</w:t>
        <w:br/>
        <w:br/>
        <w:t>PGx + TDM = Comprehensive dose optimization</w:t>
        <w:br/>
        <w:t>PGx tells you WHERE to start</w:t>
        <w:br/>
        <w:t>TDM tells you WHERE you actually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PGx Gene</w:t>
            </w:r>
          </w:p>
        </w:tc>
        <w:tc>
          <w:tcPr>
            <w:tcW w:type="dxa" w:w="2160"/>
          </w:tcPr>
          <w:p>
            <w:r>
              <w:rPr>
                <w:b/>
                <w:sz w:val="20"/>
              </w:rPr>
              <w:t>TDM Target</w:t>
            </w:r>
          </w:p>
        </w:tc>
        <w:tc>
          <w:tcPr>
            <w:tcW w:type="dxa" w:w="2160"/>
          </w:tcPr>
          <w:p>
            <w:r>
              <w:rPr>
                <w:b/>
                <w:sz w:val="20"/>
              </w:rPr>
              <w:t>Integration</w:t>
            </w:r>
          </w:p>
        </w:tc>
      </w:tr>
      <w:tr>
        <w:tc>
          <w:tcPr>
            <w:tcW w:type="dxa" w:w="2160"/>
          </w:tcPr>
          <w:p>
            <w:r>
              <w:rPr>
                <w:sz w:val="20"/>
              </w:rPr>
              <w:t>Tacrolimus</w:t>
            </w:r>
          </w:p>
        </w:tc>
        <w:tc>
          <w:tcPr>
            <w:tcW w:type="dxa" w:w="2160"/>
          </w:tcPr>
          <w:p>
            <w:r>
              <w:rPr>
                <w:sz w:val="20"/>
              </w:rPr>
              <w:t>CYP3A5</w:t>
            </w:r>
          </w:p>
        </w:tc>
        <w:tc>
          <w:tcPr>
            <w:tcW w:type="dxa" w:w="2160"/>
          </w:tcPr>
          <w:p>
            <w:r>
              <w:rPr>
                <w:sz w:val="20"/>
              </w:rPr>
              <w:t>Trough 5-15 ng/mL</w:t>
            </w:r>
          </w:p>
        </w:tc>
        <w:tc>
          <w:tcPr>
            <w:tcW w:type="dxa" w:w="2160"/>
          </w:tcPr>
          <w:p>
            <w:r>
              <w:rPr>
                <w:sz w:val="20"/>
              </w:rPr>
              <w:t>PGx guides starting dose; TDM guides adjustments</w:t>
            </w:r>
          </w:p>
        </w:tc>
      </w:tr>
      <w:tr>
        <w:tc>
          <w:tcPr>
            <w:tcW w:type="dxa" w:w="2160"/>
          </w:tcPr>
          <w:p>
            <w:r>
              <w:rPr>
                <w:sz w:val="20"/>
              </w:rPr>
              <w:t>Warfarin</w:t>
            </w:r>
          </w:p>
        </w:tc>
        <w:tc>
          <w:tcPr>
            <w:tcW w:type="dxa" w:w="2160"/>
          </w:tcPr>
          <w:p>
            <w:r>
              <w:rPr>
                <w:sz w:val="20"/>
              </w:rPr>
              <w:t>CYP2C9/VKORC1</w:t>
            </w:r>
          </w:p>
        </w:tc>
        <w:tc>
          <w:tcPr>
            <w:tcW w:type="dxa" w:w="2160"/>
          </w:tcPr>
          <w:p>
            <w:r>
              <w:rPr>
                <w:sz w:val="20"/>
              </w:rPr>
              <w:t>INR 2.0-3.0</w:t>
            </w:r>
          </w:p>
        </w:tc>
        <w:tc>
          <w:tcPr>
            <w:tcW w:type="dxa" w:w="2160"/>
          </w:tcPr>
          <w:p>
            <w:r>
              <w:rPr>
                <w:sz w:val="20"/>
              </w:rPr>
              <w:t>PGx guides initial dose; INR monitoring guides adjustments</w:t>
            </w:r>
          </w:p>
        </w:tc>
      </w:tr>
      <w:tr>
        <w:tc>
          <w:tcPr>
            <w:tcW w:type="dxa" w:w="2160"/>
          </w:tcPr>
          <w:p>
            <w:r>
              <w:rPr>
                <w:sz w:val="20"/>
              </w:rPr>
              <w:t>5-Fluorouracil</w:t>
            </w:r>
          </w:p>
        </w:tc>
        <w:tc>
          <w:tcPr>
            <w:tcW w:type="dxa" w:w="2160"/>
          </w:tcPr>
          <w:p>
            <w:r>
              <w:rPr>
                <w:sz w:val="20"/>
              </w:rPr>
              <w:t>DPYD</w:t>
            </w:r>
          </w:p>
        </w:tc>
        <w:tc>
          <w:tcPr>
            <w:tcW w:type="dxa" w:w="2160"/>
          </w:tcPr>
          <w:p>
            <w:r>
              <w:rPr>
                <w:sz w:val="20"/>
              </w:rPr>
              <w:t>AUC 20-30 mg*h/L</w:t>
            </w:r>
          </w:p>
        </w:tc>
        <w:tc>
          <w:tcPr>
            <w:tcW w:type="dxa" w:w="2160"/>
          </w:tcPr>
          <w:p>
            <w:r>
              <w:rPr>
                <w:sz w:val="20"/>
              </w:rPr>
              <w:t>PGx guides dose reduction; 5-FU TDM optimizes within-cycle</w:t>
            </w:r>
          </w:p>
        </w:tc>
      </w:tr>
      <w:tr>
        <w:tc>
          <w:tcPr>
            <w:tcW w:type="dxa" w:w="2160"/>
          </w:tcPr>
          <w:p>
            <w:r>
              <w:rPr>
                <w:sz w:val="20"/>
              </w:rPr>
              <w:t>Thiopurines</w:t>
            </w:r>
          </w:p>
        </w:tc>
        <w:tc>
          <w:tcPr>
            <w:tcW w:type="dxa" w:w="2160"/>
          </w:tcPr>
          <w:p>
            <w:r>
              <w:rPr>
                <w:sz w:val="20"/>
              </w:rPr>
              <w:t>TPMT/NUDT15</w:t>
            </w:r>
          </w:p>
        </w:tc>
        <w:tc>
          <w:tcPr>
            <w:tcW w:type="dxa" w:w="2160"/>
          </w:tcPr>
          <w:p>
            <w:r>
              <w:rPr>
                <w:sz w:val="20"/>
              </w:rPr>
              <w:t>6-TGN 235-450 pmol/8x10^8 RBC</w:t>
            </w:r>
          </w:p>
        </w:tc>
        <w:tc>
          <w:tcPr>
            <w:tcW w:type="dxa" w:w="2160"/>
          </w:tcPr>
          <w:p>
            <w:r>
              <w:rPr>
                <w:sz w:val="20"/>
              </w:rPr>
              <w:t>PGx guides starting dose; 6-TGN levels guide titration</w:t>
            </w:r>
          </w:p>
        </w:tc>
      </w:tr>
      <w:tr>
        <w:tc>
          <w:tcPr>
            <w:tcW w:type="dxa" w:w="2160"/>
          </w:tcPr>
          <w:p>
            <w:r>
              <w:rPr>
                <w:sz w:val="20"/>
              </w:rPr>
              <w:t>Voriconazole</w:t>
            </w:r>
          </w:p>
        </w:tc>
        <w:tc>
          <w:tcPr>
            <w:tcW w:type="dxa" w:w="2160"/>
          </w:tcPr>
          <w:p>
            <w:r>
              <w:rPr>
                <w:sz w:val="20"/>
              </w:rPr>
              <w:t>CYP2C19</w:t>
            </w:r>
          </w:p>
        </w:tc>
        <w:tc>
          <w:tcPr>
            <w:tcW w:type="dxa" w:w="2160"/>
          </w:tcPr>
          <w:p>
            <w:r>
              <w:rPr>
                <w:sz w:val="20"/>
              </w:rPr>
              <w:t>Trough 1-5.5 mg/L</w:t>
            </w:r>
          </w:p>
        </w:tc>
        <w:tc>
          <w:tcPr>
            <w:tcW w:type="dxa" w:w="2160"/>
          </w:tcPr>
          <w:p>
            <w:r>
              <w:rPr>
                <w:sz w:val="20"/>
              </w:rPr>
              <w:t>PGx guides starting dose; trough levels prevent toxicity</w:t>
            </w:r>
          </w:p>
        </w:tc>
      </w:tr>
    </w:tbl>
    <w:p>
      <w:pPr>
        <w:pStyle w:val="Heading3"/>
      </w:pPr>
      <w:r>
        <w:t>Activity Score Edge Cases</w:t>
      </w:r>
    </w:p>
    <w:p>
      <w:r>
        <w:t>Certain diplotype combinations create ambiguous activity score assignments that require careful interpretation:</w:t>
      </w:r>
    </w:p>
    <w:p>
      <w:r>
        <w:t>CYP2D6 1/10 (AS = 1.25): Falls within the NM range (1.0-2.25). Note: CPIC updated the CYP2D6 *10 activity score from 0.5 to 0.25 in 2023. Clinical impact depends on the specific substrate.</w:t>
      </w:r>
    </w:p>
    <w:p>
      <w:r>
        <w:t>CYP2D6 41/41 (AS = 1.0): Two decreased-function alleles. Falls at the IM/NM boundary. CPIC classifies as IM. Some studies show CYP2D6*41 homozygotes have near-normal metabolism for some substrates.</w:t>
      </w:r>
    </w:p>
    <w:p>
      <w:r>
        <w:t>CYP2C19 2/17 (AS = 1.5): One no-function + one increased-function allele. The net effect is intermediate, but the 17 allele partially compensates for 2. CPIC classifies as IM but notes that phenotype assignment is uncertain.</w:t>
      </w:r>
    </w:p>
    <w:p>
      <w:r>
        <w:t>CYP2D6 10/41 (AS = 0.75): Two different decreased-function alleles (10=0.25, 41=0.5). Assigned IM phenotype. Common in East Asian populations where both alleles are prevalent.</w:t>
      </w:r>
    </w:p>
    <w:p>
      <w:pPr>
        <w:pStyle w:val="Heading3"/>
      </w:pPr>
      <w:r>
        <w:t>Population-Specific Dosing Considerations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Population</w:t>
            </w:r>
          </w:p>
        </w:tc>
        <w:tc>
          <w:tcPr>
            <w:tcW w:type="dxa" w:w="2160"/>
          </w:tcPr>
          <w:p>
            <w:r>
              <w:rPr>
                <w:b/>
                <w:sz w:val="20"/>
              </w:rPr>
              <w:t>Dosing Adjustment</w:t>
            </w:r>
          </w:p>
        </w:tc>
        <w:tc>
          <w:tcPr>
            <w:tcW w:type="dxa" w:w="2160"/>
          </w:tcPr>
          <w:p>
            <w:r>
              <w:rPr>
                <w:b/>
                <w:sz w:val="20"/>
              </w:rPr>
              <w:t>PGx Basis</w:t>
            </w:r>
          </w:p>
        </w:tc>
      </w:tr>
      <w:tr>
        <w:tc>
          <w:tcPr>
            <w:tcW w:type="dxa" w:w="2160"/>
          </w:tcPr>
          <w:p>
            <w:r>
              <w:rPr>
                <w:sz w:val="20"/>
              </w:rPr>
              <w:t>Warfarin</w:t>
            </w:r>
          </w:p>
        </w:tc>
        <w:tc>
          <w:tcPr>
            <w:tcW w:type="dxa" w:w="2160"/>
          </w:tcPr>
          <w:p>
            <w:r>
              <w:rPr>
                <w:sz w:val="20"/>
              </w:rPr>
              <w:t>East Asian</w:t>
            </w:r>
          </w:p>
        </w:tc>
        <w:tc>
          <w:tcPr>
            <w:tcW w:type="dxa" w:w="2160"/>
          </w:tcPr>
          <w:p>
            <w:r>
              <w:rPr>
                <w:sz w:val="20"/>
              </w:rPr>
              <w:t>15-20% lower starting dose</w:t>
            </w:r>
          </w:p>
        </w:tc>
        <w:tc>
          <w:tcPr>
            <w:tcW w:type="dxa" w:w="2160"/>
          </w:tcPr>
          <w:p>
            <w:r>
              <w:rPr>
                <w:sz w:val="20"/>
              </w:rPr>
              <w:t>Higher VKORC1 AA frequency (80-90%)</w:t>
            </w:r>
          </w:p>
        </w:tc>
      </w:tr>
      <w:tr>
        <w:tc>
          <w:tcPr>
            <w:tcW w:type="dxa" w:w="2160"/>
          </w:tcPr>
          <w:p>
            <w:r>
              <w:rPr>
                <w:sz w:val="20"/>
              </w:rPr>
              <w:t>Clopidogrel</w:t>
            </w:r>
          </w:p>
        </w:tc>
        <w:tc>
          <w:tcPr>
            <w:tcW w:type="dxa" w:w="2160"/>
          </w:tcPr>
          <w:p>
            <w:r>
              <w:rPr>
                <w:sz w:val="20"/>
              </w:rPr>
              <w:t>East Asian</w:t>
            </w:r>
          </w:p>
        </w:tc>
        <w:tc>
          <w:tcPr>
            <w:tcW w:type="dxa" w:w="2160"/>
          </w:tcPr>
          <w:p>
            <w:r>
              <w:rPr>
                <w:sz w:val="20"/>
              </w:rPr>
              <w:t>Higher PM rate (15-20%)</w:t>
            </w:r>
          </w:p>
        </w:tc>
        <w:tc>
          <w:tcPr>
            <w:tcW w:type="dxa" w:w="2160"/>
          </w:tcPr>
          <w:p>
            <w:r>
              <w:rPr>
                <w:sz w:val="20"/>
              </w:rPr>
              <w:t>CYP2C19*2+*3 combined frequency 30-40%</w:t>
            </w:r>
          </w:p>
        </w:tc>
      </w:tr>
      <w:tr>
        <w:tc>
          <w:tcPr>
            <w:tcW w:type="dxa" w:w="2160"/>
          </w:tcPr>
          <w:p>
            <w:r>
              <w:rPr>
                <w:sz w:val="20"/>
              </w:rPr>
              <w:t>Tacrolimus</w:t>
            </w:r>
          </w:p>
        </w:tc>
        <w:tc>
          <w:tcPr>
            <w:tcW w:type="dxa" w:w="2160"/>
          </w:tcPr>
          <w:p>
            <w:r>
              <w:rPr>
                <w:sz w:val="20"/>
              </w:rPr>
              <w:t>African American</w:t>
            </w:r>
          </w:p>
        </w:tc>
        <w:tc>
          <w:tcPr>
            <w:tcW w:type="dxa" w:w="2160"/>
          </w:tcPr>
          <w:p>
            <w:r>
              <w:rPr>
                <w:sz w:val="20"/>
              </w:rPr>
              <w:t>May need higher doses</w:t>
            </w:r>
          </w:p>
        </w:tc>
        <w:tc>
          <w:tcPr>
            <w:tcW w:type="dxa" w:w="2160"/>
          </w:tcPr>
          <w:p>
            <w:r>
              <w:rPr>
                <w:sz w:val="20"/>
              </w:rPr>
              <w:t>Higher CYP3A5*1 frequency (70-80% expressers)</w:t>
            </w:r>
          </w:p>
        </w:tc>
      </w:tr>
      <w:tr>
        <w:tc>
          <w:tcPr>
            <w:tcW w:type="dxa" w:w="2160"/>
          </w:tcPr>
          <w:p>
            <w:r>
              <w:rPr>
                <w:sz w:val="20"/>
              </w:rPr>
              <w:t>Codeine</w:t>
            </w:r>
          </w:p>
        </w:tc>
        <w:tc>
          <w:tcPr>
            <w:tcW w:type="dxa" w:w="2160"/>
          </w:tcPr>
          <w:p>
            <w:r>
              <w:rPr>
                <w:sz w:val="20"/>
              </w:rPr>
              <w:t>East African</w:t>
            </w:r>
          </w:p>
        </w:tc>
        <w:tc>
          <w:tcPr>
            <w:tcW w:type="dxa" w:w="2160"/>
          </w:tcPr>
          <w:p>
            <w:r>
              <w:rPr>
                <w:sz w:val="20"/>
              </w:rPr>
              <w:t>Higher UM rate (20-30%)</w:t>
            </w:r>
          </w:p>
        </w:tc>
        <w:tc>
          <w:tcPr>
            <w:tcW w:type="dxa" w:w="2160"/>
          </w:tcPr>
          <w:p>
            <w:r>
              <w:rPr>
                <w:sz w:val="20"/>
              </w:rPr>
              <w:t>CYP2D6 duplication frequency elevated</w:t>
            </w:r>
          </w:p>
        </w:tc>
      </w:tr>
      <w:tr>
        <w:tc>
          <w:tcPr>
            <w:tcW w:type="dxa" w:w="2160"/>
          </w:tcPr>
          <w:p>
            <w:r>
              <w:rPr>
                <w:sz w:val="20"/>
              </w:rPr>
              <w:t>Thiopurines</w:t>
            </w:r>
          </w:p>
        </w:tc>
        <w:tc>
          <w:tcPr>
            <w:tcW w:type="dxa" w:w="2160"/>
          </w:tcPr>
          <w:p>
            <w:r>
              <w:rPr>
                <w:sz w:val="20"/>
              </w:rPr>
              <w:t>East Asian</w:t>
            </w:r>
          </w:p>
        </w:tc>
        <w:tc>
          <w:tcPr>
            <w:tcW w:type="dxa" w:w="2160"/>
          </w:tcPr>
          <w:p>
            <w:r>
              <w:rPr>
                <w:sz w:val="20"/>
              </w:rPr>
              <w:t>Lower starting dose</w:t>
            </w:r>
          </w:p>
        </w:tc>
        <w:tc>
          <w:tcPr>
            <w:tcW w:type="dxa" w:w="2160"/>
          </w:tcPr>
          <w:p>
            <w:r>
              <w:rPr>
                <w:sz w:val="20"/>
              </w:rPr>
              <w:t>NUDT15*3 frequency 7-12%</w:t>
            </w:r>
          </w:p>
        </w:tc>
      </w:tr>
      <w:tr>
        <w:tc>
          <w:tcPr>
            <w:tcW w:type="dxa" w:w="2160"/>
          </w:tcPr>
          <w:p>
            <w:r>
              <w:rPr>
                <w:sz w:val="20"/>
              </w:rPr>
              <w:t>Fluoropyrimidines</w:t>
            </w:r>
          </w:p>
        </w:tc>
        <w:tc>
          <w:tcPr>
            <w:tcW w:type="dxa" w:w="2160"/>
          </w:tcPr>
          <w:p>
            <w:r>
              <w:rPr>
                <w:sz w:val="20"/>
              </w:rPr>
              <w:t>European</w:t>
            </w:r>
          </w:p>
        </w:tc>
        <w:tc>
          <w:tcPr>
            <w:tcW w:type="dxa" w:w="2160"/>
          </w:tcPr>
          <w:p>
            <w:r>
              <w:rPr>
                <w:sz w:val="20"/>
              </w:rPr>
              <w:t>DPYD screening most impactful</w:t>
            </w:r>
          </w:p>
        </w:tc>
        <w:tc>
          <w:tcPr>
            <w:tcW w:type="dxa" w:w="2160"/>
          </w:tcPr>
          <w:p>
            <w:r>
              <w:rPr>
                <w:sz w:val="20"/>
              </w:rPr>
              <w:t>DPYD*2A frequency 1-2% (higher than other populations)</w:t>
            </w:r>
          </w:p>
        </w:tc>
      </w:tr>
    </w:tbl>
    <w:p>
      <w:pPr>
        <w:pStyle w:val="Heading2"/>
      </w:pPr>
      <w:r>
        <w:t>13. Future of Clinical PGx Implementation</w:t>
      </w:r>
    </w:p>
    <w:p>
      <w:pPr>
        <w:pStyle w:val="Heading3"/>
      </w:pPr>
      <w:r>
        <w:t>The Vision: Lifetime PGx Profile</w:t>
      </w:r>
    </w:p>
    <w:p>
      <w:r>
        <w:t>The ultimate goal of pharmacogenomics implementation is a one-time, comprehensive, pre-emptive pharmacogenomic profile that:</w:t>
      </w:r>
    </w:p>
    <w:p>
      <w:pPr>
        <w:pStyle w:val="ListNumber"/>
      </w:pPr>
      <w:r>
        <w:t>Is obtained once (ideally in young adulthood or at first healthcare encounter)</w:t>
      </w:r>
    </w:p>
    <w:p>
      <w:pPr>
        <w:pStyle w:val="ListNumber"/>
      </w:pPr>
      <w:r>
        <w:t>Tests all 25+ clinically actionable pharmacogenes</w:t>
      </w:r>
    </w:p>
    <w:p>
      <w:pPr>
        <w:pStyle w:val="ListNumber"/>
      </w:pPr>
      <w:r>
        <w:t>Results stored permanently in the EHR</w:t>
      </w:r>
    </w:p>
    <w:p>
      <w:pPr>
        <w:pStyle w:val="ListNumber"/>
      </w:pPr>
      <w:r>
        <w:t>Automatically triggers CDS alerts whenever a PGx-relevant drug is prescribed</w:t>
      </w:r>
    </w:p>
    <w:p>
      <w:pPr>
        <w:pStyle w:val="ListNumber"/>
      </w:pPr>
      <w:r>
        <w:t>Updated as new star alleles are discovered and new guidelines are published</w:t>
      </w:r>
    </w:p>
    <w:p>
      <w:pPr>
        <w:pStyle w:val="ListNumber"/>
      </w:pPr>
      <w:r>
        <w:t>Portable across healthcare systems via FHIR-based interoperability</w:t>
      </w:r>
    </w:p>
    <w:p>
      <w:pPr>
        <w:ind w:left="720"/>
      </w:pPr>
      <w:r>
        <w:rPr>
          <w:rFonts w:ascii="Consolas" w:hAnsi="Consolas"/>
          <w:sz w:val="18"/>
        </w:rPr>
        <w:t>LIFETIME PGx WORKFLOW</w:t>
        <w:br/>
        <w:br/>
        <w:t>Patient enrollment</w:t>
        <w:br/>
        <w:t xml:space="preserve">     |</w:t>
        <w:br/>
        <w:t xml:space="preserve">     v</w:t>
        <w:br/>
        <w:t>One-time multi-gene PGx panel (25+ genes, $200-500)</w:t>
        <w:br/>
        <w:t xml:space="preserve">     |</w:t>
        <w:br/>
        <w:t xml:space="preserve">     v</w:t>
        <w:br/>
        <w:t>Results interpreted and stored in EHR</w:t>
        <w:br/>
        <w:t xml:space="preserve">     |</w:t>
        <w:br/>
        <w:t xml:space="preserve">     v</w:t>
        <w:br/>
        <w:t>[Years pass...]</w:t>
        <w:br/>
        <w:t xml:space="preserve">     |</w:t>
        <w:br/>
        <w:t xml:space="preserve">     v</w:t>
        <w:br/>
        <w:t>Clinician prescribes clopidogrel after cardiac stent</w:t>
        <w:br/>
        <w:t xml:space="preserve">     |</w:t>
        <w:br/>
        <w:t xml:space="preserve">     v</w:t>
        <w:br/>
        <w:t>EHR CDS alert fires: "Patient is CYP2C19 PM.</w:t>
        <w:br/>
        <w:t>CPIC Level A: Use prasugrel or ticagrelor instead."</w:t>
        <w:br/>
        <w:t xml:space="preserve">     |</w:t>
        <w:br/>
        <w:t xml:space="preserve">     v</w:t>
        <w:br/>
        <w:t>Clinician reviews alert, changes to prasugrel</w:t>
        <w:br/>
        <w:t xml:space="preserve">     |</w:t>
        <w:br/>
        <w:t xml:space="preserve">     v</w:t>
        <w:br/>
        <w:t>Patient avoids stent thrombosis</w:t>
      </w:r>
    </w:p>
    <w:p>
      <w:pPr>
        <w:pStyle w:val="Heading3"/>
      </w:pPr>
      <w:r>
        <w:t>The Economic Case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Scenario</w:t>
            </w:r>
          </w:p>
        </w:tc>
        <w:tc>
          <w:tcPr>
            <w:tcW w:type="dxa" w:w="2880"/>
          </w:tcPr>
          <w:p>
            <w:r>
              <w:rPr>
                <w:b/>
                <w:sz w:val="20"/>
              </w:rPr>
              <w:t>Cost</w:t>
            </w:r>
          </w:p>
        </w:tc>
        <w:tc>
          <w:tcPr>
            <w:tcW w:type="dxa" w:w="2880"/>
          </w:tcPr>
          <w:p>
            <w:r>
              <w:rPr>
                <w:b/>
                <w:sz w:val="20"/>
              </w:rPr>
              <w:t>Outcome</w:t>
            </w:r>
          </w:p>
        </w:tc>
      </w:tr>
      <w:tr>
        <w:tc>
          <w:tcPr>
            <w:tcW w:type="dxa" w:w="2880"/>
          </w:tcPr>
          <w:p>
            <w:r>
              <w:rPr>
                <w:sz w:val="20"/>
              </w:rPr>
              <w:t>No PGx testing</w:t>
            </w:r>
          </w:p>
        </w:tc>
        <w:tc>
          <w:tcPr>
            <w:tcW w:type="dxa" w:w="2880"/>
          </w:tcPr>
          <w:p>
            <w:r>
              <w:rPr>
                <w:sz w:val="20"/>
              </w:rPr>
              <w:t>$0 test cost</w:t>
            </w:r>
          </w:p>
        </w:tc>
        <w:tc>
          <w:tcPr>
            <w:tcW w:type="dxa" w:w="2880"/>
          </w:tcPr>
          <w:p>
            <w:r>
              <w:rPr>
                <w:sz w:val="20"/>
              </w:rPr>
              <w:t>7% ADR hospitalization rate; average ADR cost $2,000-20,000</w:t>
            </w:r>
          </w:p>
        </w:tc>
      </w:tr>
      <w:tr>
        <w:tc>
          <w:tcPr>
            <w:tcW w:type="dxa" w:w="2880"/>
          </w:tcPr>
          <w:p>
            <w:r>
              <w:rPr>
                <w:sz w:val="20"/>
              </w:rPr>
              <w:t>Reactive single-gene testing</w:t>
            </w:r>
          </w:p>
        </w:tc>
        <w:tc>
          <w:tcPr>
            <w:tcW w:type="dxa" w:w="2880"/>
          </w:tcPr>
          <w:p>
            <w:r>
              <w:rPr>
                <w:sz w:val="20"/>
              </w:rPr>
              <w:t>$100-300 per test x 3-5 lifetime encounters</w:t>
            </w:r>
          </w:p>
        </w:tc>
        <w:tc>
          <w:tcPr>
            <w:tcW w:type="dxa" w:w="2880"/>
          </w:tcPr>
          <w:p>
            <w:r>
              <w:rPr>
                <w:sz w:val="20"/>
              </w:rPr>
              <w:t>Delayed turnaround; missed some interactions</w:t>
            </w:r>
          </w:p>
        </w:tc>
      </w:tr>
      <w:tr>
        <w:tc>
          <w:tcPr>
            <w:tcW w:type="dxa" w:w="2880"/>
          </w:tcPr>
          <w:p>
            <w:r>
              <w:rPr>
                <w:sz w:val="20"/>
              </w:rPr>
              <w:t>Pre-emptive multi-gene panel</w:t>
            </w:r>
          </w:p>
        </w:tc>
        <w:tc>
          <w:tcPr>
            <w:tcW w:type="dxa" w:w="2880"/>
          </w:tcPr>
          <w:p>
            <w:r>
              <w:rPr>
                <w:sz w:val="20"/>
              </w:rPr>
              <w:t>$200-500 one time</w:t>
            </w:r>
          </w:p>
        </w:tc>
        <w:tc>
          <w:tcPr>
            <w:tcW w:type="dxa" w:w="2880"/>
          </w:tcPr>
          <w:p>
            <w:r>
              <w:rPr>
                <w:sz w:val="20"/>
              </w:rPr>
              <w:t>Results available at every prescribing encounter; 30% ADR reduction</w:t>
            </w:r>
          </w:p>
        </w:tc>
      </w:tr>
    </w:tbl>
    <w:p>
      <w:r>
        <w:t>Break-even analysis: A pre-emptive panel costing $300 is cost-effective if it prevents a single ADR-related emergency department visit ($1,200-5,000) or hospitalization ($5,000-20,000) over the patient's lifetime. Given that 95% of patients carry at least one actionable variant and the average patient encounters 3-5 PGx-relevant prescribing decisions, the economic case strongly favors pre-emptive testing.</w:t>
      </w:r>
    </w:p>
    <w:p>
      <w:pPr>
        <w:pStyle w:val="Heading3"/>
      </w:pPr>
      <w:r>
        <w:t>Institutional PGx Program Maturity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Level</w:t>
            </w:r>
          </w:p>
        </w:tc>
        <w:tc>
          <w:tcPr>
            <w:tcW w:type="dxa" w:w="2880"/>
          </w:tcPr>
          <w:p>
            <w:r>
              <w:rPr>
                <w:b/>
                <w:sz w:val="20"/>
              </w:rPr>
              <w:t>Description</w:t>
            </w:r>
          </w:p>
        </w:tc>
        <w:tc>
          <w:tcPr>
            <w:tcW w:type="dxa" w:w="2880"/>
          </w:tcPr>
          <w:p>
            <w:r>
              <w:rPr>
                <w:b/>
                <w:sz w:val="20"/>
              </w:rPr>
              <w:t>PGx Agent Role</w:t>
            </w:r>
          </w:p>
        </w:tc>
      </w:tr>
      <w:tr>
        <w:tc>
          <w:tcPr>
            <w:tcW w:type="dxa" w:w="2880"/>
          </w:tcPr>
          <w:p>
            <w:r>
              <w:rPr>
                <w:sz w:val="20"/>
              </w:rPr>
              <w:t>1. Awareness</w:t>
            </w:r>
          </w:p>
        </w:tc>
        <w:tc>
          <w:tcPr>
            <w:tcW w:type="dxa" w:w="2880"/>
          </w:tcPr>
          <w:p>
            <w:r>
              <w:rPr>
                <w:sz w:val="20"/>
              </w:rPr>
              <w:t>Clinicians aware of PGx but no testing program</w:t>
            </w:r>
          </w:p>
        </w:tc>
        <w:tc>
          <w:tcPr>
            <w:tcW w:type="dxa" w:w="2880"/>
          </w:tcPr>
          <w:p>
            <w:r>
              <w:rPr>
                <w:sz w:val="20"/>
              </w:rPr>
              <w:t>Educational content (Tab 10, evidence explorer)</w:t>
            </w:r>
          </w:p>
        </w:tc>
      </w:tr>
      <w:tr>
        <w:tc>
          <w:tcPr>
            <w:tcW w:type="dxa" w:w="2880"/>
          </w:tcPr>
          <w:p>
            <w:r>
              <w:rPr>
                <w:sz w:val="20"/>
              </w:rPr>
              <w:t>2. Reactive testing</w:t>
            </w:r>
          </w:p>
        </w:tc>
        <w:tc>
          <w:tcPr>
            <w:tcW w:type="dxa" w:w="2880"/>
          </w:tcPr>
          <w:p>
            <w:r>
              <w:rPr>
                <w:sz w:val="20"/>
              </w:rPr>
              <w:t>Single-gene tests ordered after drug is prescribed</w:t>
            </w:r>
          </w:p>
        </w:tc>
        <w:tc>
          <w:tcPr>
            <w:tcW w:type="dxa" w:w="2880"/>
          </w:tcPr>
          <w:p>
            <w:r>
              <w:rPr>
                <w:sz w:val="20"/>
              </w:rPr>
              <w:t>Drug Check tab; evidence retrieval</w:t>
            </w:r>
          </w:p>
        </w:tc>
      </w:tr>
      <w:tr>
        <w:tc>
          <w:tcPr>
            <w:tcW w:type="dxa" w:w="2880"/>
          </w:tcPr>
          <w:p>
            <w:r>
              <w:rPr>
                <w:sz w:val="20"/>
              </w:rPr>
              <w:t>3. Pre-emptive panels</w:t>
            </w:r>
          </w:p>
        </w:tc>
        <w:tc>
          <w:tcPr>
            <w:tcW w:type="dxa" w:w="2880"/>
          </w:tcPr>
          <w:p>
            <w:r>
              <w:rPr>
                <w:sz w:val="20"/>
              </w:rPr>
              <w:t>Multi-gene testing before drugs are needed</w:t>
            </w:r>
          </w:p>
        </w:tc>
        <w:tc>
          <w:tcPr>
            <w:tcW w:type="dxa" w:w="2880"/>
          </w:tcPr>
          <w:p>
            <w:r>
              <w:rPr>
                <w:sz w:val="20"/>
              </w:rPr>
              <w:t>Dashboard; multi-gene profile interpretation</w:t>
            </w:r>
          </w:p>
        </w:tc>
      </w:tr>
      <w:tr>
        <w:tc>
          <w:tcPr>
            <w:tcW w:type="dxa" w:w="2880"/>
          </w:tcPr>
          <w:p>
            <w:r>
              <w:rPr>
                <w:sz w:val="20"/>
              </w:rPr>
              <w:t>4. EHR integration</w:t>
            </w:r>
          </w:p>
        </w:tc>
        <w:tc>
          <w:tcPr>
            <w:tcW w:type="dxa" w:w="2880"/>
          </w:tcPr>
          <w:p>
            <w:r>
              <w:rPr>
                <w:sz w:val="20"/>
              </w:rPr>
              <w:t>PGx results in EHR with CDS alerts</w:t>
            </w:r>
          </w:p>
        </w:tc>
        <w:tc>
          <w:tcPr>
            <w:tcW w:type="dxa" w:w="2880"/>
          </w:tcPr>
          <w:p>
            <w:r>
              <w:rPr>
                <w:sz w:val="20"/>
              </w:rPr>
              <w:t>FHIR R4 export; API integration</w:t>
            </w:r>
          </w:p>
        </w:tc>
      </w:tr>
      <w:tr>
        <w:tc>
          <w:tcPr>
            <w:tcW w:type="dxa" w:w="2880"/>
          </w:tcPr>
          <w:p>
            <w:r>
              <w:rPr>
                <w:sz w:val="20"/>
              </w:rPr>
              <w:t>5. Mature program</w:t>
            </w:r>
          </w:p>
        </w:tc>
        <w:tc>
          <w:tcPr>
            <w:tcW w:type="dxa" w:w="2880"/>
          </w:tcPr>
          <w:p>
            <w:r>
              <w:rPr>
                <w:sz w:val="20"/>
              </w:rPr>
              <w:t>Pharmacist-led PGx service with outcome tracking</w:t>
            </w:r>
          </w:p>
        </w:tc>
        <w:tc>
          <w:tcPr>
            <w:tcW w:type="dxa" w:w="2880"/>
          </w:tcPr>
          <w:p>
            <w:r>
              <w:rPr>
                <w:sz w:val="20"/>
              </w:rPr>
              <w:t>Full agent capabilities; Prometheus metrics</w:t>
            </w:r>
          </w:p>
        </w:tc>
      </w:tr>
    </w:tbl>
    <w:p>
      <w:r>
        <w:t>The Pharmacogenomics Intelligence Agent supports institutions at every maturity level, from basic PGx education (Level 1) to comprehensive clinical decision support with outcome monitoring (Level 5).</w:t>
      </w:r>
    </w:p>
    <w:p>
      <w:pPr>
        <w:pStyle w:val="Heading2"/>
      </w:pPr>
      <w:r>
        <w:t>14. Advanced Phenoconversion Scenarios</w:t>
      </w:r>
    </w:p>
    <w:p>
      <w:pPr>
        <w:pStyle w:val="Heading3"/>
      </w:pPr>
      <w:r>
        <w:t>Multi-Inhibitor Scenarios</w:t>
      </w:r>
    </w:p>
    <w:p>
      <w:r>
        <w:t>When a patient takes multiple CYP inhibitors affecting the same enzyme, the strongest inhibitor determines the phenoconversion effect (inhibition does not "stack" beyond the maximum downshift):</w:t>
      </w:r>
    </w:p>
    <w:p>
      <w:pPr>
        <w:ind w:left="720"/>
      </w:pPr>
      <w:r>
        <w:rPr>
          <w:rFonts w:ascii="Consolas" w:hAnsi="Consolas"/>
          <w:sz w:val="18"/>
        </w:rPr>
        <w:t>SCENARIO: Patient on both fluoxetine (strong CYP2D6 inhibitor) and</w:t>
        <w:br/>
        <w:t xml:space="preserve">          diphenhydramine (moderate CYP2D6 inhibitor)</w:t>
        <w:br/>
        <w:br/>
        <w:t>Genetic phenotype:  CYP2D6 Normal Metabolizer (AS = 2.0)</w:t>
        <w:br/>
        <w:br/>
        <w:t>Fluoxetine alone:   NM --&gt; PM (strong inhibitor effect)</w:t>
        <w:br/>
        <w:t>Diphenhydramine alone: NM --&gt; IM (moderate inhibitor effect)</w:t>
        <w:br/>
        <w:t>Both together:      NM --&gt; PM (strongest inhibitor dominates)</w:t>
        <w:br/>
        <w:br/>
        <w:t>The moderate inhibitor does not make the phenoconversion "worse"</w:t>
        <w:br/>
        <w:t>than the strong inhibitor alone. PM is already the maximum downshift.</w:t>
      </w:r>
    </w:p>
    <w:p>
      <w:pPr>
        <w:pStyle w:val="Heading3"/>
      </w:pPr>
      <w:r>
        <w:t>Cross-Enzyme Inhibition</w:t>
      </w:r>
    </w:p>
    <w:p>
      <w:r>
        <w:t>Some drugs inhibit multiple CYP enzymes simultaneously, creating complex phenoconversion scenarios: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Drug</w:t>
            </w:r>
          </w:p>
        </w:tc>
        <w:tc>
          <w:tcPr>
            <w:tcW w:type="dxa" w:w="1440"/>
          </w:tcPr>
          <w:p>
            <w:r>
              <w:rPr>
                <w:b/>
                <w:sz w:val="20"/>
              </w:rPr>
              <w:t>CYP2D6</w:t>
            </w:r>
          </w:p>
        </w:tc>
        <w:tc>
          <w:tcPr>
            <w:tcW w:type="dxa" w:w="1440"/>
          </w:tcPr>
          <w:p>
            <w:r>
              <w:rPr>
                <w:b/>
                <w:sz w:val="20"/>
              </w:rPr>
              <w:t>CYP2C19</w:t>
            </w:r>
          </w:p>
        </w:tc>
        <w:tc>
          <w:tcPr>
            <w:tcW w:type="dxa" w:w="1440"/>
          </w:tcPr>
          <w:p>
            <w:r>
              <w:rPr>
                <w:b/>
                <w:sz w:val="20"/>
              </w:rPr>
              <w:t>CYP2C9</w:t>
            </w:r>
          </w:p>
        </w:tc>
        <w:tc>
          <w:tcPr>
            <w:tcW w:type="dxa" w:w="1440"/>
          </w:tcPr>
          <w:p>
            <w:r>
              <w:rPr>
                <w:b/>
                <w:sz w:val="20"/>
              </w:rPr>
              <w:t>CYP3A4</w:t>
            </w:r>
          </w:p>
        </w:tc>
        <w:tc>
          <w:tcPr>
            <w:tcW w:type="dxa" w:w="1440"/>
          </w:tcPr>
          <w:p>
            <w:r>
              <w:rPr>
                <w:b/>
                <w:sz w:val="20"/>
              </w:rPr>
              <w:t>CYP1A2</w:t>
            </w:r>
          </w:p>
        </w:tc>
      </w:tr>
      <w:tr>
        <w:tc>
          <w:tcPr>
            <w:tcW w:type="dxa" w:w="1440"/>
          </w:tcPr>
          <w:p>
            <w:r>
              <w:rPr>
                <w:sz w:val="20"/>
              </w:rPr>
              <w:t>Fluoxetine</w:t>
            </w:r>
          </w:p>
        </w:tc>
        <w:tc>
          <w:tcPr>
            <w:tcW w:type="dxa" w:w="1440"/>
          </w:tcPr>
          <w:p>
            <w:r>
              <w:rPr>
                <w:sz w:val="20"/>
              </w:rPr>
              <w:t>Strong</w:t>
            </w:r>
          </w:p>
        </w:tc>
        <w:tc>
          <w:tcPr>
            <w:tcW w:type="dxa" w:w="1440"/>
          </w:tcPr>
          <w:p>
            <w:r>
              <w:rPr>
                <w:sz w:val="20"/>
              </w:rPr>
              <w:t>Moderate</w:t>
            </w:r>
          </w:p>
        </w:tc>
        <w:tc>
          <w:tcPr>
            <w:tcW w:type="dxa" w:w="1440"/>
          </w:tcPr>
          <w:p>
            <w:r>
              <w:rPr>
                <w:sz w:val="20"/>
              </w:rPr>
              <w:t>Weak</w:t>
            </w:r>
          </w:p>
        </w:tc>
        <w:tc>
          <w:tcPr>
            <w:tcW w:type="dxa" w:w="1440"/>
          </w:tcPr>
          <w:p>
            <w:r>
              <w:rPr>
                <w:sz w:val="20"/>
              </w:rPr>
              <w:t>--</w:t>
            </w:r>
          </w:p>
        </w:tc>
        <w:tc>
          <w:tcPr>
            <w:tcW w:type="dxa" w:w="1440"/>
          </w:tcPr>
          <w:p>
            <w:r>
              <w:rPr>
                <w:sz w:val="20"/>
              </w:rPr>
              <w:t>--</w:t>
            </w:r>
          </w:p>
        </w:tc>
      </w:tr>
      <w:tr>
        <w:tc>
          <w:tcPr>
            <w:tcW w:type="dxa" w:w="1440"/>
          </w:tcPr>
          <w:p>
            <w:r>
              <w:rPr>
                <w:sz w:val="20"/>
              </w:rPr>
              <w:t>Fluvoxamine</w:t>
            </w:r>
          </w:p>
        </w:tc>
        <w:tc>
          <w:tcPr>
            <w:tcW w:type="dxa" w:w="1440"/>
          </w:tcPr>
          <w:p>
            <w:r>
              <w:rPr>
                <w:sz w:val="20"/>
              </w:rPr>
              <w:t>Moderate</w:t>
            </w:r>
          </w:p>
        </w:tc>
        <w:tc>
          <w:tcPr>
            <w:tcW w:type="dxa" w:w="1440"/>
          </w:tcPr>
          <w:p>
            <w:r>
              <w:rPr>
                <w:sz w:val="20"/>
              </w:rPr>
              <w:t>Strong</w:t>
            </w:r>
          </w:p>
        </w:tc>
        <w:tc>
          <w:tcPr>
            <w:tcW w:type="dxa" w:w="1440"/>
          </w:tcPr>
          <w:p>
            <w:r>
              <w:rPr>
                <w:sz w:val="20"/>
              </w:rPr>
              <w:t>Moderate</w:t>
            </w:r>
          </w:p>
        </w:tc>
        <w:tc>
          <w:tcPr>
            <w:tcW w:type="dxa" w:w="1440"/>
          </w:tcPr>
          <w:p>
            <w:r>
              <w:rPr>
                <w:sz w:val="20"/>
              </w:rPr>
              <w:t>Moderate</w:t>
            </w:r>
          </w:p>
        </w:tc>
        <w:tc>
          <w:tcPr>
            <w:tcW w:type="dxa" w:w="1440"/>
          </w:tcPr>
          <w:p>
            <w:r>
              <w:rPr>
                <w:sz w:val="20"/>
              </w:rPr>
              <w:t>Strong</w:t>
            </w:r>
          </w:p>
        </w:tc>
      </w:tr>
      <w:tr>
        <w:tc>
          <w:tcPr>
            <w:tcW w:type="dxa" w:w="1440"/>
          </w:tcPr>
          <w:p>
            <w:r>
              <w:rPr>
                <w:sz w:val="20"/>
              </w:rPr>
              <w:t>Amiodarone</w:t>
            </w:r>
          </w:p>
        </w:tc>
        <w:tc>
          <w:tcPr>
            <w:tcW w:type="dxa" w:w="1440"/>
          </w:tcPr>
          <w:p>
            <w:r>
              <w:rPr>
                <w:sz w:val="20"/>
              </w:rPr>
              <w:t>Moderate</w:t>
            </w:r>
          </w:p>
        </w:tc>
        <w:tc>
          <w:tcPr>
            <w:tcW w:type="dxa" w:w="1440"/>
          </w:tcPr>
          <w:p>
            <w:r>
              <w:rPr>
                <w:sz w:val="20"/>
              </w:rPr>
              <w:t>Moderate</w:t>
            </w:r>
          </w:p>
        </w:tc>
        <w:tc>
          <w:tcPr>
            <w:tcW w:type="dxa" w:w="1440"/>
          </w:tcPr>
          <w:p>
            <w:r>
              <w:rPr>
                <w:sz w:val="20"/>
              </w:rPr>
              <w:t>Moderate</w:t>
            </w:r>
          </w:p>
        </w:tc>
        <w:tc>
          <w:tcPr>
            <w:tcW w:type="dxa" w:w="1440"/>
          </w:tcPr>
          <w:p>
            <w:r>
              <w:rPr>
                <w:sz w:val="20"/>
              </w:rPr>
              <w:t>Moderate</w:t>
            </w:r>
          </w:p>
        </w:tc>
        <w:tc>
          <w:tcPr>
            <w:tcW w:type="dxa" w:w="1440"/>
          </w:tcPr>
          <w:p>
            <w:r>
              <w:rPr>
                <w:sz w:val="20"/>
              </w:rPr>
              <w:t>Weak</w:t>
            </w:r>
          </w:p>
        </w:tc>
      </w:tr>
      <w:tr>
        <w:tc>
          <w:tcPr>
            <w:tcW w:type="dxa" w:w="1440"/>
          </w:tcPr>
          <w:p>
            <w:r>
              <w:rPr>
                <w:sz w:val="20"/>
              </w:rPr>
              <w:t>Ritonavir</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Strong</w:t>
            </w:r>
          </w:p>
        </w:tc>
        <w:tc>
          <w:tcPr>
            <w:tcW w:type="dxa" w:w="1440"/>
          </w:tcPr>
          <w:p>
            <w:r>
              <w:rPr>
                <w:sz w:val="20"/>
              </w:rPr>
              <w:t>--</w:t>
            </w:r>
          </w:p>
        </w:tc>
      </w:tr>
    </w:tbl>
    <w:p>
      <w:r>
        <w:t>Fluvoxamine example: A patient taking fluvoxamine who is CYP2D6 NM and CYP2C19 NM would be phenoconverted to:</w:t>
      </w:r>
    </w:p>
    <w:p>
      <w:pPr>
        <w:pStyle w:val="ListBullet"/>
      </w:pPr>
      <w:r>
        <w:t>CYP2D6: IM (moderate inhibition)</w:t>
      </w:r>
    </w:p>
    <w:p>
      <w:pPr>
        <w:pStyle w:val="ListBullet"/>
      </w:pPr>
      <w:r>
        <w:t>CYP2C19: PM (strong inhibition)</w:t>
      </w:r>
    </w:p>
    <w:p>
      <w:pPr>
        <w:pStyle w:val="ListBullet"/>
      </w:pPr>
      <w:r>
        <w:t>CYP1A2: PM (strong inhibition)</w:t>
      </w:r>
    </w:p>
    <w:p>
      <w:pPr>
        <w:pStyle w:val="ListBullet"/>
      </w:pPr>
      <w:r>
        <w:t>CYP2C9: IM (moderate inhibition)</w:t>
      </w:r>
    </w:p>
    <w:p>
      <w:r>
        <w:t>This has implications for any co-administered drugs metabolized by any of these four enzymes.</w:t>
      </w:r>
    </w:p>
    <w:p>
      <w:pPr>
        <w:pStyle w:val="Heading3"/>
      </w:pPr>
      <w:r>
        <w:t>Time-Course of Phenoconversion</w:t>
      </w:r>
    </w:p>
    <w:p>
      <w:r>
        <w:t>Phenoconversion is not instantaneous. The time to full inhibition depends on the inhibitor's half-life and mechanism: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Inhibitor</w:t>
            </w:r>
          </w:p>
        </w:tc>
        <w:tc>
          <w:tcPr>
            <w:tcW w:type="dxa" w:w="2160"/>
          </w:tcPr>
          <w:p>
            <w:r>
              <w:rPr>
                <w:b/>
                <w:sz w:val="20"/>
              </w:rPr>
              <w:t>Half-Life</w:t>
            </w:r>
          </w:p>
        </w:tc>
        <w:tc>
          <w:tcPr>
            <w:tcW w:type="dxa" w:w="2160"/>
          </w:tcPr>
          <w:p>
            <w:r>
              <w:rPr>
                <w:b/>
                <w:sz w:val="20"/>
              </w:rPr>
              <w:t>Time to Full Inhibition</w:t>
            </w:r>
          </w:p>
        </w:tc>
        <w:tc>
          <w:tcPr>
            <w:tcW w:type="dxa" w:w="2160"/>
          </w:tcPr>
          <w:p>
            <w:r>
              <w:rPr>
                <w:b/>
                <w:sz w:val="20"/>
              </w:rPr>
              <w:t>Time to Reversal After Stopping</w:t>
            </w:r>
          </w:p>
        </w:tc>
      </w:tr>
      <w:tr>
        <w:tc>
          <w:tcPr>
            <w:tcW w:type="dxa" w:w="2160"/>
          </w:tcPr>
          <w:p>
            <w:r>
              <w:rPr>
                <w:sz w:val="20"/>
              </w:rPr>
              <w:t>Fluoxetine</w:t>
            </w:r>
          </w:p>
        </w:tc>
        <w:tc>
          <w:tcPr>
            <w:tcW w:type="dxa" w:w="2160"/>
          </w:tcPr>
          <w:p>
            <w:r>
              <w:rPr>
                <w:sz w:val="20"/>
              </w:rPr>
              <w:t>4-6 days (+ norfluoxetine 4-16 days)</w:t>
            </w:r>
          </w:p>
        </w:tc>
        <w:tc>
          <w:tcPr>
            <w:tcW w:type="dxa" w:w="2160"/>
          </w:tcPr>
          <w:p>
            <w:r>
              <w:rPr>
                <w:sz w:val="20"/>
              </w:rPr>
              <w:t>1-2 weeks</w:t>
            </w:r>
          </w:p>
        </w:tc>
        <w:tc>
          <w:tcPr>
            <w:tcW w:type="dxa" w:w="2160"/>
          </w:tcPr>
          <w:p>
            <w:r>
              <w:rPr>
                <w:sz w:val="20"/>
              </w:rPr>
              <w:t>4-6 weeks</w:t>
            </w:r>
          </w:p>
        </w:tc>
      </w:tr>
      <w:tr>
        <w:tc>
          <w:tcPr>
            <w:tcW w:type="dxa" w:w="2160"/>
          </w:tcPr>
          <w:p>
            <w:r>
              <w:rPr>
                <w:sz w:val="20"/>
              </w:rPr>
              <w:t>Paroxetine</w:t>
            </w:r>
          </w:p>
        </w:tc>
        <w:tc>
          <w:tcPr>
            <w:tcW w:type="dxa" w:w="2160"/>
          </w:tcPr>
          <w:p>
            <w:r>
              <w:rPr>
                <w:sz w:val="20"/>
              </w:rPr>
              <w:t>24 hours (mechanism-based)</w:t>
            </w:r>
          </w:p>
        </w:tc>
        <w:tc>
          <w:tcPr>
            <w:tcW w:type="dxa" w:w="2160"/>
          </w:tcPr>
          <w:p>
            <w:r>
              <w:rPr>
                <w:sz w:val="20"/>
              </w:rPr>
              <w:t>3-5 days</w:t>
            </w:r>
          </w:p>
        </w:tc>
        <w:tc>
          <w:tcPr>
            <w:tcW w:type="dxa" w:w="2160"/>
          </w:tcPr>
          <w:p>
            <w:r>
              <w:rPr>
                <w:sz w:val="20"/>
              </w:rPr>
              <w:t>1-2 weeks (new enzyme synthesis)</w:t>
            </w:r>
          </w:p>
        </w:tc>
      </w:tr>
      <w:tr>
        <w:tc>
          <w:tcPr>
            <w:tcW w:type="dxa" w:w="2160"/>
          </w:tcPr>
          <w:p>
            <w:r>
              <w:rPr>
                <w:sz w:val="20"/>
              </w:rPr>
              <w:t>Bupropion</w:t>
            </w:r>
          </w:p>
        </w:tc>
        <w:tc>
          <w:tcPr>
            <w:tcW w:type="dxa" w:w="2160"/>
          </w:tcPr>
          <w:p>
            <w:r>
              <w:rPr>
                <w:sz w:val="20"/>
              </w:rPr>
              <w:t>21 hours</w:t>
            </w:r>
          </w:p>
        </w:tc>
        <w:tc>
          <w:tcPr>
            <w:tcW w:type="dxa" w:w="2160"/>
          </w:tcPr>
          <w:p>
            <w:r>
              <w:rPr>
                <w:sz w:val="20"/>
              </w:rPr>
              <w:t>3-5 days</w:t>
            </w:r>
          </w:p>
        </w:tc>
        <w:tc>
          <w:tcPr>
            <w:tcW w:type="dxa" w:w="2160"/>
          </w:tcPr>
          <w:p>
            <w:r>
              <w:rPr>
                <w:sz w:val="20"/>
              </w:rPr>
              <w:t>3-5 days</w:t>
            </w:r>
          </w:p>
        </w:tc>
      </w:tr>
      <w:tr>
        <w:tc>
          <w:tcPr>
            <w:tcW w:type="dxa" w:w="2160"/>
          </w:tcPr>
          <w:p>
            <w:r>
              <w:rPr>
                <w:sz w:val="20"/>
              </w:rPr>
              <w:t>Quinidine</w:t>
            </w:r>
          </w:p>
        </w:tc>
        <w:tc>
          <w:tcPr>
            <w:tcW w:type="dxa" w:w="2160"/>
          </w:tcPr>
          <w:p>
            <w:r>
              <w:rPr>
                <w:sz w:val="20"/>
              </w:rPr>
              <w:t>6-8 hours</w:t>
            </w:r>
          </w:p>
        </w:tc>
        <w:tc>
          <w:tcPr>
            <w:tcW w:type="dxa" w:w="2160"/>
          </w:tcPr>
          <w:p>
            <w:r>
              <w:rPr>
                <w:sz w:val="20"/>
              </w:rPr>
              <w:t>1-2 days</w:t>
            </w:r>
          </w:p>
        </w:tc>
        <w:tc>
          <w:tcPr>
            <w:tcW w:type="dxa" w:w="2160"/>
          </w:tcPr>
          <w:p>
            <w:r>
              <w:rPr>
                <w:sz w:val="20"/>
              </w:rPr>
              <w:t>2-3 days</w:t>
            </w:r>
          </w:p>
        </w:tc>
      </w:tr>
      <w:tr>
        <w:tc>
          <w:tcPr>
            <w:tcW w:type="dxa" w:w="2160"/>
          </w:tcPr>
          <w:p>
            <w:r>
              <w:rPr>
                <w:sz w:val="20"/>
              </w:rPr>
              <w:t>Fluconazole</w:t>
            </w:r>
          </w:p>
        </w:tc>
        <w:tc>
          <w:tcPr>
            <w:tcW w:type="dxa" w:w="2160"/>
          </w:tcPr>
          <w:p>
            <w:r>
              <w:rPr>
                <w:sz w:val="20"/>
              </w:rPr>
              <w:t>30 hours</w:t>
            </w:r>
          </w:p>
        </w:tc>
        <w:tc>
          <w:tcPr>
            <w:tcW w:type="dxa" w:w="2160"/>
          </w:tcPr>
          <w:p>
            <w:r>
              <w:rPr>
                <w:sz w:val="20"/>
              </w:rPr>
              <w:t>5-7 days</w:t>
            </w:r>
          </w:p>
        </w:tc>
        <w:tc>
          <w:tcPr>
            <w:tcW w:type="dxa" w:w="2160"/>
          </w:tcPr>
          <w:p>
            <w:r>
              <w:rPr>
                <w:sz w:val="20"/>
              </w:rPr>
              <w:t>5-7 days</w:t>
            </w:r>
          </w:p>
        </w:tc>
      </w:tr>
    </w:tbl>
    <w:p>
      <w:r>
        <w:t>Fluoxetine deserves special attention because its active metabolite norfluoxetine has a half-life of 4-16 days. The CYP2D6 inhibition effect of fluoxetine persists for 4-6 weeks after discontinuation. A patient who stopped fluoxetine 2 weeks ago is still phenoconverted for CYP2D6.</w:t>
      </w:r>
    </w:p>
    <w:p>
      <w:pPr>
        <w:pStyle w:val="Heading3"/>
      </w:pPr>
      <w:r>
        <w:t>Phenoconversion in the Elderly</w:t>
      </w:r>
    </w:p>
    <w:p>
      <w:r>
        <w:t>Elderly patients (&gt;65 years) are particularly vulnerable to phenoconversion because:</w:t>
      </w:r>
    </w:p>
    <w:p>
      <w:pPr>
        <w:pStyle w:val="ListNumber"/>
      </w:pPr>
      <w:r>
        <w:t>Polypharmacy: Average 5-7 medications; more opportunities for CYP inhibition</w:t>
      </w:r>
    </w:p>
    <w:p>
      <w:pPr>
        <w:pStyle w:val="ListNumber"/>
      </w:pPr>
      <w:r>
        <w:t>Age-related CYP decline: 20-40% reduction in hepatic CYP activity</w:t>
      </w:r>
    </w:p>
    <w:p>
      <w:pPr>
        <w:pStyle w:val="ListNumber"/>
      </w:pPr>
      <w:r>
        <w:t>Cumulative effect: Age-related decline + genetic IM status + CYP inhibitor = severe PM phenotype</w:t>
      </w:r>
    </w:p>
    <w:p>
      <w:pPr>
        <w:ind w:left="720"/>
      </w:pPr>
      <w:r>
        <w:rPr>
          <w:rFonts w:ascii="Consolas" w:hAnsi="Consolas"/>
          <w:sz w:val="18"/>
        </w:rPr>
        <w:t>EXAMPLE: 78-year-old patient</w:t>
        <w:br/>
        <w:br/>
        <w:t>Genetic phenotype:  CYP2D6 IM (AS = 1.0)</w:t>
        <w:br/>
        <w:t>Age effect:         ~30% reduced CYP2D6 activity (effective AS ~0.7)</w:t>
        <w:br/>
        <w:t>Concomitant drug:   Diphenhydramine (moderate inhibitor)</w:t>
        <w:br/>
        <w:t>Effective phenotype: Functional PM</w:t>
        <w:br/>
        <w:br/>
        <w:t>This "triple hit" (genetics + aging + inhibitor) creates a PM</w:t>
        <w:br/>
        <w:t>phenotype that is worse than any single factor would predict.</w:t>
      </w:r>
    </w:p>
    <w:p>
      <w:pPr>
        <w:pStyle w:val="Heading2"/>
      </w:pPr>
      <w:r>
        <w:t>15. Advanced RAG Concepts for PGx</w:t>
      </w:r>
    </w:p>
    <w:p>
      <w:pPr>
        <w:pStyle w:val="Heading3"/>
      </w:pPr>
      <w:r>
        <w:t>Embedding Space Visualization</w:t>
      </w:r>
    </w:p>
    <w:p>
      <w:r>
        <w:t>The 384-dimensional embedding space organizes pharmacogenomic knowledge into semantic clusters. In the embedding space, related concepts are close together:</w:t>
      </w:r>
    </w:p>
    <w:p>
      <w:pPr>
        <w:ind w:left="720"/>
      </w:pPr>
      <w:r>
        <w:rPr>
          <w:rFonts w:ascii="Consolas" w:hAnsi="Consolas"/>
          <w:sz w:val="18"/>
        </w:rPr>
        <w:t>EMBEDDING SPACE CLUSTERS (conceptual 2D projection):</w:t>
        <w:br/>
        <w:br/>
        <w:t xml:space="preserve">        Drug Guidelines Cluster</w:t>
        <w:br/>
        <w:t xml:space="preserve">              *  *  *</w:t>
        <w:br/>
        <w:t xml:space="preserve">            *        *</w:t>
        <w:br/>
        <w:t xml:space="preserve">           *  CPIC    *</w:t>
        <w:br/>
        <w:t xml:space="preserve">            *  DPWG  *</w:t>
        <w:br/>
        <w:t xml:space="preserve">              *  *  *</w:t>
        <w:br/>
        <w:t xml:space="preserve">                 |</w:t>
        <w:br/>
        <w:t xml:space="preserve">    Gene Ref.    |       HLA Cluster</w:t>
        <w:br/>
        <w:t xml:space="preserve">    Cluster      |         *  *</w:t>
        <w:br/>
        <w:t xml:space="preserve">      *  *       |       *     *</w:t>
        <w:br/>
        <w:t xml:space="preserve">    *  CYP2D6 *  |      * SJS/TEN *</w:t>
        <w:br/>
        <w:t xml:space="preserve">    *  CYP2C19*--+------* HLA-B   *</w:t>
        <w:br/>
        <w:t xml:space="preserve">      *  *       |       *     *</w:t>
        <w:br/>
        <w:t xml:space="preserve">                 |         *  *</w:t>
        <w:br/>
        <w:t xml:space="preserve">    Dosing       |</w:t>
        <w:br/>
        <w:t xml:space="preserve">    Cluster      |       Population</w:t>
        <w:br/>
        <w:t xml:space="preserve">      *  *       |       Cluster</w:t>
        <w:br/>
        <w:t xml:space="preserve">    * IWPC  *    |         *  *</w:t>
        <w:br/>
        <w:t xml:space="preserve">    * DPYD  *----+       * EUR  *</w:t>
        <w:br/>
        <w:t xml:space="preserve">      *  *               * EAS  *</w:t>
        <w:br/>
        <w:t xml:space="preserve">                           *  *</w:t>
      </w:r>
    </w:p>
    <w:p>
      <w:r>
        <w:t>When a query like "CYP2D6 codeine poor metabolizer" is embedded, it lands near the intersection of the Gene Reference, Drug Guidelines, and Dosing clusters -- retrieving relevant evidence from all three domains.</w:t>
      </w:r>
    </w:p>
    <w:p>
      <w:pPr>
        <w:pStyle w:val="Heading3"/>
      </w:pPr>
      <w:r>
        <w:t>Collection Weight Optimization</w:t>
      </w:r>
    </w:p>
    <w:p>
      <w:r>
        <w:t>The 15 collection weights were tuned empirically based on clinical relevance and query testing:</w:t>
      </w:r>
    </w:p>
    <w:p>
      <w:r>
        <w:t>Optimization criteria:</w:t>
      </w:r>
    </w:p>
    <w:p>
      <w:pPr>
        <w:pStyle w:val="ListNumber"/>
      </w:pPr>
      <w:r>
        <w:t>Clinical safety: Safety-critical collections (HLA, drug guidelines) must always surface</w:t>
      </w:r>
    </w:p>
    <w:p>
      <w:pPr>
        <w:pStyle w:val="ListNumber"/>
      </w:pPr>
      <w:r>
        <w:t>Actionability: Collections that produce actionable recommendations (drug guidelines, dosing) weighted higher</w:t>
      </w:r>
    </w:p>
    <w:p>
      <w:pPr>
        <w:pStyle w:val="ListNumber"/>
      </w:pPr>
      <w:r>
        <w:t>Evidence quality: Collections with peer-reviewed evidence (clinical evidence, drug interactions) weighted higher</w:t>
      </w:r>
    </w:p>
    <w:p>
      <w:pPr>
        <w:pStyle w:val="ListNumber"/>
      </w:pPr>
      <w:r>
        <w:t>Background knowledge: Supporting collections (education, implementation) weighted lower</w:t>
      </w:r>
    </w:p>
    <w:p>
      <w:r>
        <w:t>Weight adjustment for specific workflows:</w:t>
      </w:r>
    </w:p>
    <w:p>
      <w:r>
        <w:t>The agent dynamically adjusts weights based on detected workflow type. For an HLA screening query:</w:t>
      </w:r>
    </w:p>
    <w:p>
      <w:pPr>
        <w:ind w:left="720"/>
      </w:pPr>
      <w:r>
        <w:rPr>
          <w:rFonts w:ascii="Consolas" w:hAnsi="Consolas"/>
          <w:sz w:val="18"/>
        </w:rPr>
        <w:t>Default weights:          Adjusted weights (HLA workflow):</w:t>
        <w:br/>
        <w:t>drug_guidelines: 0.14     drug_guidelines: 0.14 (unchanged)</w:t>
        <w:br/>
        <w:t>drug_interactions: 0.12   drug_interactions: 0.08 (-0.04)</w:t>
        <w:br/>
        <w:t>gene_reference: 0.10      gene_reference: 0.06 (-0.04)</w:t>
        <w:br/>
        <w:t>hla_hypersens.: 0.10      hla_hypersens.: 0.22 (+0.12)</w:t>
        <w:br/>
        <w:t>phenoconversion: 0.08     phenoconversion: 0.04 (-0.04)</w:t>
        <w:br/>
        <w:t>...                        population_data: 0.12 (+0.06)</w:t>
        <w:br/>
        <w:t xml:space="preserve">                           ...</w:t>
      </w:r>
    </w:p>
    <w:p>
      <w:r>
        <w:t>This dynamic weighting ensures that the most relevant evidence surfaces first for each query type while maintaining coverage across all 15 collections.</w:t>
      </w:r>
    </w:p>
    <w:p>
      <w:pPr>
        <w:pStyle w:val="Heading3"/>
      </w:pPr>
      <w:r>
        <w:t>Evidence Sufficiency Evaluation</w:t>
      </w:r>
    </w:p>
    <w:p>
      <w:r>
        <w:t>The PGxIntelligenceAgent evaluates whether retrieved evidence is sufficient before generating a response:</w:t>
      </w:r>
    </w:p>
    <w:p>
      <w:pPr>
        <w:ind w:left="720"/>
      </w:pPr>
      <w:r>
        <w:rPr>
          <w:rFonts w:ascii="Consolas" w:hAnsi="Consolas"/>
          <w:sz w:val="18"/>
        </w:rPr>
        <w:t>Evidence Evaluation Pipeline:</w:t>
        <w:br/>
        <w:br/>
        <w:t>Retrieved evidence (30 records max)</w:t>
        <w:br/>
        <w:t xml:space="preserve">     |</w:t>
        <w:br/>
        <w:t xml:space="preserve">     v</w:t>
        <w:br/>
        <w:t>Count records per relevance tier:</w:t>
        <w:br/>
        <w:t xml:space="preserve">  High (score &gt;= 0.75): N_high</w:t>
        <w:br/>
        <w:t xml:space="preserve">  Medium (score &gt;= 0.60): N_med</w:t>
        <w:br/>
        <w:t xml:space="preserve">  Low (score &lt; 0.60): N_low</w:t>
        <w:br/>
        <w:t xml:space="preserve">     |</w:t>
        <w:br/>
        <w:t xml:space="preserve">     v</w:t>
        <w:br/>
        <w:t>Apply sufficiency criteria:</w:t>
        <w:br/>
        <w:t xml:space="preserve">  SUFFICIENT:    N_high &gt;= 3 AND covers &gt;= 2 collections</w:t>
        <w:br/>
        <w:t xml:space="preserve">  PARTIAL:       N_high &gt;= 1 OR N_med &gt;= 3</w:t>
        <w:br/>
        <w:t xml:space="preserve">  INSUFFICIENT:  N_high = 0 AND N_med &lt; 3</w:t>
        <w:br/>
        <w:t xml:space="preserve">     |</w:t>
        <w:br/>
        <w:t xml:space="preserve">     v</w:t>
        <w:br/>
        <w:t>If INSUFFICIENT:</w:t>
        <w:br/>
        <w:t xml:space="preserve">  Generate sub-questions</w:t>
        <w:br/>
        <w:t xml:space="preserve">  Retry retrieval with expanded queries</w:t>
        <w:br/>
        <w:t xml:space="preserve">  Merge new evidence with original</w:t>
        <w:br/>
        <w:t xml:space="preserve">     |</w:t>
        <w:br/>
        <w:t xml:space="preserve">     v</w:t>
        <w:br/>
        <w:t>Final synthesis with quality indicator</w:t>
      </w:r>
    </w:p>
    <w:p>
      <w:r>
        <w:t>This evaluation prevents the system from generating responses based on thin or tangentially relevant evidence, ensuring that clinical recommendations are always well-grounded.</w:t>
      </w:r>
    </w:p>
    <w:p>
      <w:pPr>
        <w:pStyle w:val="Heading2"/>
      </w:pPr>
      <w:r>
        <w:t>16. Clinical Case Studies for Advanced Learners</w:t>
      </w:r>
    </w:p>
    <w:p>
      <w:pPr>
        <w:pStyle w:val="Heading3"/>
      </w:pPr>
      <w:r>
        <w:t>Case 1: Complex Polypharmacy in Elderly Depression</w:t>
      </w:r>
    </w:p>
    <w:p>
      <w:r>
        <w:t>Patient: 72-year-old female with major depressive disorder, atrial fibrillation, chronic pain, and GERD.</w:t>
      </w:r>
    </w:p>
    <w:p>
      <w:r>
        <w:t>Current medications: Warfarin, codeine PRN, omeprazole, simvastatin</w:t>
      </w:r>
    </w:p>
    <w:p>
      <w:r>
        <w:t>PGx results:</w:t>
      </w:r>
    </w:p>
    <w:p>
      <w:pPr>
        <w:pStyle w:val="ListBullet"/>
      </w:pPr>
      <w:r>
        <w:t>CYP2D6: 1/4 (IM, AS = 1.0)</w:t>
      </w:r>
    </w:p>
    <w:p>
      <w:pPr>
        <w:pStyle w:val="ListBullet"/>
      </w:pPr>
      <w:r>
        <w:t>CYP2C19: 1/2 (IM)</w:t>
      </w:r>
    </w:p>
    <w:p>
      <w:pPr>
        <w:pStyle w:val="ListBullet"/>
      </w:pPr>
      <w:r>
        <w:t>CYP2C9: 1/3 (IM)</w:t>
      </w:r>
    </w:p>
    <w:p>
      <w:pPr>
        <w:pStyle w:val="ListBullet"/>
      </w:pPr>
      <w:r>
        <w:t>VKORC1: A/G</w:t>
      </w:r>
    </w:p>
    <w:p>
      <w:pPr>
        <w:pStyle w:val="ListBullet"/>
      </w:pPr>
      <w:r>
        <w:t>SLCO1B1: 1/5 (decreased function)</w:t>
      </w:r>
    </w:p>
    <w:p>
      <w:r>
        <w:t>Clinician wants to start: Paroxetine for depression</w:t>
      </w:r>
    </w:p>
    <w:p>
      <w:r>
        <w:t>Multi-gene analysis:</w:t>
      </w:r>
    </w:p>
    <w:p>
      <w:pPr>
        <w:pStyle w:val="ListNumber"/>
      </w:pPr>
      <w:r>
        <w:t>Paroxetine + CYP2D6 IM: Paroxetine is a CYP2D6 substrate AND a strong CYP2D6 inhibitor. In a CYP2D6 IM patient, paroxetine levels will be higher than expected, and the inhibitory effect will convert the patient to an effective PM.</w:t>
      </w:r>
    </w:p>
    <w:p>
      <w:pPr>
        <w:pStyle w:val="ListNumber"/>
      </w:pPr>
      <w:r>
        <w:t>Phenoconversion cascade: Paroxetine (strong CYP2D6 inhibitor) will convert CYP2D6 IM --&gt; PM. This affects:</w:t>
      </w:r>
    </w:p>
    <w:p>
      <w:pPr>
        <w:pStyle w:val="ListBullet"/>
      </w:pPr>
      <w:r>
        <w:t>Codeine: Already reduced activation due to IM status. With PM conversion, codeine becomes completely ineffective.</w:t>
      </w:r>
    </w:p>
    <w:p>
      <w:pPr>
        <w:pStyle w:val="ListBullet"/>
      </w:pPr>
      <w:r>
        <w:t>No direct CYP2C19 or CYP2C9 effect from paroxetine.</w:t>
      </w:r>
    </w:p>
    <w:p>
      <w:pPr>
        <w:pStyle w:val="ListNumber"/>
      </w:pPr>
      <w:r>
        <w:t>Warfarin + CYP2C9 IM + VKORC1 A/G: Patient already requires ~30% lower warfarin dose. Paroxetine does not directly affect CYP2C9, but any medication change in a warfarin patient warrants INR monitoring.</w:t>
      </w:r>
    </w:p>
    <w:p>
      <w:pPr>
        <w:pStyle w:val="ListNumber"/>
      </w:pPr>
      <w:r>
        <w:t>Simvastatin + SLCO1B1 decreased function: Statin myopathy risk elevated. Not directly affected by paroxetine but should be addressed.</w:t>
      </w:r>
    </w:p>
    <w:p>
      <w:r>
        <w:t>PGx-guided recommendation:</w:t>
      </w:r>
    </w:p>
    <w:p>
      <w:pPr>
        <w:pStyle w:val="ListBullet"/>
      </w:pPr>
      <w:r>
        <w:t>Avoid paroxetine (strong CYP2D6 inhibitor in an IM patient; codeine interaction)</w:t>
      </w:r>
    </w:p>
    <w:p>
      <w:pPr>
        <w:pStyle w:val="ListBullet"/>
      </w:pPr>
      <w:r>
        <w:t>Consider escitalopram (CYP2C19 substrate; patient is CYP2C19 IM so moderate dose adjustment needed; does not inhibit CYP2D6)</w:t>
      </w:r>
    </w:p>
    <w:p>
      <w:pPr>
        <w:pStyle w:val="ListBullet"/>
      </w:pPr>
      <w:r>
        <w:t>Switch codeine to non-CYP2D6 analgesic (e.g., acetaminophen, gabapentin for chronic pain)</w:t>
      </w:r>
    </w:p>
    <w:p>
      <w:pPr>
        <w:pStyle w:val="ListBullet"/>
      </w:pPr>
      <w:r>
        <w:t>Reduce simvastatin dose or switch to pravastatin (lower SLCO1B1 sensitivity)</w:t>
      </w:r>
    </w:p>
    <w:p>
      <w:pPr>
        <w:pStyle w:val="ListBullet"/>
      </w:pPr>
      <w:r>
        <w:t>Maintain current warfarin with close INR monitoring</w:t>
      </w:r>
    </w:p>
    <w:p>
      <w:r>
        <w:t>This case demonstrates the complexity of multi-gene interactions in polypharmacy patients and the value of the agent's integrated analysis.</w:t>
      </w:r>
    </w:p>
    <w:p>
      <w:pPr>
        <w:pStyle w:val="Heading3"/>
      </w:pPr>
      <w:r>
        <w:t>Case 2: Oncology Pre-Treatment Screening</w:t>
      </w:r>
    </w:p>
    <w:p>
      <w:r>
        <w:t>Patient: 55-year-old male, newly diagnosed stage III colorectal cancer. Planned regimen: FOLFOX (5-FU + oxaliplatin + leucovorin) followed by irinotecan-based second-line if needed.</w:t>
      </w:r>
    </w:p>
    <w:p>
      <w:r>
        <w:t>PGx results:</w:t>
      </w:r>
    </w:p>
    <w:p>
      <w:pPr>
        <w:pStyle w:val="ListBullet"/>
      </w:pPr>
      <w:r>
        <w:t>DPYD: *1/c.2846A&gt;T (intermediate, GAS = 1.5)</w:t>
      </w:r>
    </w:p>
    <w:p>
      <w:pPr>
        <w:pStyle w:val="ListBullet"/>
      </w:pPr>
      <w:r>
        <w:t>UGT1A1: 1/28 (intermediate function)</w:t>
      </w:r>
    </w:p>
    <w:p>
      <w:pPr>
        <w:pStyle w:val="ListBullet"/>
      </w:pPr>
      <w:r>
        <w:t>CYP2D6: 1/1 (NM)</w:t>
      </w:r>
    </w:p>
    <w:p>
      <w:pPr>
        <w:pStyle w:val="ListBullet"/>
      </w:pPr>
      <w:r>
        <w:t>NUDT15: 1/1 (normal)</w:t>
      </w:r>
    </w:p>
    <w:p>
      <w:r>
        <w:t>Multi-gene oncology analysis:</w:t>
      </w:r>
    </w:p>
    <w:p>
      <w:pPr>
        <w:pStyle w:val="ListNumber"/>
      </w:pPr>
      <w:r>
        <w:t>DPYD + 5-FU: GAS 1.5 = mild intermediate. CPIC recommends 25-50% dose reduction for initial 5-FU course. Can titrate up if tolerated, guided by 5-FU TDM.</w:t>
      </w:r>
    </w:p>
    <w:p>
      <w:pPr>
        <w:pStyle w:val="ListNumber"/>
      </w:pPr>
      <w:r>
        <w:t>UGT1A1 + irinotecan (future): 1/28 heterozygote. Moderate risk of irinotecan-related neutropenia. When/if irinotecan is initiated, start at standard dose but monitor closely. If 28/28 (homozygous), would reduce dose by 25-30%.</w:t>
      </w:r>
    </w:p>
    <w:p>
      <w:pPr>
        <w:pStyle w:val="ListNumber"/>
      </w:pPr>
      <w:r>
        <w:t>No impact on oxaliplatin: Oxaliplatin is not significantly affected by CYP or UGT pharmacogenomics.</w:t>
      </w:r>
    </w:p>
    <w:p>
      <w:r>
        <w:t>PGx-guided recommendation:</w:t>
      </w:r>
    </w:p>
    <w:p>
      <w:pPr>
        <w:pStyle w:val="ListBullet"/>
      </w:pPr>
      <w:r>
        <w:t>Start FOLFOX with 5-FU dose reduced by 25-50% based on DPYD intermediate status</w:t>
      </w:r>
    </w:p>
    <w:p>
      <w:pPr>
        <w:pStyle w:val="ListBullet"/>
      </w:pPr>
      <w:r>
        <w:t>Obtain 5-FU plasma levels during cycle 1 to guide dose adjustment</w:t>
      </w:r>
    </w:p>
    <w:p>
      <w:pPr>
        <w:pStyle w:val="ListBullet"/>
      </w:pPr>
      <w:r>
        <w:t>Document UGT1A1 status for future irinotecan dosing</w:t>
      </w:r>
    </w:p>
    <w:p>
      <w:pPr>
        <w:pStyle w:val="ListBullet"/>
      </w:pPr>
      <w:r>
        <w:t>No CYP2D6-related issues with current regimen</w:t>
      </w:r>
    </w:p>
    <w:p>
      <w:pPr>
        <w:pStyle w:val="Heading3"/>
      </w:pPr>
      <w:r>
        <w:t>Case 3: Cardiac Stent with CYP2C19 PM in East Asian Patient</w:t>
      </w:r>
    </w:p>
    <w:p>
      <w:r>
        <w:t>Patient: 48-year-old Korean male, acute coronary syndrome, drug-eluting stent placed. Planned dual antiplatelet therapy with aspirin + clopidogrel.</w:t>
      </w:r>
    </w:p>
    <w:p>
      <w:r>
        <w:t>PGx results:</w:t>
      </w:r>
    </w:p>
    <w:p>
      <w:pPr>
        <w:pStyle w:val="ListBullet"/>
      </w:pPr>
      <w:r>
        <w:t>CYP2C19: 2/3 (PM, AS = 0.0)</w:t>
      </w:r>
    </w:p>
    <w:p>
      <w:pPr>
        <w:pStyle w:val="ListBullet"/>
      </w:pPr>
      <w:r>
        <w:t>CYP2D6: 1/10 (NM, AS = 1.25)</w:t>
      </w:r>
    </w:p>
    <w:p>
      <w:r>
        <w:t>Analysis:</w:t>
      </w:r>
    </w:p>
    <w:p>
      <w:r>
        <w:t>CYP2C19 2/3 = poor metabolizer. Combined frequency of 2+3 in Korean population is approximately 30-40%, making CYP2C19 PM much more common than in European populations (2-5%).</w:t>
      </w:r>
    </w:p>
    <w:p>
      <w:r>
        <w:t>Clopidogrel is a CYP2C19-dependent prodrug. PM patients have:</w:t>
      </w:r>
    </w:p>
    <w:p>
      <w:pPr>
        <w:pStyle w:val="ListBullet"/>
      </w:pPr>
      <w:r>
        <w:t>3.4-fold increased risk of stent thrombosis (Mega et al., NEJM 2009)</w:t>
      </w:r>
    </w:p>
    <w:p>
      <w:pPr>
        <w:pStyle w:val="ListBullet"/>
      </w:pPr>
      <w:r>
        <w:t>Significantly reduced platelet inhibition</w:t>
      </w:r>
    </w:p>
    <w:p>
      <w:pPr>
        <w:pStyle w:val="ListBullet"/>
      </w:pPr>
      <w:r>
        <w:t>FDA Boxed Warning applies</w:t>
      </w:r>
    </w:p>
    <w:p>
      <w:r>
        <w:t>PGx-guided recommendation:</w:t>
      </w:r>
    </w:p>
    <w:p>
      <w:pPr>
        <w:pStyle w:val="ListBullet"/>
      </w:pPr>
      <w:r>
        <w:t>Do NOT use clopidogrel. Use prasugrel 10 mg daily (if no history of stroke/TIA, age &lt; 75, weight &gt; 60 kg) or ticagrelor 90 mg twice daily.</w:t>
      </w:r>
    </w:p>
    <w:p>
      <w:pPr>
        <w:pStyle w:val="ListBullet"/>
      </w:pPr>
      <w:r>
        <w:t>Both alternatives do not require CYP2C19 activation.</w:t>
      </w:r>
    </w:p>
    <w:p>
      <w:pPr>
        <w:pStyle w:val="ListBullet"/>
      </w:pPr>
      <w:r>
        <w:t>Document CYP2C19 PM status permanently in allergy/PGx section of EHR.</w:t>
      </w:r>
    </w:p>
    <w:p>
      <w:pPr>
        <w:pStyle w:val="ListBullet"/>
      </w:pPr>
      <w:r>
        <w:t>Educate patient about lifelong CYP2C19 PM status (will affect future PPI dosing, SSRI selection).</w:t>
      </w:r>
    </w:p>
    <w:p>
      <w:r>
        <w:t>This case highlights the population-specific importance of CYP2C19 testing in East Asian patients, where PM prevalence is 6-10x higher than in European populations.</w:t>
      </w:r>
    </w:p>
    <w:p>
      <w:pPr>
        <w:pStyle w:val="Heading3"/>
      </w:pPr>
      <w:r>
        <w:t>Case 4: Elderly Patient with Polypharmacy and Multi-Enzyme Phenoconversion</w:t>
      </w:r>
    </w:p>
    <w:p>
      <w:r>
        <w:t>Patient: 78-year-old Caucasian female with atrial fibrillation (warfarin), depression (paroxetine 20 mg), hypertension (amlodipine), GERD (omeprazole 20 mg), chronic pain (tramadol PRN), and insomnia (trazodone 50 mg at bedtime).</w:t>
      </w:r>
    </w:p>
    <w:p>
      <w:r>
        <w:t>PGx results:</w:t>
      </w:r>
    </w:p>
    <w:p>
      <w:pPr>
        <w:pStyle w:val="ListBullet"/>
      </w:pPr>
      <w:r>
        <w:t>CYP2D6: 1/1 (NM, AS = 2.0)</w:t>
      </w:r>
    </w:p>
    <w:p>
      <w:pPr>
        <w:pStyle w:val="ListBullet"/>
      </w:pPr>
      <w:r>
        <w:t>CYP2C19: 1/2 (IM, AS = 1.0)</w:t>
      </w:r>
    </w:p>
    <w:p>
      <w:pPr>
        <w:pStyle w:val="ListBullet"/>
      </w:pPr>
      <w:r>
        <w:t>CYP2C9: 1/2 (IM, AS = 1.5)</w:t>
      </w:r>
    </w:p>
    <w:p>
      <w:pPr>
        <w:pStyle w:val="ListBullet"/>
      </w:pPr>
      <w:r>
        <w:t>VKORC1: -1639 A/G</w:t>
      </w:r>
    </w:p>
    <w:p>
      <w:r>
        <w:t>Multi-layer analysis:</w:t>
      </w:r>
    </w:p>
    <w:p>
      <w:pPr>
        <w:pStyle w:val="ListNumber"/>
      </w:pPr>
      <w:r>
        <w:t>CYP2D6 phenoconversion: Genotype = NM. However, paroxetine is a potent irreversible CYP2D6 inhibitor (Ki = 0.15 μM). The patient's adjusted (phenoconverted) CYP2D6 phenotype = PM. This has cascading effects:</w:t>
      </w:r>
    </w:p>
    <w:p>
      <w:pPr>
        <w:pStyle w:val="ListBullet"/>
      </w:pPr>
      <w:r>
        <w:t>Tramadol: CYP2D6 prodrug. PM status means essentially no conversion to the active metabolite O-desmethyltramadol. Tramadol will be ineffective for pain relief. The genotype report says "Normal Metabolizer" but the clinical reality is poor metabolizer due to paroxetine.</w:t>
      </w:r>
    </w:p>
    <w:p>
      <w:pPr>
        <w:pStyle w:val="ListBullet"/>
      </w:pPr>
      <w:r>
        <w:t>Trazodone: Partially metabolized by CYP2D6. Elevated trazodone levels may increase sedation and orthostatic hypotension risk in an elderly patient -- fall risk.</w:t>
      </w:r>
    </w:p>
    <w:p>
      <w:pPr>
        <w:pStyle w:val="ListNumber"/>
      </w:pPr>
      <w:r>
        <w:t>CYP2C19 intermediate metabolizer (genetic): Omeprazole is a CYP2C19 substrate. IM status means higher omeprazole levels (better acid suppression, but increased risk of long-term adverse effects: Clostridium difficile infection, bone fractures, hypomagnesemia). Consider lower omeprazole dose (10 mg) or switch to pantoprazole (less CYP2C19-dependent).</w:t>
      </w:r>
    </w:p>
    <w:p>
      <w:pPr>
        <w:pStyle w:val="ListNumber"/>
      </w:pPr>
      <w:r>
        <w:t>Warfarin dosing complexity: CYP2C9 1/2 (IM) + VKORC1 A/G + age 78 + female + 65 kg. IWPC algorithm predicts ~22 mg/week (vs ~35 mg/week population average). Additionally, omeprazole may have a minor interaction with warfarin metabolism. The patient should be on a substantially reduced warfarin dose.</w:t>
      </w:r>
    </w:p>
    <w:p>
      <w:r>
        <w:t>PGx-guided recommendations:</w:t>
      </w:r>
    </w:p>
    <w:p>
      <w:pPr>
        <w:pStyle w:val="ListBullet"/>
      </w:pPr>
      <w:r>
        <w:t>Discontinue paroxetine OR discontinue tramadol. If paroxetine is essential, replace tramadol with a non-CYP2D6-dependent analgesic (acetaminophen, celecoxib if no contraindications)</w:t>
      </w:r>
    </w:p>
    <w:p>
      <w:pPr>
        <w:pStyle w:val="ListBullet"/>
      </w:pPr>
      <w:r>
        <w:t>If paroxetine is discontinued to restore CYP2D6 function: allow 2-3 weeks for enzyme recovery (irreversible inhibitor -- new enzyme must be synthesized), replace with escitalopram (primarily CYP2C19, but patient is IM -- use standard dose with monitoring) or bupropion (primarily CYP2B6, avoids CYP2D6 interaction entirely)</w:t>
      </w:r>
    </w:p>
    <w:p>
      <w:pPr>
        <w:pStyle w:val="ListBullet"/>
      </w:pPr>
      <w:r>
        <w:t>Reduce omeprazole to 10 mg or switch to pantoprazole 20 mg</w:t>
      </w:r>
    </w:p>
    <w:p>
      <w:pPr>
        <w:pStyle w:val="ListBullet"/>
      </w:pPr>
      <w:r>
        <w:t>Warfarin dose: ~22 mg/week per IWPC; monitor INR closely</w:t>
      </w:r>
    </w:p>
    <w:p>
      <w:pPr>
        <w:pStyle w:val="ListBullet"/>
      </w:pPr>
      <w:r>
        <w:t>Reduce trazodone to 25 mg if paroxetine continues (CYP2D6 inhibition elevates trazodone levels)</w:t>
      </w:r>
    </w:p>
    <w:p>
      <w:pPr>
        <w:pStyle w:val="ListBullet"/>
      </w:pPr>
      <w:r>
        <w:t>Document all phenoconversion interactions in EHR</w:t>
      </w:r>
    </w:p>
    <w:p>
      <w:r>
        <w:t>This case illustrates why medication reconciliation + PGx genotyping + phenoconversion analysis must work together. A genotype report alone would miss the critical paroxetine-tramadol interaction.</w:t>
      </w:r>
    </w:p>
    <w:p>
      <w:pPr>
        <w:pStyle w:val="Heading3"/>
      </w:pPr>
      <w:r>
        <w:t>Case 5: Psychiatric Treatment Resistance with CYP2D6 Ultra-Rapid Metabolism</w:t>
      </w:r>
    </w:p>
    <w:p>
      <w:r>
        <w:t>Patient: 24-year-old male, diagnosed with major depressive disorder at age 18. Treatment history: sertraline (inadequate response at max dose), fluoxetine (switched due to side effects -- this was CYP2D6 inhibition, not recognized), venlafaxine (partial response), aripiprazole augmentation (no additional benefit). Referred to PGx-informed psychiatrist after 6 years of treatment resistance.</w:t>
      </w:r>
    </w:p>
    <w:p>
      <w:r>
        <w:t>PGx results:</w:t>
      </w:r>
    </w:p>
    <w:p>
      <w:pPr>
        <w:pStyle w:val="ListBullet"/>
      </w:pPr>
      <w:r>
        <w:t>CYP2D6: 1/1xN (UM, AS = 3.0, gene duplication)</w:t>
      </w:r>
    </w:p>
    <w:p>
      <w:pPr>
        <w:pStyle w:val="ListBullet"/>
      </w:pPr>
      <w:r>
        <w:t>CYP2C19: 1/17 (RM, AS = 2.5)</w:t>
      </w:r>
    </w:p>
    <w:p>
      <w:r>
        <w:t>Analysis:</w:t>
      </w:r>
    </w:p>
    <w:p>
      <w:r>
        <w:t>The patient's treatment history is entirely explained by pharmacogenomics: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Primary Metabolism</w:t>
            </w:r>
          </w:p>
        </w:tc>
        <w:tc>
          <w:tcPr>
            <w:tcW w:type="dxa" w:w="2160"/>
          </w:tcPr>
          <w:p>
            <w:r>
              <w:rPr>
                <w:b/>
                <w:sz w:val="20"/>
              </w:rPr>
              <w:t>PGx Effect</w:t>
            </w:r>
          </w:p>
        </w:tc>
        <w:tc>
          <w:tcPr>
            <w:tcW w:type="dxa" w:w="2160"/>
          </w:tcPr>
          <w:p>
            <w:r>
              <w:rPr>
                <w:b/>
                <w:sz w:val="20"/>
              </w:rPr>
              <w:t>Clinical Outcome</w:t>
            </w:r>
          </w:p>
        </w:tc>
      </w:tr>
      <w:tr>
        <w:tc>
          <w:tcPr>
            <w:tcW w:type="dxa" w:w="2160"/>
          </w:tcPr>
          <w:p>
            <w:r>
              <w:rPr>
                <w:sz w:val="20"/>
              </w:rPr>
              <w:t>Sertraline</w:t>
            </w:r>
          </w:p>
        </w:tc>
        <w:tc>
          <w:tcPr>
            <w:tcW w:type="dxa" w:w="2160"/>
          </w:tcPr>
          <w:p>
            <w:r>
              <w:rPr>
                <w:sz w:val="20"/>
              </w:rPr>
              <w:t>CYP2D6 (major), CYP2C19 (minor)</w:t>
            </w:r>
          </w:p>
        </w:tc>
        <w:tc>
          <w:tcPr>
            <w:tcW w:type="dxa" w:w="2160"/>
          </w:tcPr>
          <w:p>
            <w:r>
              <w:rPr>
                <w:sz w:val="20"/>
              </w:rPr>
              <w:t>UM: sub-therapeutic levels</w:t>
            </w:r>
          </w:p>
        </w:tc>
        <w:tc>
          <w:tcPr>
            <w:tcW w:type="dxa" w:w="2160"/>
          </w:tcPr>
          <w:p>
            <w:r>
              <w:rPr>
                <w:sz w:val="20"/>
              </w:rPr>
              <w:t>"Inadequate response" at max dose</w:t>
            </w:r>
          </w:p>
        </w:tc>
      </w:tr>
      <w:tr>
        <w:tc>
          <w:tcPr>
            <w:tcW w:type="dxa" w:w="2160"/>
          </w:tcPr>
          <w:p>
            <w:r>
              <w:rPr>
                <w:sz w:val="20"/>
              </w:rPr>
              <w:t>Fluoxetine</w:t>
            </w:r>
          </w:p>
        </w:tc>
        <w:tc>
          <w:tcPr>
            <w:tcW w:type="dxa" w:w="2160"/>
          </w:tcPr>
          <w:p>
            <w:r>
              <w:rPr>
                <w:sz w:val="20"/>
              </w:rPr>
              <w:t>CYP2D6</w:t>
            </w:r>
          </w:p>
        </w:tc>
        <w:tc>
          <w:tcPr>
            <w:tcW w:type="dxa" w:w="2160"/>
          </w:tcPr>
          <w:p>
            <w:r>
              <w:rPr>
                <w:sz w:val="20"/>
              </w:rPr>
              <w:t>UM cleared fluoxetine rapidly, but fluoxetine inhibited CYP2D6 -- conflicting effects. Side effects from norfluoxetine accumulation</w:t>
            </w:r>
          </w:p>
        </w:tc>
        <w:tc>
          <w:tcPr>
            <w:tcW w:type="dxa" w:w="2160"/>
          </w:tcPr>
          <w:p>
            <w:r>
              <w:rPr>
                <w:sz w:val="20"/>
              </w:rPr>
              <w:t>Switched for "side effects"</w:t>
            </w:r>
          </w:p>
        </w:tc>
      </w:tr>
      <w:tr>
        <w:tc>
          <w:tcPr>
            <w:tcW w:type="dxa" w:w="2160"/>
          </w:tcPr>
          <w:p>
            <w:r>
              <w:rPr>
                <w:sz w:val="20"/>
              </w:rPr>
              <w:t>Venlafaxine</w:t>
            </w:r>
          </w:p>
        </w:tc>
        <w:tc>
          <w:tcPr>
            <w:tcW w:type="dxa" w:w="2160"/>
          </w:tcPr>
          <w:p>
            <w:r>
              <w:rPr>
                <w:sz w:val="20"/>
              </w:rPr>
              <w:t>CYP2D6 (O-desmethylation)</w:t>
            </w:r>
          </w:p>
        </w:tc>
        <w:tc>
          <w:tcPr>
            <w:tcW w:type="dxa" w:w="2160"/>
          </w:tcPr>
          <w:p>
            <w:r>
              <w:rPr>
                <w:sz w:val="20"/>
              </w:rPr>
              <w:t>UM: rapid conversion to desvenlafaxine; noradrenergic effect may persist but serotonergic exposure reduced</w:t>
            </w:r>
          </w:p>
        </w:tc>
        <w:tc>
          <w:tcPr>
            <w:tcW w:type="dxa" w:w="2160"/>
          </w:tcPr>
          <w:p>
            <w:r>
              <w:rPr>
                <w:sz w:val="20"/>
              </w:rPr>
              <w:t>"Partial response"</w:t>
            </w:r>
          </w:p>
        </w:tc>
      </w:tr>
      <w:tr>
        <w:tc>
          <w:tcPr>
            <w:tcW w:type="dxa" w:w="2160"/>
          </w:tcPr>
          <w:p>
            <w:r>
              <w:rPr>
                <w:sz w:val="20"/>
              </w:rPr>
              <w:t>Aripiprazole</w:t>
            </w:r>
          </w:p>
        </w:tc>
        <w:tc>
          <w:tcPr>
            <w:tcW w:type="dxa" w:w="2160"/>
          </w:tcPr>
          <w:p>
            <w:r>
              <w:rPr>
                <w:sz w:val="20"/>
              </w:rPr>
              <w:t>CYP2D6 (major), CYP3A4</w:t>
            </w:r>
          </w:p>
        </w:tc>
        <w:tc>
          <w:tcPr>
            <w:tcW w:type="dxa" w:w="2160"/>
          </w:tcPr>
          <w:p>
            <w:r>
              <w:rPr>
                <w:sz w:val="20"/>
              </w:rPr>
              <w:t>UM: sub-therapeutic aripiprazole levels</w:t>
            </w:r>
          </w:p>
        </w:tc>
        <w:tc>
          <w:tcPr>
            <w:tcW w:type="dxa" w:w="2160"/>
          </w:tcPr>
          <w:p>
            <w:r>
              <w:rPr>
                <w:sz w:val="20"/>
              </w:rPr>
              <w:t>"No additional benefit"</w:t>
            </w:r>
          </w:p>
        </w:tc>
      </w:tr>
    </w:tbl>
    <w:p>
      <w:r>
        <w:t>Additionally, CYP2C19 *17 confers rapid metabolism of any CYP2C19 substrates (escitalopram, citalopram, sertraline partially).</w:t>
      </w:r>
    </w:p>
    <w:p>
      <w:r>
        <w:t>PGx-guided recommendations:</w:t>
      </w:r>
    </w:p>
    <w:p>
      <w:pPr>
        <w:pStyle w:val="ListBullet"/>
      </w:pPr>
      <w:r>
        <w:t>Use antidepressant NOT dependent on CYP2D6 or CYP2C19:</w:t>
      </w:r>
    </w:p>
    <w:p>
      <w:pPr>
        <w:pStyle w:val="ListBullet"/>
      </w:pPr>
      <w:r>
        <w:t>Bupropion XL 300 mg (primarily CYP2B6 -- not affected by CYP2D6 UM status)</w:t>
      </w:r>
    </w:p>
    <w:p>
      <w:pPr>
        <w:pStyle w:val="ListBullet"/>
      </w:pPr>
      <w:r>
        <w:t>Mirtazapine 30 mg (primarily CYP3A4 and CYP1A2, minimal CYP2D6 involvement)</w:t>
      </w:r>
    </w:p>
    <w:p>
      <w:pPr>
        <w:pStyle w:val="ListBullet"/>
      </w:pPr>
      <w:r>
        <w:t>If augmentation needed, use lithium or lamotrigine (not CYP2D6-dependent)</w:t>
      </w:r>
    </w:p>
    <w:p>
      <w:pPr>
        <w:pStyle w:val="ListBullet"/>
      </w:pPr>
      <w:r>
        <w:t>If an SSRI/SNRI is preferred, use therapeutic drug monitoring (TDM) to guide dose escalation</w:t>
      </w:r>
    </w:p>
    <w:p>
      <w:pPr>
        <w:pStyle w:val="ListBullet"/>
      </w:pPr>
      <w:r>
        <w:t>Document CYP2D6 UM status prominently -- this is a lifelong finding that affects opioid prescribing (codeine contraindicated), antipsychotic dosing, and many other drug classes</w:t>
      </w:r>
    </w:p>
    <w:p>
      <w:r>
        <w:t>Impact: This patient spent 6 years trialing medications that were pharmacogenomically predicted to fail. Pre-emptive PGx testing at age 18 would have directed therapy to CYP2D6-independent agents from the outset.</w:t>
      </w:r>
    </w:p>
    <w:p>
      <w:pPr>
        <w:pStyle w:val="Heading3"/>
      </w:pPr>
      <w:r>
        <w:t>Case 6: Simultaneous DPYD and UGT1A1 Testing for Multi-Agent Chemotherapy</w:t>
      </w:r>
    </w:p>
    <w:p>
      <w:r>
        <w:t>Patient: 61-year-old female, metastatic colorectal cancer. Planned regimen: FOLFIRI (5-fluorouracil + leucovorin + irinotecan).</w:t>
      </w:r>
    </w:p>
    <w:p>
      <w:r>
        <w:t>PGx results:</w:t>
      </w:r>
    </w:p>
    <w:p>
      <w:pPr>
        <w:pStyle w:val="ListBullet"/>
      </w:pPr>
      <w:r>
        <w:t>DPYD: 1/5 (reduced function, GAS = 1.5)</w:t>
      </w:r>
    </w:p>
    <w:p>
      <w:pPr>
        <w:pStyle w:val="ListBullet"/>
      </w:pPr>
      <w:r>
        <w:t>UGT1A1: 28/28 (poor metabolizer)</w:t>
      </w:r>
    </w:p>
    <w:p>
      <w:r>
        <w:t>Analysis:</w:t>
      </w:r>
    </w:p>
    <w:p>
      <w:r>
        <w:t>This patient has pharmacogenomic risk factors for BOTH agents in the FOLFIRI regimen:</w:t>
      </w:r>
    </w:p>
    <w:p>
      <w:pPr>
        <w:pStyle w:val="ListNumber"/>
      </w:pPr>
      <w:r>
        <w:t>DPYD 1/5 (GAS 1.5) -- 5-FU risk:</w:t>
      </w:r>
    </w:p>
    <w:p>
      <w:pPr>
        <w:pStyle w:val="ListBullet"/>
      </w:pPr>
      <w:r>
        <w:t>Intermediate metabolizer with mildly reduced DPD activity</w:t>
      </w:r>
    </w:p>
    <w:p>
      <w:pPr>
        <w:pStyle w:val="ListBullet"/>
      </w:pPr>
      <w:r>
        <w:t>CPIC recommends 25-50% dose reduction for 5-FU</w:t>
      </w:r>
    </w:p>
    <w:p>
      <w:pPr>
        <w:pStyle w:val="ListBullet"/>
      </w:pPr>
      <w:r>
        <w:t>Risk of severe mucositis, neutropenia, and diarrhea without dose reduction</w:t>
      </w:r>
    </w:p>
    <w:p>
      <w:pPr>
        <w:pStyle w:val="ListNumber"/>
      </w:pPr>
      <w:r>
        <w:t>UGT1A1 28/28 -- Irinotecan risk:</w:t>
      </w:r>
    </w:p>
    <w:p>
      <w:pPr>
        <w:pStyle w:val="ListBullet"/>
      </w:pPr>
      <w:r>
        <w:t>UGT1A1 metabolizes the active metabolite of irinotecan (SN-38) via glucuronidation</w:t>
      </w:r>
    </w:p>
    <w:p>
      <w:pPr>
        <w:pStyle w:val="ListBullet"/>
      </w:pPr>
      <w:r>
        <w:t>28/28 homozygotes have reduced UGT1A1 expression (~30% of normal)</w:t>
      </w:r>
    </w:p>
    <w:p>
      <w:pPr>
        <w:pStyle w:val="ListBullet"/>
      </w:pPr>
      <w:r>
        <w:t>SN-38 accumulates, causing severe neutropenia (30-50% incidence in 28/28 vs 12% in 1/1)</w:t>
      </w:r>
    </w:p>
    <w:p>
      <w:pPr>
        <w:pStyle w:val="ListBullet"/>
      </w:pPr>
      <w:r>
        <w:t>FDA label recommends reduced irinotecan dose in 28/28 patients</w:t>
      </w:r>
    </w:p>
    <w:p>
      <w:r>
        <w:t>PGx-guided recommendations:</w:t>
      </w:r>
    </w:p>
    <w:p>
      <w:pPr>
        <w:pStyle w:val="ListBullet"/>
      </w:pPr>
      <w:r>
        <w:t>Reduce 5-FU dose by 25-50% based on DPYD intermediate status</w:t>
      </w:r>
    </w:p>
    <w:p>
      <w:pPr>
        <w:pStyle w:val="ListBullet"/>
      </w:pPr>
      <w:r>
        <w:t>Reduce irinotecan dose by 25-30% based on UGT1A1 28/28 status</w:t>
      </w:r>
    </w:p>
    <w:p>
      <w:pPr>
        <w:pStyle w:val="ListBullet"/>
      </w:pPr>
      <w:r>
        <w:t>Initiate 5-FU TDM (target AUC 20-30 mg*h/L) to guide dose titration</w:t>
      </w:r>
    </w:p>
    <w:p>
      <w:pPr>
        <w:pStyle w:val="ListBullet"/>
      </w:pPr>
      <w:r>
        <w:t>Monitor absolute neutrophil count (ANC) weekly during first cycle</w:t>
      </w:r>
    </w:p>
    <w:p>
      <w:pPr>
        <w:pStyle w:val="ListBullet"/>
      </w:pPr>
      <w:r>
        <w:t>Consider granulocyte colony-stimulating factor (G-CSF) prophylaxis given dual PGx risk factors</w:t>
      </w:r>
    </w:p>
    <w:p>
      <w:pPr>
        <w:pStyle w:val="ListBullet"/>
      </w:pPr>
      <w:r>
        <w:t>If either agent causes grade 3+ toxicity, further dose reduce based on PGx-guided lower bound before discontinuing</w:t>
      </w:r>
    </w:p>
    <w:p>
      <w:r>
        <w:t>Without PGx testing: Patient receives standard-dose FOLFIRI. Combined DPYD and UGT1A1 deficiency creates compounding risk -- grade 4 neutropenia with febrile neutropenia requiring hospitalization. Treatment delay of 3-4 weeks. Potential mortality risk.</w:t>
      </w:r>
    </w:p>
    <w:p>
      <w:pPr>
        <w:pStyle w:val="Heading2"/>
      </w:pPr>
      <w:r>
        <w:t>16. Pharmacogenomics Quality Assurance</w:t>
      </w:r>
    </w:p>
    <w:p>
      <w:pPr>
        <w:pStyle w:val="Heading3"/>
      </w:pPr>
      <w:r>
        <w:t>Analytical Validity vs Clinical Validity vs Clinical Utility</w:t>
      </w:r>
    </w:p>
    <w:p>
      <w:r>
        <w:t>Understanding the hierarchy of evidence for PGx tests is essential:</w:t>
      </w:r>
    </w:p>
    <w:p>
      <w:pPr>
        <w:ind w:left="720"/>
      </w:pPr>
      <w:r>
        <w:rPr>
          <w:rFonts w:ascii="Consolas" w:hAnsi="Consolas"/>
          <w:sz w:val="18"/>
        </w:rPr>
        <w:t>ANALYTICAL VALIDITY</w:t>
        <w:br/>
        <w:t xml:space="preserve">  "Does the test correctly identify the genotype?"</w:t>
        <w:br/>
        <w:t xml:space="preserve">  ├── Sensitivity: ability to detect variant alleles (target &gt;99%)</w:t>
        <w:br/>
        <w:t xml:space="preserve">  ├── Specificity: ability to correctly identify wild-type (target &gt;99.5%)</w:t>
        <w:br/>
        <w:t xml:space="preserve">  └── Reproducibility: same result on repeat testing (target &gt;99.9%)</w:t>
        <w:br/>
        <w:t xml:space="preserve">         │</w:t>
        <w:br/>
        <w:t xml:space="preserve">         ▼</w:t>
        <w:br/>
        <w:t>CLINICAL VALIDITY</w:t>
        <w:br/>
        <w:t xml:space="preserve">  "Does the genotype predict the phenotype?"</w:t>
        <w:br/>
        <w:t xml:space="preserve">  ├── Genotype-phenotype correlation (e.g., CYP2D6 PM → reduced codeine analgesia)</w:t>
        <w:br/>
        <w:t xml:space="preserve">  ├── Prospective studies linking genotype to clinical outcomes</w:t>
        <w:br/>
        <w:t xml:space="preserve">  └── Population-level frequency data supporting clinical significance</w:t>
        <w:br/>
        <w:t xml:space="preserve">         │</w:t>
        <w:br/>
        <w:t xml:space="preserve">         ▼</w:t>
        <w:br/>
        <w:t>CLINICAL UTILITY</w:t>
        <w:br/>
        <w:t xml:space="preserve">  "Does acting on the test result improve patient outcomes?"</w:t>
        <w:br/>
        <w:t xml:space="preserve">  ├── Randomized controlled trials (PREPARE, EU-PACT, GUIDED)</w:t>
        <w:br/>
        <w:t xml:space="preserve">  ├── Prospective cohort studies (PREDICT, INFORM PGx, RIGHT)</w:t>
        <w:br/>
        <w:t xml:space="preserve">  └── Health economic analyses (cost-effectiveness, QALY gain)</w:t>
      </w:r>
    </w:p>
    <w:p>
      <w:pPr>
        <w:pStyle w:val="Heading3"/>
      </w:pPr>
      <w:r>
        <w:t>Evidence Levels for Pharmacogenomic Gene-Drug Pairs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Evidence Level</w:t>
            </w:r>
          </w:p>
        </w:tc>
        <w:tc>
          <w:tcPr>
            <w:tcW w:type="dxa" w:w="2160"/>
          </w:tcPr>
          <w:p>
            <w:r>
              <w:rPr>
                <w:b/>
                <w:sz w:val="20"/>
              </w:rPr>
              <w:t>Definition</w:t>
            </w:r>
          </w:p>
        </w:tc>
        <w:tc>
          <w:tcPr>
            <w:tcW w:type="dxa" w:w="2160"/>
          </w:tcPr>
          <w:p>
            <w:r>
              <w:rPr>
                <w:b/>
                <w:sz w:val="20"/>
              </w:rPr>
              <w:t>Examples</w:t>
            </w:r>
          </w:p>
        </w:tc>
        <w:tc>
          <w:tcPr>
            <w:tcW w:type="dxa" w:w="2160"/>
          </w:tcPr>
          <w:p>
            <w:r>
              <w:rPr>
                <w:b/>
                <w:sz w:val="20"/>
              </w:rPr>
              <w:t>Recommendation</w:t>
            </w:r>
          </w:p>
        </w:tc>
      </w:tr>
      <w:tr>
        <w:tc>
          <w:tcPr>
            <w:tcW w:type="dxa" w:w="2160"/>
          </w:tcPr>
          <w:p>
            <w:r>
              <w:rPr>
                <w:sz w:val="20"/>
              </w:rPr>
              <w:t>CPIC Level A</w:t>
            </w:r>
          </w:p>
        </w:tc>
        <w:tc>
          <w:tcPr>
            <w:tcW w:type="dxa" w:w="2160"/>
          </w:tcPr>
          <w:p>
            <w:r>
              <w:rPr>
                <w:sz w:val="20"/>
              </w:rPr>
              <w:t>Strong evidence; prescribing action recommended</w:t>
            </w:r>
          </w:p>
        </w:tc>
        <w:tc>
          <w:tcPr>
            <w:tcW w:type="dxa" w:w="2160"/>
          </w:tcPr>
          <w:p>
            <w:r>
              <w:rPr>
                <w:sz w:val="20"/>
              </w:rPr>
              <w:t>CYP2D6-codeine, CYP2C19-clopidogrel, DPYD-fluoropyrimidines</w:t>
            </w:r>
          </w:p>
        </w:tc>
        <w:tc>
          <w:tcPr>
            <w:tcW w:type="dxa" w:w="2160"/>
          </w:tcPr>
          <w:p>
            <w:r>
              <w:rPr>
                <w:sz w:val="20"/>
              </w:rPr>
              <w:t>Change drug or dose based on genotype</w:t>
            </w:r>
          </w:p>
        </w:tc>
      </w:tr>
      <w:tr>
        <w:tc>
          <w:tcPr>
            <w:tcW w:type="dxa" w:w="2160"/>
          </w:tcPr>
          <w:p>
            <w:r>
              <w:rPr>
                <w:sz w:val="20"/>
              </w:rPr>
              <w:t>CPIC Level A (HLA)</w:t>
            </w:r>
          </w:p>
        </w:tc>
        <w:tc>
          <w:tcPr>
            <w:tcW w:type="dxa" w:w="2160"/>
          </w:tcPr>
          <w:p>
            <w:r>
              <w:rPr>
                <w:sz w:val="20"/>
              </w:rPr>
              <w:t>Strong evidence for immunogenetic reaction</w:t>
            </w:r>
          </w:p>
        </w:tc>
        <w:tc>
          <w:tcPr>
            <w:tcW w:type="dxa" w:w="2160"/>
          </w:tcPr>
          <w:p>
            <w:r>
              <w:rPr>
                <w:sz w:val="20"/>
              </w:rPr>
              <w:t>HLA-B*57:01-abacavir, HLA-B*15:02-carbamazepine</w:t>
            </w:r>
          </w:p>
        </w:tc>
        <w:tc>
          <w:tcPr>
            <w:tcW w:type="dxa" w:w="2160"/>
          </w:tcPr>
          <w:p>
            <w:r>
              <w:rPr>
                <w:sz w:val="20"/>
              </w:rPr>
              <w:t>Pre-emptive screening required</w:t>
            </w:r>
          </w:p>
        </w:tc>
      </w:tr>
      <w:tr>
        <w:tc>
          <w:tcPr>
            <w:tcW w:type="dxa" w:w="2160"/>
          </w:tcPr>
          <w:p>
            <w:r>
              <w:rPr>
                <w:sz w:val="20"/>
              </w:rPr>
              <w:t>CPIC Level B</w:t>
            </w:r>
          </w:p>
        </w:tc>
        <w:tc>
          <w:tcPr>
            <w:tcW w:type="dxa" w:w="2160"/>
          </w:tcPr>
          <w:p>
            <w:r>
              <w:rPr>
                <w:sz w:val="20"/>
              </w:rPr>
              <w:t>Moderate evidence; prescribing action may be recommended</w:t>
            </w:r>
          </w:p>
        </w:tc>
        <w:tc>
          <w:tcPr>
            <w:tcW w:type="dxa" w:w="2160"/>
          </w:tcPr>
          <w:p>
            <w:r>
              <w:rPr>
                <w:sz w:val="20"/>
              </w:rPr>
              <w:t>CYP2C9/VKORC1-warfarin, CYP3A5-tacrolimus</w:t>
            </w:r>
          </w:p>
        </w:tc>
        <w:tc>
          <w:tcPr>
            <w:tcW w:type="dxa" w:w="2160"/>
          </w:tcPr>
          <w:p>
            <w:r>
              <w:rPr>
                <w:sz w:val="20"/>
              </w:rPr>
              <w:t>Consider genotype-guided dosing</w:t>
            </w:r>
          </w:p>
        </w:tc>
      </w:tr>
      <w:tr>
        <w:tc>
          <w:tcPr>
            <w:tcW w:type="dxa" w:w="2160"/>
          </w:tcPr>
          <w:p>
            <w:r>
              <w:rPr>
                <w:sz w:val="20"/>
              </w:rPr>
              <w:t>CPIC Level C/D</w:t>
            </w:r>
          </w:p>
        </w:tc>
        <w:tc>
          <w:tcPr>
            <w:tcW w:type="dxa" w:w="2160"/>
          </w:tcPr>
          <w:p>
            <w:r>
              <w:rPr>
                <w:sz w:val="20"/>
              </w:rPr>
              <w:t>Weak or conflicting evidence</w:t>
            </w:r>
          </w:p>
        </w:tc>
        <w:tc>
          <w:tcPr>
            <w:tcW w:type="dxa" w:w="2160"/>
          </w:tcPr>
          <w:p>
            <w:r>
              <w:rPr>
                <w:sz w:val="20"/>
              </w:rPr>
              <w:t>Most gene-drug pairs</w:t>
            </w:r>
          </w:p>
        </w:tc>
        <w:tc>
          <w:tcPr>
            <w:tcW w:type="dxa" w:w="2160"/>
          </w:tcPr>
          <w:p>
            <w:r>
              <w:rPr>
                <w:sz w:val="20"/>
              </w:rPr>
              <w:t>Informational; monitor for emerging evidence</w:t>
            </w:r>
          </w:p>
        </w:tc>
      </w:tr>
      <w:tr>
        <w:tc>
          <w:tcPr>
            <w:tcW w:type="dxa" w:w="2160"/>
          </w:tcPr>
          <w:p>
            <w:r>
              <w:rPr>
                <w:sz w:val="20"/>
              </w:rPr>
              <w:t>PharmGKB 1A/1B</w:t>
            </w:r>
          </w:p>
        </w:tc>
        <w:tc>
          <w:tcPr>
            <w:tcW w:type="dxa" w:w="2160"/>
          </w:tcPr>
          <w:p>
            <w:r>
              <w:rPr>
                <w:sz w:val="20"/>
              </w:rPr>
              <w:t>Strong clinical annotation</w:t>
            </w:r>
          </w:p>
        </w:tc>
        <w:tc>
          <w:tcPr>
            <w:tcW w:type="dxa" w:w="2160"/>
          </w:tcPr>
          <w:p>
            <w:r>
              <w:rPr>
                <w:sz w:val="20"/>
              </w:rPr>
              <w:t>Overlaps with CPIC A/B</w:t>
            </w:r>
          </w:p>
        </w:tc>
        <w:tc>
          <w:tcPr>
            <w:tcW w:type="dxa" w:w="2160"/>
          </w:tcPr>
          <w:p>
            <w:r>
              <w:rPr>
                <w:sz w:val="20"/>
              </w:rPr>
              <w:t>PGx information in drug label</w:t>
            </w:r>
          </w:p>
        </w:tc>
      </w:tr>
      <w:tr>
        <w:tc>
          <w:tcPr>
            <w:tcW w:type="dxa" w:w="2160"/>
          </w:tcPr>
          <w:p>
            <w:r>
              <w:rPr>
                <w:sz w:val="20"/>
              </w:rPr>
              <w:t>FDA Table</w:t>
            </w:r>
          </w:p>
        </w:tc>
        <w:tc>
          <w:tcPr>
            <w:tcW w:type="dxa" w:w="2160"/>
          </w:tcPr>
          <w:p>
            <w:r>
              <w:rPr>
                <w:sz w:val="20"/>
              </w:rPr>
              <w:t>PGx biomarker in drug label</w:t>
            </w:r>
          </w:p>
        </w:tc>
        <w:tc>
          <w:tcPr>
            <w:tcW w:type="dxa" w:w="2160"/>
          </w:tcPr>
          <w:p>
            <w:r>
              <w:rPr>
                <w:sz w:val="20"/>
              </w:rPr>
              <w:t>350+ drugs listed</w:t>
            </w:r>
          </w:p>
        </w:tc>
        <w:tc>
          <w:tcPr>
            <w:tcW w:type="dxa" w:w="2160"/>
          </w:tcPr>
          <w:p>
            <w:r>
              <w:rPr>
                <w:sz w:val="20"/>
              </w:rPr>
              <w:t>Varies: required testing, recommended, informational</w:t>
            </w:r>
          </w:p>
        </w:tc>
      </w:tr>
    </w:tbl>
    <w:p>
      <w:pPr>
        <w:pStyle w:val="Heading3"/>
      </w:pPr>
      <w:r>
        <w:t>External Quality Assessment (EQA) Programs</w:t>
      </w:r>
    </w:p>
    <w:p>
      <w:r>
        <w:t>Clinical PGx laboratories participate in proficiency testing programs to ensure analytical quality: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Program</w:t>
            </w:r>
          </w:p>
        </w:tc>
        <w:tc>
          <w:tcPr>
            <w:tcW w:type="dxa" w:w="2160"/>
          </w:tcPr>
          <w:p>
            <w:r>
              <w:rPr>
                <w:b/>
                <w:sz w:val="20"/>
              </w:rPr>
              <w:t>Scope</w:t>
            </w:r>
          </w:p>
        </w:tc>
        <w:tc>
          <w:tcPr>
            <w:tcW w:type="dxa" w:w="2160"/>
          </w:tcPr>
          <w:p>
            <w:r>
              <w:rPr>
                <w:b/>
                <w:sz w:val="20"/>
              </w:rPr>
              <w:t>Frequency</w:t>
            </w:r>
          </w:p>
        </w:tc>
        <w:tc>
          <w:tcPr>
            <w:tcW w:type="dxa" w:w="2160"/>
          </w:tcPr>
          <w:p>
            <w:r>
              <w:rPr>
                <w:b/>
                <w:sz w:val="20"/>
              </w:rPr>
              <w:t>Participants</w:t>
            </w:r>
          </w:p>
        </w:tc>
      </w:tr>
      <w:tr>
        <w:tc>
          <w:tcPr>
            <w:tcW w:type="dxa" w:w="2160"/>
          </w:tcPr>
          <w:p>
            <w:r>
              <w:rPr>
                <w:sz w:val="20"/>
              </w:rPr>
              <w:t>CAP PGx Survey</w:t>
            </w:r>
          </w:p>
        </w:tc>
        <w:tc>
          <w:tcPr>
            <w:tcW w:type="dxa" w:w="2160"/>
          </w:tcPr>
          <w:p>
            <w:r>
              <w:rPr>
                <w:sz w:val="20"/>
              </w:rPr>
              <w:t>CYP2D6, CYP2C19, CYP2C9, VKORC1, DPYD, UGT1A1</w:t>
            </w:r>
          </w:p>
        </w:tc>
        <w:tc>
          <w:tcPr>
            <w:tcW w:type="dxa" w:w="2160"/>
          </w:tcPr>
          <w:p>
            <w:r>
              <w:rPr>
                <w:sz w:val="20"/>
              </w:rPr>
              <w:t>2x/year</w:t>
            </w:r>
          </w:p>
        </w:tc>
        <w:tc>
          <w:tcPr>
            <w:tcW w:type="dxa" w:w="2160"/>
          </w:tcPr>
          <w:p>
            <w:r>
              <w:rPr>
                <w:sz w:val="20"/>
              </w:rPr>
              <w:t>200+ CLIA labs</w:t>
            </w:r>
          </w:p>
        </w:tc>
      </w:tr>
      <w:tr>
        <w:tc>
          <w:tcPr>
            <w:tcW w:type="dxa" w:w="2160"/>
          </w:tcPr>
          <w:p>
            <w:r>
              <w:rPr>
                <w:sz w:val="20"/>
              </w:rPr>
              <w:t>GeT-RM (CDC)</w:t>
            </w:r>
          </w:p>
        </w:tc>
        <w:tc>
          <w:tcPr>
            <w:tcW w:type="dxa" w:w="2160"/>
          </w:tcPr>
          <w:p>
            <w:r>
              <w:rPr>
                <w:sz w:val="20"/>
              </w:rPr>
              <w:t>Reference materials for PGx testing validation</w:t>
            </w:r>
          </w:p>
        </w:tc>
        <w:tc>
          <w:tcPr>
            <w:tcW w:type="dxa" w:w="2160"/>
          </w:tcPr>
          <w:p>
            <w:r>
              <w:rPr>
                <w:sz w:val="20"/>
              </w:rPr>
              <w:t>Ongoing</w:t>
            </w:r>
          </w:p>
        </w:tc>
        <w:tc>
          <w:tcPr>
            <w:tcW w:type="dxa" w:w="2160"/>
          </w:tcPr>
          <w:p>
            <w:r>
              <w:rPr>
                <w:sz w:val="20"/>
              </w:rPr>
              <w:t>Research and clinical labs</w:t>
            </w:r>
          </w:p>
        </w:tc>
      </w:tr>
      <w:tr>
        <w:tc>
          <w:tcPr>
            <w:tcW w:type="dxa" w:w="2160"/>
          </w:tcPr>
          <w:p>
            <w:r>
              <w:rPr>
                <w:sz w:val="20"/>
              </w:rPr>
              <w:t>EMQN PGx EQA</w:t>
            </w:r>
          </w:p>
        </w:tc>
        <w:tc>
          <w:tcPr>
            <w:tcW w:type="dxa" w:w="2160"/>
          </w:tcPr>
          <w:p>
            <w:r>
              <w:rPr>
                <w:sz w:val="20"/>
              </w:rPr>
              <w:t>European proficiency testing</w:t>
            </w:r>
          </w:p>
        </w:tc>
        <w:tc>
          <w:tcPr>
            <w:tcW w:type="dxa" w:w="2160"/>
          </w:tcPr>
          <w:p>
            <w:r>
              <w:rPr>
                <w:sz w:val="20"/>
              </w:rPr>
              <w:t>Annual</w:t>
            </w:r>
          </w:p>
        </w:tc>
        <w:tc>
          <w:tcPr>
            <w:tcW w:type="dxa" w:w="2160"/>
          </w:tcPr>
          <w:p>
            <w:r>
              <w:rPr>
                <w:sz w:val="20"/>
              </w:rPr>
              <w:t>100+ European labs</w:t>
            </w:r>
          </w:p>
        </w:tc>
      </w:tr>
      <w:tr>
        <w:tc>
          <w:tcPr>
            <w:tcW w:type="dxa" w:w="2160"/>
          </w:tcPr>
          <w:p>
            <w:r>
              <w:rPr>
                <w:sz w:val="20"/>
              </w:rPr>
              <w:t>PharmVar Reference</w:t>
            </w:r>
          </w:p>
        </w:tc>
        <w:tc>
          <w:tcPr>
            <w:tcW w:type="dxa" w:w="2160"/>
          </w:tcPr>
          <w:p>
            <w:r>
              <w:rPr>
                <w:sz w:val="20"/>
              </w:rPr>
              <w:t>Star allele reference sequences</w:t>
            </w:r>
          </w:p>
        </w:tc>
        <w:tc>
          <w:tcPr>
            <w:tcW w:type="dxa" w:w="2160"/>
          </w:tcPr>
          <w:p>
            <w:r>
              <w:rPr>
                <w:sz w:val="20"/>
              </w:rPr>
              <w:t>Ongoing</w:t>
            </w:r>
          </w:p>
        </w:tc>
        <w:tc>
          <w:tcPr>
            <w:tcW w:type="dxa" w:w="2160"/>
          </w:tcPr>
          <w:p>
            <w:r>
              <w:rPr>
                <w:sz w:val="20"/>
              </w:rPr>
              <w:t>Global research community</w:t>
            </w:r>
          </w:p>
        </w:tc>
      </w:tr>
    </w:tbl>
    <w:p>
      <w:pPr>
        <w:pStyle w:val="Heading3"/>
      </w:pPr>
      <w:r>
        <w:t>Challenges in Star Allele Calling Accuracy</w:t>
      </w:r>
    </w:p>
    <w:p>
      <w:pPr>
        <w:ind w:left="720"/>
      </w:pPr>
      <w:r>
        <w:rPr>
          <w:rFonts w:ascii="Consolas" w:hAnsi="Consolas"/>
          <w:sz w:val="18"/>
        </w:rPr>
        <w:t>CHALLENGE 1: Platform-dependent allele detection</w:t>
        <w:br/>
        <w:t>────────────────────────────────────────────────</w:t>
        <w:br/>
        <w:t xml:space="preserve">  SNP Array:       Detects only pre-designed variant positions</w:t>
        <w:br/>
        <w:t xml:space="preserve">                   May miss novel or rare alleles → classified as *1</w:t>
        <w:br/>
        <w:br/>
        <w:t xml:space="preserve">  Targeted NGS:    Detects all variants in sequenced regions</w:t>
        <w:br/>
        <w:t xml:space="preserve">                   May miss structural variants (CYP2D6 deletions/duplications)</w:t>
        <w:br/>
        <w:br/>
        <w:t xml:space="preserve">  Whole Genome:    Detects all variant types including structural</w:t>
        <w:br/>
        <w:t xml:space="preserve">                   Requires specialized bioinformatics (Stargazer, Cyrius)</w:t>
        <w:br/>
        <w:t xml:space="preserve">                   Higher cost, longer turnaround</w:t>
        <w:br/>
        <w:br/>
        <w:t>CHALLENGE 2: Haplotype phasing</w:t>
        <w:br/>
        <w:t>────────────────────────────────</w:t>
        <w:br/>
        <w:t xml:space="preserve">  Patient genotype at CYP2C19:</w:t>
        <w:br/>
        <w:t xml:space="preserve">    rs4244285 (c.681G&gt;A) = heterozygous G/A  → one *2 allele</w:t>
        <w:br/>
        <w:t xml:space="preserve">    rs12248560 (c.-806C&gt;T) = heterozygous C/T → one *17 allele</w:t>
        <w:br/>
        <w:br/>
        <w:t xml:space="preserve">  Question: Are *2 and *17 on the same or different chromosomes?</w:t>
        <w:br/>
        <w:br/>
        <w:t xml:space="preserve">    Scenario A (cis):  *2+*17 on one chromosome → *2/*1 = IM (AS 1.0)</w:t>
        <w:br/>
        <w:t xml:space="preserve">                       *1 on other chromosome</w:t>
        <w:br/>
        <w:br/>
        <w:t xml:space="preserve">    Scenario B (trans): *2 on one chromosome → *2/*17 = IM-to-RM (AS 1.5-2.0)</w:t>
        <w:br/>
        <w:t xml:space="preserve">                        *17 on other chromosome</w:t>
        <w:br/>
        <w:br/>
        <w:t xml:space="preserve">  Without phasing data, the correct diplotype is ambiguous.</w:t>
        <w:br/>
        <w:t xml:space="preserve">  Most clinical labs use population-based statistical phasing.</w:t>
        <w:br/>
        <w:br/>
        <w:t>CHALLENGE 3: Novel alleles</w:t>
        <w:br/>
        <w:t>──────────────────────────</w:t>
        <w:br/>
        <w:t xml:space="preserve">  Patient has a CYP2D6 variant not in PharmVar database:</w:t>
        <w:br/>
        <w:t xml:space="preserve">    → Classified as *1 (reference) by default</w:t>
        <w:br/>
        <w:t xml:space="preserve">    → May actually have reduced or no function</w:t>
        <w:br/>
        <w:t xml:space="preserve">    → More common in under-represented populations</w:t>
      </w:r>
    </w:p>
    <w:p>
      <w:pPr>
        <w:pStyle w:val="Heading2"/>
      </w:pPr>
      <w:r>
        <w:t>17. Pharmacogenomics in Specific Therapeutic Areas</w:t>
      </w:r>
    </w:p>
    <w:p>
      <w:pPr>
        <w:pStyle w:val="Heading3"/>
      </w:pPr>
      <w:r>
        <w:t>Psychiatry: The Highest-Impact PGx Domain</w:t>
      </w:r>
    </w:p>
    <w:p>
      <w:r>
        <w:t>Psychiatric medications have the highest rate of PGx-actionable prescribing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 Class</w:t>
            </w:r>
          </w:p>
        </w:tc>
        <w:tc>
          <w:tcPr>
            <w:tcW w:type="dxa" w:w="2160"/>
          </w:tcPr>
          <w:p>
            <w:r>
              <w:rPr>
                <w:b/>
                <w:sz w:val="20"/>
              </w:rPr>
              <w:t>Key PGx Genes</w:t>
            </w:r>
          </w:p>
        </w:tc>
        <w:tc>
          <w:tcPr>
            <w:tcW w:type="dxa" w:w="2160"/>
          </w:tcPr>
          <w:p>
            <w:r>
              <w:rPr>
                <w:b/>
                <w:sz w:val="20"/>
              </w:rPr>
              <w:t>% Patients Affected</w:t>
            </w:r>
          </w:p>
        </w:tc>
        <w:tc>
          <w:tcPr>
            <w:tcW w:type="dxa" w:w="2160"/>
          </w:tcPr>
          <w:p>
            <w:r>
              <w:rPr>
                <w:b/>
                <w:sz w:val="20"/>
              </w:rPr>
              <w:t>Clinical Impact</w:t>
            </w:r>
          </w:p>
        </w:tc>
      </w:tr>
      <w:tr>
        <w:tc>
          <w:tcPr>
            <w:tcW w:type="dxa" w:w="2160"/>
          </w:tcPr>
          <w:p>
            <w:r>
              <w:rPr>
                <w:sz w:val="20"/>
              </w:rPr>
              <w:t>SSRIs</w:t>
            </w:r>
          </w:p>
        </w:tc>
        <w:tc>
          <w:tcPr>
            <w:tcW w:type="dxa" w:w="2160"/>
          </w:tcPr>
          <w:p>
            <w:r>
              <w:rPr>
                <w:sz w:val="20"/>
              </w:rPr>
              <w:t>CYP2D6, CYP2C19</w:t>
            </w:r>
          </w:p>
        </w:tc>
        <w:tc>
          <w:tcPr>
            <w:tcW w:type="dxa" w:w="2160"/>
          </w:tcPr>
          <w:p>
            <w:r>
              <w:rPr>
                <w:sz w:val="20"/>
              </w:rPr>
              <w:t>30-40%</w:t>
            </w:r>
          </w:p>
        </w:tc>
        <w:tc>
          <w:tcPr>
            <w:tcW w:type="dxa" w:w="2160"/>
          </w:tcPr>
          <w:p>
            <w:r>
              <w:rPr>
                <w:sz w:val="20"/>
              </w:rPr>
              <w:t>Dose adjustment or drug switch</w:t>
            </w:r>
          </w:p>
        </w:tc>
      </w:tr>
      <w:tr>
        <w:tc>
          <w:tcPr>
            <w:tcW w:type="dxa" w:w="2160"/>
          </w:tcPr>
          <w:p>
            <w:r>
              <w:rPr>
                <w:sz w:val="20"/>
              </w:rPr>
              <w:t>SNRIs</w:t>
            </w:r>
          </w:p>
        </w:tc>
        <w:tc>
          <w:tcPr>
            <w:tcW w:type="dxa" w:w="2160"/>
          </w:tcPr>
          <w:p>
            <w:r>
              <w:rPr>
                <w:sz w:val="20"/>
              </w:rPr>
              <w:t>CYP2D6</w:t>
            </w:r>
          </w:p>
        </w:tc>
        <w:tc>
          <w:tcPr>
            <w:tcW w:type="dxa" w:w="2160"/>
          </w:tcPr>
          <w:p>
            <w:r>
              <w:rPr>
                <w:sz w:val="20"/>
              </w:rPr>
              <w:t>20-30%</w:t>
            </w:r>
          </w:p>
        </w:tc>
        <w:tc>
          <w:tcPr>
            <w:tcW w:type="dxa" w:w="2160"/>
          </w:tcPr>
          <w:p>
            <w:r>
              <w:rPr>
                <w:sz w:val="20"/>
              </w:rPr>
              <w:t>Dose adjustment</w:t>
            </w:r>
          </w:p>
        </w:tc>
      </w:tr>
      <w:tr>
        <w:tc>
          <w:tcPr>
            <w:tcW w:type="dxa" w:w="2160"/>
          </w:tcPr>
          <w:p>
            <w:r>
              <w:rPr>
                <w:sz w:val="20"/>
              </w:rPr>
              <w:t>TCAs</w:t>
            </w:r>
          </w:p>
        </w:tc>
        <w:tc>
          <w:tcPr>
            <w:tcW w:type="dxa" w:w="2160"/>
          </w:tcPr>
          <w:p>
            <w:r>
              <w:rPr>
                <w:sz w:val="20"/>
              </w:rPr>
              <w:t>CYP2D6, CYP2C19</w:t>
            </w:r>
          </w:p>
        </w:tc>
        <w:tc>
          <w:tcPr>
            <w:tcW w:type="dxa" w:w="2160"/>
          </w:tcPr>
          <w:p>
            <w:r>
              <w:rPr>
                <w:sz w:val="20"/>
              </w:rPr>
              <w:t>30-40%</w:t>
            </w:r>
          </w:p>
        </w:tc>
        <w:tc>
          <w:tcPr>
            <w:tcW w:type="dxa" w:w="2160"/>
          </w:tcPr>
          <w:p>
            <w:r>
              <w:rPr>
                <w:sz w:val="20"/>
              </w:rPr>
              <w:t>Narrow TI; critical dose adjustment</w:t>
            </w:r>
          </w:p>
        </w:tc>
      </w:tr>
      <w:tr>
        <w:tc>
          <w:tcPr>
            <w:tcW w:type="dxa" w:w="2160"/>
          </w:tcPr>
          <w:p>
            <w:r>
              <w:rPr>
                <w:sz w:val="20"/>
              </w:rPr>
              <w:t>Antipsychotics</w:t>
            </w:r>
          </w:p>
        </w:tc>
        <w:tc>
          <w:tcPr>
            <w:tcW w:type="dxa" w:w="2160"/>
          </w:tcPr>
          <w:p>
            <w:r>
              <w:rPr>
                <w:sz w:val="20"/>
              </w:rPr>
              <w:t>CYP2D6, CYP3A4</w:t>
            </w:r>
          </w:p>
        </w:tc>
        <w:tc>
          <w:tcPr>
            <w:tcW w:type="dxa" w:w="2160"/>
          </w:tcPr>
          <w:p>
            <w:r>
              <w:rPr>
                <w:sz w:val="20"/>
              </w:rPr>
              <w:t>20-30%</w:t>
            </w:r>
          </w:p>
        </w:tc>
        <w:tc>
          <w:tcPr>
            <w:tcW w:type="dxa" w:w="2160"/>
          </w:tcPr>
          <w:p>
            <w:r>
              <w:rPr>
                <w:sz w:val="20"/>
              </w:rPr>
              <w:t>Dose adjustment; EPS risk</w:t>
            </w:r>
          </w:p>
        </w:tc>
      </w:tr>
      <w:tr>
        <w:tc>
          <w:tcPr>
            <w:tcW w:type="dxa" w:w="2160"/>
          </w:tcPr>
          <w:p>
            <w:r>
              <w:rPr>
                <w:sz w:val="20"/>
              </w:rPr>
              <w:t>Mood stabilizers</w:t>
            </w:r>
          </w:p>
        </w:tc>
        <w:tc>
          <w:tcPr>
            <w:tcW w:type="dxa" w:w="2160"/>
          </w:tcPr>
          <w:p>
            <w:r>
              <w:rPr>
                <w:sz w:val="20"/>
              </w:rPr>
              <w:t>HLA-A, HLA-B</w:t>
            </w:r>
          </w:p>
        </w:tc>
        <w:tc>
          <w:tcPr>
            <w:tcW w:type="dxa" w:w="2160"/>
          </w:tcPr>
          <w:p>
            <w:r>
              <w:rPr>
                <w:sz w:val="20"/>
              </w:rPr>
              <w:t>2-10%</w:t>
            </w:r>
          </w:p>
        </w:tc>
        <w:tc>
          <w:tcPr>
            <w:tcW w:type="dxa" w:w="2160"/>
          </w:tcPr>
          <w:p>
            <w:r>
              <w:rPr>
                <w:sz w:val="20"/>
              </w:rPr>
              <w:t>SJS/TEN screening (carbamazepine)</w:t>
            </w:r>
          </w:p>
        </w:tc>
      </w:tr>
      <w:tr>
        <w:tc>
          <w:tcPr>
            <w:tcW w:type="dxa" w:w="2160"/>
          </w:tcPr>
          <w:p>
            <w:r>
              <w:rPr>
                <w:sz w:val="20"/>
              </w:rPr>
              <w:t>Benzodiazepines</w:t>
            </w:r>
          </w:p>
        </w:tc>
        <w:tc>
          <w:tcPr>
            <w:tcW w:type="dxa" w:w="2160"/>
          </w:tcPr>
          <w:p>
            <w:r>
              <w:rPr>
                <w:sz w:val="20"/>
              </w:rPr>
              <w:t>CYP3A4, CYP2C19</w:t>
            </w:r>
          </w:p>
        </w:tc>
        <w:tc>
          <w:tcPr>
            <w:tcW w:type="dxa" w:w="2160"/>
          </w:tcPr>
          <w:p>
            <w:r>
              <w:rPr>
                <w:sz w:val="20"/>
              </w:rPr>
              <w:t>10-20%</w:t>
            </w:r>
          </w:p>
        </w:tc>
        <w:tc>
          <w:tcPr>
            <w:tcW w:type="dxa" w:w="2160"/>
          </w:tcPr>
          <w:p>
            <w:r>
              <w:rPr>
                <w:sz w:val="20"/>
              </w:rPr>
              <w:t>Clearance variation</w:t>
            </w:r>
          </w:p>
        </w:tc>
      </w:tr>
    </w:tbl>
    <w:p>
      <w:r>
        <w:t>Psychiatric PGx prescribing decision tree:</w:t>
      </w:r>
    </w:p>
    <w:p>
      <w:pPr>
        <w:ind w:left="720"/>
      </w:pPr>
      <w:r>
        <w:rPr>
          <w:rFonts w:ascii="Consolas" w:hAnsi="Consolas"/>
          <w:sz w:val="18"/>
        </w:rPr>
        <w:t>New psychiatric medication prescribed</w:t>
        <w:br/>
        <w:t xml:space="preserve">         │</w:t>
        <w:br/>
        <w:t xml:space="preserve">         ▼</w:t>
        <w:br/>
        <w:t>Is the drug metabolized by CYP2D6 or CYP2C19?</w:t>
        <w:br/>
        <w:t xml:space="preserve">    ├── YES → Check PGx genotype</w:t>
        <w:br/>
        <w:t xml:space="preserve">    │         ├── PM/IM → Consider alternative drug or dose reduction</w:t>
        <w:br/>
        <w:t xml:space="preserve">    │         ├── NM → Standard dosing</w:t>
        <w:br/>
        <w:t xml:space="preserve">    │         └── RM/UM → Consider dose increase or alternative drug</w:t>
        <w:br/>
        <w:t xml:space="preserve">    └── NO → Standard prescribing (PGx less relevant)</w:t>
        <w:br/>
        <w:t xml:space="preserve">         │</w:t>
        <w:br/>
        <w:t xml:space="preserve">         ▼</w:t>
        <w:br/>
        <w:t>Is the patient taking a CYP2D6/CYP2C19 inhibitor?</w:t>
        <w:br/>
        <w:t xml:space="preserve">    ├── YES → Apply phenoconversion adjustment</w:t>
        <w:br/>
        <w:t xml:space="preserve">    │         └── Genotypic NM may be phenotypic PM</w:t>
        <w:br/>
        <w:t xml:space="preserve">    └── NO → Use genotype-based phenotype</w:t>
        <w:br/>
        <w:t xml:space="preserve">         │</w:t>
        <w:br/>
        <w:t xml:space="preserve">         ▼</w:t>
        <w:br/>
        <w:t>Is the drug carbamazepine, oxcarbazepine, or phenytoin?</w:t>
        <w:br/>
        <w:t xml:space="preserve">    ├── YES → Check HLA-B*15:02 (Asian descent) and HLA-A*31:01</w:t>
        <w:br/>
        <w:t xml:space="preserve">    └── NO → No HLA screening needed</w:t>
      </w:r>
    </w:p>
    <w:p>
      <w:pPr>
        <w:pStyle w:val="Heading3"/>
      </w:pPr>
      <w:r>
        <w:t>Cardiology: Antiplatelet and Anticoagulant PGx</w:t>
      </w:r>
    </w:p>
    <w:p>
      <w:r>
        <w:t>Cardiovascular drugs represent the second most impactful PGx domain: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Drug</w:t>
            </w:r>
          </w:p>
        </w:tc>
        <w:tc>
          <w:tcPr>
            <w:tcW w:type="dxa" w:w="2160"/>
          </w:tcPr>
          <w:p>
            <w:r>
              <w:rPr>
                <w:b/>
                <w:sz w:val="20"/>
              </w:rPr>
              <w:t>Gene(s)</w:t>
            </w:r>
          </w:p>
        </w:tc>
        <w:tc>
          <w:tcPr>
            <w:tcW w:type="dxa" w:w="2160"/>
          </w:tcPr>
          <w:p>
            <w:r>
              <w:rPr>
                <w:b/>
                <w:sz w:val="20"/>
              </w:rPr>
              <w:t>Actionable Phenotypes</w:t>
            </w:r>
          </w:p>
        </w:tc>
        <w:tc>
          <w:tcPr>
            <w:tcW w:type="dxa" w:w="2160"/>
          </w:tcPr>
          <w:p>
            <w:r>
              <w:rPr>
                <w:b/>
                <w:sz w:val="20"/>
              </w:rPr>
              <w:t>Clinical Consequence</w:t>
            </w:r>
          </w:p>
        </w:tc>
      </w:tr>
      <w:tr>
        <w:tc>
          <w:tcPr>
            <w:tcW w:type="dxa" w:w="2160"/>
          </w:tcPr>
          <w:p>
            <w:r>
              <w:rPr>
                <w:sz w:val="20"/>
              </w:rPr>
              <w:t>Clopidogrel</w:t>
            </w:r>
          </w:p>
        </w:tc>
        <w:tc>
          <w:tcPr>
            <w:tcW w:type="dxa" w:w="2160"/>
          </w:tcPr>
          <w:p>
            <w:r>
              <w:rPr>
                <w:sz w:val="20"/>
              </w:rPr>
              <w:t>CYP2C19</w:t>
            </w:r>
          </w:p>
        </w:tc>
        <w:tc>
          <w:tcPr>
            <w:tcW w:type="dxa" w:w="2160"/>
          </w:tcPr>
          <w:p>
            <w:r>
              <w:rPr>
                <w:sz w:val="20"/>
              </w:rPr>
              <w:t>PM, IM</w:t>
            </w:r>
          </w:p>
        </w:tc>
        <w:tc>
          <w:tcPr>
            <w:tcW w:type="dxa" w:w="2160"/>
          </w:tcPr>
          <w:p>
            <w:r>
              <w:rPr>
                <w:sz w:val="20"/>
              </w:rPr>
              <w:t>Stent thrombosis (3.4x risk in PM)</w:t>
            </w:r>
          </w:p>
        </w:tc>
      </w:tr>
      <w:tr>
        <w:tc>
          <w:tcPr>
            <w:tcW w:type="dxa" w:w="2160"/>
          </w:tcPr>
          <w:p>
            <w:r>
              <w:rPr>
                <w:sz w:val="20"/>
              </w:rPr>
              <w:t>Warfarin</w:t>
            </w:r>
          </w:p>
        </w:tc>
        <w:tc>
          <w:tcPr>
            <w:tcW w:type="dxa" w:w="2160"/>
          </w:tcPr>
          <w:p>
            <w:r>
              <w:rPr>
                <w:sz w:val="20"/>
              </w:rPr>
              <w:t>CYP2C9, VKORC1, CYP4F2</w:t>
            </w:r>
          </w:p>
        </w:tc>
        <w:tc>
          <w:tcPr>
            <w:tcW w:type="dxa" w:w="2160"/>
          </w:tcPr>
          <w:p>
            <w:r>
              <w:rPr>
                <w:sz w:val="20"/>
              </w:rPr>
              <w:t>Multiple combinations</w:t>
            </w:r>
          </w:p>
        </w:tc>
        <w:tc>
          <w:tcPr>
            <w:tcW w:type="dxa" w:w="2160"/>
          </w:tcPr>
          <w:p>
            <w:r>
              <w:rPr>
                <w:sz w:val="20"/>
              </w:rPr>
              <w:t>Bleeding or thrombosis</w:t>
            </w:r>
          </w:p>
        </w:tc>
      </w:tr>
      <w:tr>
        <w:tc>
          <w:tcPr>
            <w:tcW w:type="dxa" w:w="2160"/>
          </w:tcPr>
          <w:p>
            <w:r>
              <w:rPr>
                <w:sz w:val="20"/>
              </w:rPr>
              <w:t>Simvastatin</w:t>
            </w:r>
          </w:p>
        </w:tc>
        <w:tc>
          <w:tcPr>
            <w:tcW w:type="dxa" w:w="2160"/>
          </w:tcPr>
          <w:p>
            <w:r>
              <w:rPr>
                <w:sz w:val="20"/>
              </w:rPr>
              <w:t>SLCO1B1</w:t>
            </w:r>
          </w:p>
        </w:tc>
        <w:tc>
          <w:tcPr>
            <w:tcW w:type="dxa" w:w="2160"/>
          </w:tcPr>
          <w:p>
            <w:r>
              <w:rPr>
                <w:sz w:val="20"/>
              </w:rPr>
              <w:t>Decreased function</w:t>
            </w:r>
          </w:p>
        </w:tc>
        <w:tc>
          <w:tcPr>
            <w:tcW w:type="dxa" w:w="2160"/>
          </w:tcPr>
          <w:p>
            <w:r>
              <w:rPr>
                <w:sz w:val="20"/>
              </w:rPr>
              <w:t>Myopathy risk at high doses</w:t>
            </w:r>
          </w:p>
        </w:tc>
      </w:tr>
      <w:tr>
        <w:tc>
          <w:tcPr>
            <w:tcW w:type="dxa" w:w="2160"/>
          </w:tcPr>
          <w:p>
            <w:r>
              <w:rPr>
                <w:sz w:val="20"/>
              </w:rPr>
              <w:t>Metoprolol</w:t>
            </w:r>
          </w:p>
        </w:tc>
        <w:tc>
          <w:tcPr>
            <w:tcW w:type="dxa" w:w="2160"/>
          </w:tcPr>
          <w:p>
            <w:r>
              <w:rPr>
                <w:sz w:val="20"/>
              </w:rPr>
              <w:t>CYP2D6</w:t>
            </w:r>
          </w:p>
        </w:tc>
        <w:tc>
          <w:tcPr>
            <w:tcW w:type="dxa" w:w="2160"/>
          </w:tcPr>
          <w:p>
            <w:r>
              <w:rPr>
                <w:sz w:val="20"/>
              </w:rPr>
              <w:t>PM</w:t>
            </w:r>
          </w:p>
        </w:tc>
        <w:tc>
          <w:tcPr>
            <w:tcW w:type="dxa" w:w="2160"/>
          </w:tcPr>
          <w:p>
            <w:r>
              <w:rPr>
                <w:sz w:val="20"/>
              </w:rPr>
              <w:t>Excessive beta-blockade, bradycardia</w:t>
            </w:r>
          </w:p>
        </w:tc>
      </w:tr>
      <w:tr>
        <w:tc>
          <w:tcPr>
            <w:tcW w:type="dxa" w:w="2160"/>
          </w:tcPr>
          <w:p>
            <w:r>
              <w:rPr>
                <w:sz w:val="20"/>
              </w:rPr>
              <w:t>Propafenone</w:t>
            </w:r>
          </w:p>
        </w:tc>
        <w:tc>
          <w:tcPr>
            <w:tcW w:type="dxa" w:w="2160"/>
          </w:tcPr>
          <w:p>
            <w:r>
              <w:rPr>
                <w:sz w:val="20"/>
              </w:rPr>
              <w:t>CYP2D6</w:t>
            </w:r>
          </w:p>
        </w:tc>
        <w:tc>
          <w:tcPr>
            <w:tcW w:type="dxa" w:w="2160"/>
          </w:tcPr>
          <w:p>
            <w:r>
              <w:rPr>
                <w:sz w:val="20"/>
              </w:rPr>
              <w:t>PM</w:t>
            </w:r>
          </w:p>
        </w:tc>
        <w:tc>
          <w:tcPr>
            <w:tcW w:type="dxa" w:w="2160"/>
          </w:tcPr>
          <w:p>
            <w:r>
              <w:rPr>
                <w:sz w:val="20"/>
              </w:rPr>
              <w:t>Increased beta-blocking effect</w:t>
            </w:r>
          </w:p>
        </w:tc>
      </w:tr>
      <w:tr>
        <w:tc>
          <w:tcPr>
            <w:tcW w:type="dxa" w:w="2160"/>
          </w:tcPr>
          <w:p>
            <w:r>
              <w:rPr>
                <w:sz w:val="20"/>
              </w:rPr>
              <w:t>Flecainide</w:t>
            </w:r>
          </w:p>
        </w:tc>
        <w:tc>
          <w:tcPr>
            <w:tcW w:type="dxa" w:w="2160"/>
          </w:tcPr>
          <w:p>
            <w:r>
              <w:rPr>
                <w:sz w:val="20"/>
              </w:rPr>
              <w:t>CYP2D6</w:t>
            </w:r>
          </w:p>
        </w:tc>
        <w:tc>
          <w:tcPr>
            <w:tcW w:type="dxa" w:w="2160"/>
          </w:tcPr>
          <w:p>
            <w:r>
              <w:rPr>
                <w:sz w:val="20"/>
              </w:rPr>
              <w:t>PM</w:t>
            </w:r>
          </w:p>
        </w:tc>
        <w:tc>
          <w:tcPr>
            <w:tcW w:type="dxa" w:w="2160"/>
          </w:tcPr>
          <w:p>
            <w:r>
              <w:rPr>
                <w:sz w:val="20"/>
              </w:rPr>
              <w:t>Elevated drug levels; proarrhythmic risk</w:t>
            </w:r>
          </w:p>
        </w:tc>
      </w:tr>
    </w:tbl>
    <w:p>
      <w:pPr>
        <w:pStyle w:val="Heading3"/>
      </w:pPr>
      <w:r>
        <w:t>Pain Management: Opioid PGx</w:t>
      </w:r>
    </w:p>
    <w:p>
      <w:r>
        <w:t>Opioid prescribing is heavily influenced by CYP2D6 pharmacogenomics:</w:t>
      </w:r>
    </w:p>
    <w:p>
      <w:pPr>
        <w:ind w:left="720"/>
      </w:pPr>
      <w:r>
        <w:rPr>
          <w:rFonts w:ascii="Consolas" w:hAnsi="Consolas"/>
          <w:sz w:val="18"/>
        </w:rPr>
        <w:t>OPIOID PHARMACOGENOMICS SUMMARY</w:t>
        <w:br/>
        <w:t>───────────────────────────────</w:t>
        <w:br/>
        <w:br/>
        <w:t>CYP2D6 PRODRUGS (require CYP2D6 to form active metabolite):</w:t>
        <w:br/>
        <w:t xml:space="preserve">  Codeine → Morphine (via CYP2D6)</w:t>
        <w:br/>
        <w:t xml:space="preserve">  Tramadol → O-desmethyltramadol (via CYP2D6)</w:t>
        <w:br/>
        <w:t xml:space="preserve">  Hydrocodone → Hydromorphone (partial, via CYP2D6)</w:t>
        <w:br/>
        <w:br/>
        <w:t xml:space="preserve">  PM: Ineffective (no active metabolite formed)</w:t>
        <w:br/>
        <w:t xml:space="preserve">  UM: Toxic (excessive active metabolite)</w:t>
        <w:br/>
        <w:br/>
        <w:t xml:space="preserve">  CPIC recommendation for PM: Use alternative opioid</w:t>
        <w:br/>
        <w:t xml:space="preserve">  CPIC recommendation for UM: Use alternative opioid (codeine CONTRAINDICATED)</w:t>
        <w:br/>
        <w:br/>
        <w:t>CYP2D6-INDEPENDENT OPIOIDS (safe regardless of CYP2D6 status):</w:t>
        <w:br/>
        <w:t xml:space="preserve">  Morphine (active drug, no CYP2D6 activation needed)</w:t>
        <w:br/>
        <w:t xml:space="preserve">  Oxycodone (primarily CYP3A4; CYP2D6 minor pathway to oxymorphone)</w:t>
        <w:br/>
        <w:t xml:space="preserve">  Fentanyl (primarily CYP3A4)</w:t>
        <w:br/>
        <w:t xml:space="preserve">  Buprenorphine (primarily CYP3A4)</w:t>
        <w:br/>
        <w:t xml:space="preserve">  Methadone (CYP2B6 primary; CYP3A4, CYP2D6 minor)</w:t>
        <w:br/>
        <w:br/>
        <w:t>SPECIAL CASE -- Methadone:</w:t>
        <w:br/>
        <w:t xml:space="preserve">  CYP2B6 is the primary enzyme for methadone metabolism</w:t>
        <w:br/>
        <w:t xml:space="preserve">  CYP2B6*6/*6 (PM) → elevated methadone levels → QTc prolongation risk</w:t>
        <w:br/>
        <w:t xml:space="preserve">  CYP2B6 is NOT routinely tested by most PGx panels</w:t>
      </w:r>
    </w:p>
    <w:p>
      <w:pPr>
        <w:pStyle w:val="Heading3"/>
      </w:pPr>
      <w:r>
        <w:t>Oncology: Fluoropyrimidine and Thiopurine PGx</w:t>
      </w:r>
    </w:p>
    <w:p>
      <w:r>
        <w:t>Oncology PGx is the domain where pharmacogenomics has the most direct life-or-death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Drug</w:t>
            </w:r>
          </w:p>
        </w:tc>
        <w:tc>
          <w:tcPr>
            <w:tcW w:type="dxa" w:w="1728"/>
          </w:tcPr>
          <w:p>
            <w:r>
              <w:rPr>
                <w:b/>
                <w:sz w:val="20"/>
              </w:rPr>
              <w:t>Gene</w:t>
            </w:r>
          </w:p>
        </w:tc>
        <w:tc>
          <w:tcPr>
            <w:tcW w:type="dxa" w:w="1728"/>
          </w:tcPr>
          <w:p>
            <w:r>
              <w:rPr>
                <w:b/>
                <w:sz w:val="20"/>
              </w:rPr>
              <w:t>Severe Toxicity Risk (without PGx)</w:t>
            </w:r>
          </w:p>
        </w:tc>
        <w:tc>
          <w:tcPr>
            <w:tcW w:type="dxa" w:w="1728"/>
          </w:tcPr>
          <w:p>
            <w:r>
              <w:rPr>
                <w:b/>
                <w:sz w:val="20"/>
              </w:rPr>
              <w:t>Mortality Risk</w:t>
            </w:r>
          </w:p>
        </w:tc>
        <w:tc>
          <w:tcPr>
            <w:tcW w:type="dxa" w:w="1728"/>
          </w:tcPr>
          <w:p>
            <w:r>
              <w:rPr>
                <w:b/>
                <w:sz w:val="20"/>
              </w:rPr>
              <w:t>CPIC Level</w:t>
            </w:r>
          </w:p>
        </w:tc>
      </w:tr>
      <w:tr>
        <w:tc>
          <w:tcPr>
            <w:tcW w:type="dxa" w:w="1728"/>
          </w:tcPr>
          <w:p>
            <w:r>
              <w:rPr>
                <w:sz w:val="20"/>
              </w:rPr>
              <w:t>5-Fluorouracil</w:t>
            </w:r>
          </w:p>
        </w:tc>
        <w:tc>
          <w:tcPr>
            <w:tcW w:type="dxa" w:w="1728"/>
          </w:tcPr>
          <w:p>
            <w:r>
              <w:rPr>
                <w:sz w:val="20"/>
              </w:rPr>
              <w:t>DPYD</w:t>
            </w:r>
          </w:p>
        </w:tc>
        <w:tc>
          <w:tcPr>
            <w:tcW w:type="dxa" w:w="1728"/>
          </w:tcPr>
          <w:p>
            <w:r>
              <w:rPr>
                <w:sz w:val="20"/>
              </w:rPr>
              <w:t>10-40% (dose-dependent)</w:t>
            </w:r>
          </w:p>
        </w:tc>
        <w:tc>
          <w:tcPr>
            <w:tcW w:type="dxa" w:w="1728"/>
          </w:tcPr>
          <w:p>
            <w:r>
              <w:rPr>
                <w:sz w:val="20"/>
              </w:rPr>
              <w:t>0.1-1%</w:t>
            </w:r>
          </w:p>
        </w:tc>
        <w:tc>
          <w:tcPr>
            <w:tcW w:type="dxa" w:w="1728"/>
          </w:tcPr>
          <w:p>
            <w:r>
              <w:rPr>
                <w:sz w:val="20"/>
              </w:rPr>
              <w:t>A</w:t>
            </w:r>
          </w:p>
        </w:tc>
      </w:tr>
      <w:tr>
        <w:tc>
          <w:tcPr>
            <w:tcW w:type="dxa" w:w="1728"/>
          </w:tcPr>
          <w:p>
            <w:r>
              <w:rPr>
                <w:sz w:val="20"/>
              </w:rPr>
              <w:t>Capecitabine</w:t>
            </w:r>
          </w:p>
        </w:tc>
        <w:tc>
          <w:tcPr>
            <w:tcW w:type="dxa" w:w="1728"/>
          </w:tcPr>
          <w:p>
            <w:r>
              <w:rPr>
                <w:sz w:val="20"/>
              </w:rPr>
              <w:t>DPYD</w:t>
            </w:r>
          </w:p>
        </w:tc>
        <w:tc>
          <w:tcPr>
            <w:tcW w:type="dxa" w:w="1728"/>
          </w:tcPr>
          <w:p>
            <w:r>
              <w:rPr>
                <w:sz w:val="20"/>
              </w:rPr>
              <w:t>10-40%</w:t>
            </w:r>
          </w:p>
        </w:tc>
        <w:tc>
          <w:tcPr>
            <w:tcW w:type="dxa" w:w="1728"/>
          </w:tcPr>
          <w:p>
            <w:r>
              <w:rPr>
                <w:sz w:val="20"/>
              </w:rPr>
              <w:t>0.1-1%</w:t>
            </w:r>
          </w:p>
        </w:tc>
        <w:tc>
          <w:tcPr>
            <w:tcW w:type="dxa" w:w="1728"/>
          </w:tcPr>
          <w:p>
            <w:r>
              <w:rPr>
                <w:sz w:val="20"/>
              </w:rPr>
              <w:t>A</w:t>
            </w:r>
          </w:p>
        </w:tc>
      </w:tr>
      <w:tr>
        <w:tc>
          <w:tcPr>
            <w:tcW w:type="dxa" w:w="1728"/>
          </w:tcPr>
          <w:p>
            <w:r>
              <w:rPr>
                <w:sz w:val="20"/>
              </w:rPr>
              <w:t>6-Mercaptopurine</w:t>
            </w:r>
          </w:p>
        </w:tc>
        <w:tc>
          <w:tcPr>
            <w:tcW w:type="dxa" w:w="1728"/>
          </w:tcPr>
          <w:p>
            <w:r>
              <w:rPr>
                <w:sz w:val="20"/>
              </w:rPr>
              <w:t>TPMT, NUDT15</w:t>
            </w:r>
          </w:p>
        </w:tc>
        <w:tc>
          <w:tcPr>
            <w:tcW w:type="dxa" w:w="1728"/>
          </w:tcPr>
          <w:p>
            <w:r>
              <w:rPr>
                <w:sz w:val="20"/>
              </w:rPr>
              <w:t>5-30% (myelosuppression)</w:t>
            </w:r>
          </w:p>
        </w:tc>
        <w:tc>
          <w:tcPr>
            <w:tcW w:type="dxa" w:w="1728"/>
          </w:tcPr>
          <w:p>
            <w:r>
              <w:rPr>
                <w:sz w:val="20"/>
              </w:rPr>
              <w:t>&lt;1%</w:t>
            </w:r>
          </w:p>
        </w:tc>
        <w:tc>
          <w:tcPr>
            <w:tcW w:type="dxa" w:w="1728"/>
          </w:tcPr>
          <w:p>
            <w:r>
              <w:rPr>
                <w:sz w:val="20"/>
              </w:rPr>
              <w:t>A</w:t>
            </w:r>
          </w:p>
        </w:tc>
      </w:tr>
      <w:tr>
        <w:tc>
          <w:tcPr>
            <w:tcW w:type="dxa" w:w="1728"/>
          </w:tcPr>
          <w:p>
            <w:r>
              <w:rPr>
                <w:sz w:val="20"/>
              </w:rPr>
              <w:t>Azathioprine</w:t>
            </w:r>
          </w:p>
        </w:tc>
        <w:tc>
          <w:tcPr>
            <w:tcW w:type="dxa" w:w="1728"/>
          </w:tcPr>
          <w:p>
            <w:r>
              <w:rPr>
                <w:sz w:val="20"/>
              </w:rPr>
              <w:t>TPMT, NUDT15</w:t>
            </w:r>
          </w:p>
        </w:tc>
        <w:tc>
          <w:tcPr>
            <w:tcW w:type="dxa" w:w="1728"/>
          </w:tcPr>
          <w:p>
            <w:r>
              <w:rPr>
                <w:sz w:val="20"/>
              </w:rPr>
              <w:t>5-30% (myelosuppression)</w:t>
            </w:r>
          </w:p>
        </w:tc>
        <w:tc>
          <w:tcPr>
            <w:tcW w:type="dxa" w:w="1728"/>
          </w:tcPr>
          <w:p>
            <w:r>
              <w:rPr>
                <w:sz w:val="20"/>
              </w:rPr>
              <w:t>&lt;1%</w:t>
            </w:r>
          </w:p>
        </w:tc>
        <w:tc>
          <w:tcPr>
            <w:tcW w:type="dxa" w:w="1728"/>
          </w:tcPr>
          <w:p>
            <w:r>
              <w:rPr>
                <w:sz w:val="20"/>
              </w:rPr>
              <w:t>A</w:t>
            </w:r>
          </w:p>
        </w:tc>
      </w:tr>
      <w:tr>
        <w:tc>
          <w:tcPr>
            <w:tcW w:type="dxa" w:w="1728"/>
          </w:tcPr>
          <w:p>
            <w:r>
              <w:rPr>
                <w:sz w:val="20"/>
              </w:rPr>
              <w:t>Irinotecan</w:t>
            </w:r>
          </w:p>
        </w:tc>
        <w:tc>
          <w:tcPr>
            <w:tcW w:type="dxa" w:w="1728"/>
          </w:tcPr>
          <w:p>
            <w:r>
              <w:rPr>
                <w:sz w:val="20"/>
              </w:rPr>
              <w:t>UGT1A1</w:t>
            </w:r>
          </w:p>
        </w:tc>
        <w:tc>
          <w:tcPr>
            <w:tcW w:type="dxa" w:w="1728"/>
          </w:tcPr>
          <w:p>
            <w:r>
              <w:rPr>
                <w:sz w:val="20"/>
              </w:rPr>
              <w:t>15-50% (neutropenia in *28/*28)</w:t>
            </w:r>
          </w:p>
        </w:tc>
        <w:tc>
          <w:tcPr>
            <w:tcW w:type="dxa" w:w="1728"/>
          </w:tcPr>
          <w:p>
            <w:r>
              <w:rPr>
                <w:sz w:val="20"/>
              </w:rPr>
              <w:t>&lt;1%</w:t>
            </w:r>
          </w:p>
        </w:tc>
        <w:tc>
          <w:tcPr>
            <w:tcW w:type="dxa" w:w="1728"/>
          </w:tcPr>
          <w:p>
            <w:r>
              <w:rPr>
                <w:sz w:val="20"/>
              </w:rPr>
              <w:t>B</w:t>
            </w:r>
          </w:p>
        </w:tc>
      </w:tr>
      <w:tr>
        <w:tc>
          <w:tcPr>
            <w:tcW w:type="dxa" w:w="1728"/>
          </w:tcPr>
          <w:p>
            <w:r>
              <w:rPr>
                <w:sz w:val="20"/>
              </w:rPr>
              <w:t>Tamoxifen</w:t>
            </w:r>
          </w:p>
        </w:tc>
        <w:tc>
          <w:tcPr>
            <w:tcW w:type="dxa" w:w="1728"/>
          </w:tcPr>
          <w:p>
            <w:r>
              <w:rPr>
                <w:sz w:val="20"/>
              </w:rPr>
              <w:t>CYP2D6</w:t>
            </w:r>
          </w:p>
        </w:tc>
        <w:tc>
          <w:tcPr>
            <w:tcW w:type="dxa" w:w="1728"/>
          </w:tcPr>
          <w:p>
            <w:r>
              <w:rPr>
                <w:sz w:val="20"/>
              </w:rPr>
              <w:t>N/A (efficacy, not toxicity)</w:t>
            </w:r>
          </w:p>
        </w:tc>
        <w:tc>
          <w:tcPr>
            <w:tcW w:type="dxa" w:w="1728"/>
          </w:tcPr>
          <w:p>
            <w:r>
              <w:rPr>
                <w:sz w:val="20"/>
              </w:rPr>
              <w:t>Recurrence risk</w:t>
            </w:r>
          </w:p>
        </w:tc>
        <w:tc>
          <w:tcPr>
            <w:tcW w:type="dxa" w:w="1728"/>
          </w:tcPr>
          <w:p>
            <w:r>
              <w:rPr>
                <w:sz w:val="20"/>
              </w:rPr>
              <w:t>B</w:t>
            </w:r>
          </w:p>
        </w:tc>
      </w:tr>
    </w:tbl>
    <w:p>
      <w:pPr>
        <w:pStyle w:val="Heading3"/>
      </w:pPr>
      <w:r>
        <w:t>Infectious Disease: HLA and Antiretroviral PGx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Drug</w:t>
            </w:r>
          </w:p>
        </w:tc>
        <w:tc>
          <w:tcPr>
            <w:tcW w:type="dxa" w:w="1728"/>
          </w:tcPr>
          <w:p>
            <w:r>
              <w:rPr>
                <w:b/>
                <w:sz w:val="20"/>
              </w:rPr>
              <w:t>Gene</w:t>
            </w:r>
          </w:p>
        </w:tc>
        <w:tc>
          <w:tcPr>
            <w:tcW w:type="dxa" w:w="1728"/>
          </w:tcPr>
          <w:p>
            <w:r>
              <w:rPr>
                <w:b/>
                <w:sz w:val="20"/>
              </w:rPr>
              <w:t>Reaction</w:t>
            </w:r>
          </w:p>
        </w:tc>
        <w:tc>
          <w:tcPr>
            <w:tcW w:type="dxa" w:w="1728"/>
          </w:tcPr>
          <w:p>
            <w:r>
              <w:rPr>
                <w:b/>
                <w:sz w:val="20"/>
              </w:rPr>
              <w:t>Frequency</w:t>
            </w:r>
          </w:p>
        </w:tc>
        <w:tc>
          <w:tcPr>
            <w:tcW w:type="dxa" w:w="1728"/>
          </w:tcPr>
          <w:p>
            <w:r>
              <w:rPr>
                <w:b/>
                <w:sz w:val="20"/>
              </w:rPr>
              <w:t>Screening Status</w:t>
            </w:r>
          </w:p>
        </w:tc>
      </w:tr>
      <w:tr>
        <w:tc>
          <w:tcPr>
            <w:tcW w:type="dxa" w:w="1728"/>
          </w:tcPr>
          <w:p>
            <w:r>
              <w:rPr>
                <w:sz w:val="20"/>
              </w:rPr>
              <w:t>Abacavir</w:t>
            </w:r>
          </w:p>
        </w:tc>
        <w:tc>
          <w:tcPr>
            <w:tcW w:type="dxa" w:w="1728"/>
          </w:tcPr>
          <w:p>
            <w:r>
              <w:rPr>
                <w:sz w:val="20"/>
              </w:rPr>
              <w:t>HLA-B*57:01</w:t>
            </w:r>
          </w:p>
        </w:tc>
        <w:tc>
          <w:tcPr>
            <w:tcW w:type="dxa" w:w="1728"/>
          </w:tcPr>
          <w:p>
            <w:r>
              <w:rPr>
                <w:sz w:val="20"/>
              </w:rPr>
              <w:t>Hypersensitivity syndrome</w:t>
            </w:r>
          </w:p>
        </w:tc>
        <w:tc>
          <w:tcPr>
            <w:tcW w:type="dxa" w:w="1728"/>
          </w:tcPr>
          <w:p>
            <w:r>
              <w:rPr>
                <w:sz w:val="20"/>
              </w:rPr>
              <w:t>5-8% of carriers</w:t>
            </w:r>
          </w:p>
        </w:tc>
        <w:tc>
          <w:tcPr>
            <w:tcW w:type="dxa" w:w="1728"/>
          </w:tcPr>
          <w:p>
            <w:r>
              <w:rPr>
                <w:sz w:val="20"/>
              </w:rPr>
              <w:t>FDA-required</w:t>
            </w:r>
          </w:p>
        </w:tc>
      </w:tr>
      <w:tr>
        <w:tc>
          <w:tcPr>
            <w:tcW w:type="dxa" w:w="1728"/>
          </w:tcPr>
          <w:p>
            <w:r>
              <w:rPr>
                <w:sz w:val="20"/>
              </w:rPr>
              <w:t>Efavirenz</w:t>
            </w:r>
          </w:p>
        </w:tc>
        <w:tc>
          <w:tcPr>
            <w:tcW w:type="dxa" w:w="1728"/>
          </w:tcPr>
          <w:p>
            <w:r>
              <w:rPr>
                <w:sz w:val="20"/>
              </w:rPr>
              <w:t>CYP2B6</w:t>
            </w:r>
          </w:p>
        </w:tc>
        <w:tc>
          <w:tcPr>
            <w:tcW w:type="dxa" w:w="1728"/>
          </w:tcPr>
          <w:p>
            <w:r>
              <w:rPr>
                <w:sz w:val="20"/>
              </w:rPr>
              <w:t>CNS side effects at standard dose</w:t>
            </w:r>
          </w:p>
        </w:tc>
        <w:tc>
          <w:tcPr>
            <w:tcW w:type="dxa" w:w="1728"/>
          </w:tcPr>
          <w:p>
            <w:r>
              <w:rPr>
                <w:sz w:val="20"/>
              </w:rPr>
              <w:t>15-20% of Africans (*6/*6)</w:t>
            </w:r>
          </w:p>
        </w:tc>
        <w:tc>
          <w:tcPr>
            <w:tcW w:type="dxa" w:w="1728"/>
          </w:tcPr>
          <w:p>
            <w:r>
              <w:rPr>
                <w:sz w:val="20"/>
              </w:rPr>
              <w:t>Recommended</w:t>
            </w:r>
          </w:p>
        </w:tc>
      </w:tr>
      <w:tr>
        <w:tc>
          <w:tcPr>
            <w:tcW w:type="dxa" w:w="1728"/>
          </w:tcPr>
          <w:p>
            <w:r>
              <w:rPr>
                <w:sz w:val="20"/>
              </w:rPr>
              <w:t>Dapsone</w:t>
            </w:r>
          </w:p>
        </w:tc>
        <w:tc>
          <w:tcPr>
            <w:tcW w:type="dxa" w:w="1728"/>
          </w:tcPr>
          <w:p>
            <w:r>
              <w:rPr>
                <w:sz w:val="20"/>
              </w:rPr>
              <w:t>G6PD</w:t>
            </w:r>
          </w:p>
        </w:tc>
        <w:tc>
          <w:tcPr>
            <w:tcW w:type="dxa" w:w="1728"/>
          </w:tcPr>
          <w:p>
            <w:r>
              <w:rPr>
                <w:sz w:val="20"/>
              </w:rPr>
              <w:t>Hemolytic anemia</w:t>
            </w:r>
          </w:p>
        </w:tc>
        <w:tc>
          <w:tcPr>
            <w:tcW w:type="dxa" w:w="1728"/>
          </w:tcPr>
          <w:p>
            <w:r>
              <w:rPr>
                <w:sz w:val="20"/>
              </w:rPr>
              <w:t>5-10% of affected populations</w:t>
            </w:r>
          </w:p>
        </w:tc>
        <w:tc>
          <w:tcPr>
            <w:tcW w:type="dxa" w:w="1728"/>
          </w:tcPr>
          <w:p>
            <w:r>
              <w:rPr>
                <w:sz w:val="20"/>
              </w:rPr>
              <w:t>Recommended</w:t>
            </w:r>
          </w:p>
        </w:tc>
      </w:tr>
      <w:tr>
        <w:tc>
          <w:tcPr>
            <w:tcW w:type="dxa" w:w="1728"/>
          </w:tcPr>
          <w:p>
            <w:r>
              <w:rPr>
                <w:sz w:val="20"/>
              </w:rPr>
              <w:t>Isoniazid</w:t>
            </w:r>
          </w:p>
        </w:tc>
        <w:tc>
          <w:tcPr>
            <w:tcW w:type="dxa" w:w="1728"/>
          </w:tcPr>
          <w:p>
            <w:r>
              <w:rPr>
                <w:sz w:val="20"/>
              </w:rPr>
              <w:t>NAT2</w:t>
            </w:r>
          </w:p>
        </w:tc>
        <w:tc>
          <w:tcPr>
            <w:tcW w:type="dxa" w:w="1728"/>
          </w:tcPr>
          <w:p>
            <w:r>
              <w:rPr>
                <w:sz w:val="20"/>
              </w:rPr>
              <w:t>Hepatotoxicity (slow acetylators)</w:t>
            </w:r>
          </w:p>
        </w:tc>
        <w:tc>
          <w:tcPr>
            <w:tcW w:type="dxa" w:w="1728"/>
          </w:tcPr>
          <w:p>
            <w:r>
              <w:rPr>
                <w:sz w:val="20"/>
              </w:rPr>
              <w:t>40-60% of population</w:t>
            </w:r>
          </w:p>
        </w:tc>
        <w:tc>
          <w:tcPr>
            <w:tcW w:type="dxa" w:w="1728"/>
          </w:tcPr>
          <w:p>
            <w:r>
              <w:rPr>
                <w:sz w:val="20"/>
              </w:rPr>
              <w:t>Emerging</w:t>
            </w:r>
          </w:p>
        </w:tc>
      </w:tr>
      <w:tr>
        <w:tc>
          <w:tcPr>
            <w:tcW w:type="dxa" w:w="1728"/>
          </w:tcPr>
          <w:p>
            <w:r>
              <w:rPr>
                <w:sz w:val="20"/>
              </w:rPr>
              <w:t>Voriconazole</w:t>
            </w:r>
          </w:p>
        </w:tc>
        <w:tc>
          <w:tcPr>
            <w:tcW w:type="dxa" w:w="1728"/>
          </w:tcPr>
          <w:p>
            <w:r>
              <w:rPr>
                <w:sz w:val="20"/>
              </w:rPr>
              <w:t>CYP2C19</w:t>
            </w:r>
          </w:p>
        </w:tc>
        <w:tc>
          <w:tcPr>
            <w:tcW w:type="dxa" w:w="1728"/>
          </w:tcPr>
          <w:p>
            <w:r>
              <w:rPr>
                <w:sz w:val="20"/>
              </w:rPr>
              <w:t>Toxicity (PM) or inefficacy (UM)</w:t>
            </w:r>
          </w:p>
        </w:tc>
        <w:tc>
          <w:tcPr>
            <w:tcW w:type="dxa" w:w="1728"/>
          </w:tcPr>
          <w:p>
            <w:r>
              <w:rPr>
                <w:sz w:val="20"/>
              </w:rPr>
              <w:t>15-25%</w:t>
            </w:r>
          </w:p>
        </w:tc>
        <w:tc>
          <w:tcPr>
            <w:tcW w:type="dxa" w:w="1728"/>
          </w:tcPr>
          <w:p>
            <w:r>
              <w:rPr>
                <w:sz w:val="20"/>
              </w:rPr>
              <w:t>CPIC Level A</w:t>
            </w:r>
          </w:p>
        </w:tc>
      </w:tr>
    </w:tbl>
    <w:p>
      <w:pPr>
        <w:pStyle w:val="Heading2"/>
      </w:pPr>
      <w:r>
        <w:t>18. Advanced Warfarin Pharmacogenomics</w:t>
      </w:r>
    </w:p>
    <w:p>
      <w:pPr>
        <w:pStyle w:val="Heading3"/>
      </w:pPr>
      <w:r>
        <w:t>Beyond the Standard IWPC Algorithm</w:t>
      </w:r>
    </w:p>
    <w:p>
      <w:r>
        <w:t>The standard IWPC algorithm accounts for approximately 50% of warfarin dose variance. The remaining variance is attributed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Factor</w:t>
            </w:r>
          </w:p>
        </w:tc>
        <w:tc>
          <w:tcPr>
            <w:tcW w:type="dxa" w:w="2880"/>
          </w:tcPr>
          <w:p>
            <w:r>
              <w:rPr>
                <w:b/>
                <w:sz w:val="20"/>
              </w:rPr>
              <w:t>% Dose Variance Explained</w:t>
            </w:r>
          </w:p>
        </w:tc>
        <w:tc>
          <w:tcPr>
            <w:tcW w:type="dxa" w:w="2880"/>
          </w:tcPr>
          <w:p>
            <w:r>
              <w:rPr>
                <w:b/>
                <w:sz w:val="20"/>
              </w:rPr>
              <w:t>Modeled by IWPC?</w:t>
            </w:r>
          </w:p>
        </w:tc>
      </w:tr>
      <w:tr>
        <w:tc>
          <w:tcPr>
            <w:tcW w:type="dxa" w:w="2880"/>
          </w:tcPr>
          <w:p>
            <w:r>
              <w:rPr>
                <w:sz w:val="20"/>
              </w:rPr>
              <w:t>CYP2C9 genotype</w:t>
            </w:r>
          </w:p>
        </w:tc>
        <w:tc>
          <w:tcPr>
            <w:tcW w:type="dxa" w:w="2880"/>
          </w:tcPr>
          <w:p>
            <w:r>
              <w:rPr>
                <w:sz w:val="20"/>
              </w:rPr>
              <w:t>6-10%</w:t>
            </w:r>
          </w:p>
        </w:tc>
        <w:tc>
          <w:tcPr>
            <w:tcW w:type="dxa" w:w="2880"/>
          </w:tcPr>
          <w:p>
            <w:r>
              <w:rPr>
                <w:sz w:val="20"/>
              </w:rPr>
              <w:t>Yes</w:t>
            </w:r>
          </w:p>
        </w:tc>
      </w:tr>
      <w:tr>
        <w:tc>
          <w:tcPr>
            <w:tcW w:type="dxa" w:w="2880"/>
          </w:tcPr>
          <w:p>
            <w:r>
              <w:rPr>
                <w:sz w:val="20"/>
              </w:rPr>
              <w:t>VKORC1 genotype</w:t>
            </w:r>
          </w:p>
        </w:tc>
        <w:tc>
          <w:tcPr>
            <w:tcW w:type="dxa" w:w="2880"/>
          </w:tcPr>
          <w:p>
            <w:r>
              <w:rPr>
                <w:sz w:val="20"/>
              </w:rPr>
              <w:t>20-30%</w:t>
            </w:r>
          </w:p>
        </w:tc>
        <w:tc>
          <w:tcPr>
            <w:tcW w:type="dxa" w:w="2880"/>
          </w:tcPr>
          <w:p>
            <w:r>
              <w:rPr>
                <w:sz w:val="20"/>
              </w:rPr>
              <w:t>Yes</w:t>
            </w:r>
          </w:p>
        </w:tc>
      </w:tr>
      <w:tr>
        <w:tc>
          <w:tcPr>
            <w:tcW w:type="dxa" w:w="2880"/>
          </w:tcPr>
          <w:p>
            <w:r>
              <w:rPr>
                <w:sz w:val="20"/>
              </w:rPr>
              <w:t>Age</w:t>
            </w:r>
          </w:p>
        </w:tc>
        <w:tc>
          <w:tcPr>
            <w:tcW w:type="dxa" w:w="2880"/>
          </w:tcPr>
          <w:p>
            <w:r>
              <w:rPr>
                <w:sz w:val="20"/>
              </w:rPr>
              <w:t>5-8%</w:t>
            </w:r>
          </w:p>
        </w:tc>
        <w:tc>
          <w:tcPr>
            <w:tcW w:type="dxa" w:w="2880"/>
          </w:tcPr>
          <w:p>
            <w:r>
              <w:rPr>
                <w:sz w:val="20"/>
              </w:rPr>
              <w:t>Yes</w:t>
            </w:r>
          </w:p>
        </w:tc>
      </w:tr>
      <w:tr>
        <w:tc>
          <w:tcPr>
            <w:tcW w:type="dxa" w:w="2880"/>
          </w:tcPr>
          <w:p>
            <w:r>
              <w:rPr>
                <w:sz w:val="20"/>
              </w:rPr>
              <w:t>Body size (BSA/height/weight)</w:t>
            </w:r>
          </w:p>
        </w:tc>
        <w:tc>
          <w:tcPr>
            <w:tcW w:type="dxa" w:w="2880"/>
          </w:tcPr>
          <w:p>
            <w:r>
              <w:rPr>
                <w:sz w:val="20"/>
              </w:rPr>
              <w:t>3-5%</w:t>
            </w:r>
          </w:p>
        </w:tc>
        <w:tc>
          <w:tcPr>
            <w:tcW w:type="dxa" w:w="2880"/>
          </w:tcPr>
          <w:p>
            <w:r>
              <w:rPr>
                <w:sz w:val="20"/>
              </w:rPr>
              <w:t>Yes</w:t>
            </w:r>
          </w:p>
        </w:tc>
      </w:tr>
      <w:tr>
        <w:tc>
          <w:tcPr>
            <w:tcW w:type="dxa" w:w="2880"/>
          </w:tcPr>
          <w:p>
            <w:r>
              <w:rPr>
                <w:sz w:val="20"/>
              </w:rPr>
              <w:t>Amiodarone use</w:t>
            </w:r>
          </w:p>
        </w:tc>
        <w:tc>
          <w:tcPr>
            <w:tcW w:type="dxa" w:w="2880"/>
          </w:tcPr>
          <w:p>
            <w:r>
              <w:rPr>
                <w:sz w:val="20"/>
              </w:rPr>
              <w:t>2-4%</w:t>
            </w:r>
          </w:p>
        </w:tc>
        <w:tc>
          <w:tcPr>
            <w:tcW w:type="dxa" w:w="2880"/>
          </w:tcPr>
          <w:p>
            <w:r>
              <w:rPr>
                <w:sz w:val="20"/>
              </w:rPr>
              <w:t>Yes</w:t>
            </w:r>
          </w:p>
        </w:tc>
      </w:tr>
      <w:tr>
        <w:tc>
          <w:tcPr>
            <w:tcW w:type="dxa" w:w="2880"/>
          </w:tcPr>
          <w:p>
            <w:r>
              <w:rPr>
                <w:sz w:val="20"/>
              </w:rPr>
              <w:t>Race/ethnicity</w:t>
            </w:r>
          </w:p>
        </w:tc>
        <w:tc>
          <w:tcPr>
            <w:tcW w:type="dxa" w:w="2880"/>
          </w:tcPr>
          <w:p>
            <w:r>
              <w:rPr>
                <w:sz w:val="20"/>
              </w:rPr>
              <w:t>2-3%</w:t>
            </w:r>
          </w:p>
        </w:tc>
        <w:tc>
          <w:tcPr>
            <w:tcW w:type="dxa" w:w="2880"/>
          </w:tcPr>
          <w:p>
            <w:r>
              <w:rPr>
                <w:sz w:val="20"/>
              </w:rPr>
              <w:t>Yes (as proxy)</w:t>
            </w:r>
          </w:p>
        </w:tc>
      </w:tr>
      <w:tr>
        <w:tc>
          <w:tcPr>
            <w:tcW w:type="dxa" w:w="2880"/>
          </w:tcPr>
          <w:p>
            <w:r>
              <w:rPr>
                <w:sz w:val="20"/>
              </w:rPr>
              <w:t>CYP4F2 (rs2108622)</w:t>
            </w:r>
          </w:p>
        </w:tc>
        <w:tc>
          <w:tcPr>
            <w:tcW w:type="dxa" w:w="2880"/>
          </w:tcPr>
          <w:p>
            <w:r>
              <w:rPr>
                <w:sz w:val="20"/>
              </w:rPr>
              <w:t>1-3%</w:t>
            </w:r>
          </w:p>
        </w:tc>
        <w:tc>
          <w:tcPr>
            <w:tcW w:type="dxa" w:w="2880"/>
          </w:tcPr>
          <w:p>
            <w:r>
              <w:rPr>
                <w:sz w:val="20"/>
              </w:rPr>
              <w:t>No</w:t>
            </w:r>
          </w:p>
        </w:tc>
      </w:tr>
      <w:tr>
        <w:tc>
          <w:tcPr>
            <w:tcW w:type="dxa" w:w="2880"/>
          </w:tcPr>
          <w:p>
            <w:r>
              <w:rPr>
                <w:sz w:val="20"/>
              </w:rPr>
              <w:t>GGCX (rs11676382)</w:t>
            </w:r>
          </w:p>
        </w:tc>
        <w:tc>
          <w:tcPr>
            <w:tcW w:type="dxa" w:w="2880"/>
          </w:tcPr>
          <w:p>
            <w:r>
              <w:rPr>
                <w:sz w:val="20"/>
              </w:rPr>
              <w:t>1-2%</w:t>
            </w:r>
          </w:p>
        </w:tc>
        <w:tc>
          <w:tcPr>
            <w:tcW w:type="dxa" w:w="2880"/>
          </w:tcPr>
          <w:p>
            <w:r>
              <w:rPr>
                <w:sz w:val="20"/>
              </w:rPr>
              <w:t>No</w:t>
            </w:r>
          </w:p>
        </w:tc>
      </w:tr>
      <w:tr>
        <w:tc>
          <w:tcPr>
            <w:tcW w:type="dxa" w:w="2880"/>
          </w:tcPr>
          <w:p>
            <w:r>
              <w:rPr>
                <w:sz w:val="20"/>
              </w:rPr>
              <w:t>Protein C/S levels</w:t>
            </w:r>
          </w:p>
        </w:tc>
        <w:tc>
          <w:tcPr>
            <w:tcW w:type="dxa" w:w="2880"/>
          </w:tcPr>
          <w:p>
            <w:r>
              <w:rPr>
                <w:sz w:val="20"/>
              </w:rPr>
              <w:t>1-2%</w:t>
            </w:r>
          </w:p>
        </w:tc>
        <w:tc>
          <w:tcPr>
            <w:tcW w:type="dxa" w:w="2880"/>
          </w:tcPr>
          <w:p>
            <w:r>
              <w:rPr>
                <w:sz w:val="20"/>
              </w:rPr>
              <w:t>No</w:t>
            </w:r>
          </w:p>
        </w:tc>
      </w:tr>
      <w:tr>
        <w:tc>
          <w:tcPr>
            <w:tcW w:type="dxa" w:w="2880"/>
          </w:tcPr>
          <w:p>
            <w:r>
              <w:rPr>
                <w:sz w:val="20"/>
              </w:rPr>
              <w:t>Vitamin K dietary intake</w:t>
            </w:r>
          </w:p>
        </w:tc>
        <w:tc>
          <w:tcPr>
            <w:tcW w:type="dxa" w:w="2880"/>
          </w:tcPr>
          <w:p>
            <w:r>
              <w:rPr>
                <w:sz w:val="20"/>
              </w:rPr>
              <w:t>3-5%</w:t>
            </w:r>
          </w:p>
        </w:tc>
        <w:tc>
          <w:tcPr>
            <w:tcW w:type="dxa" w:w="2880"/>
          </w:tcPr>
          <w:p>
            <w:r>
              <w:rPr>
                <w:sz w:val="20"/>
              </w:rPr>
              <w:t>No</w:t>
            </w:r>
          </w:p>
        </w:tc>
      </w:tr>
      <w:tr>
        <w:tc>
          <w:tcPr>
            <w:tcW w:type="dxa" w:w="2880"/>
          </w:tcPr>
          <w:p>
            <w:r>
              <w:rPr>
                <w:sz w:val="20"/>
              </w:rPr>
              <w:t>Liver function</w:t>
            </w:r>
          </w:p>
        </w:tc>
        <w:tc>
          <w:tcPr>
            <w:tcW w:type="dxa" w:w="2880"/>
          </w:tcPr>
          <w:p>
            <w:r>
              <w:rPr>
                <w:sz w:val="20"/>
              </w:rPr>
              <w:t>2-5%</w:t>
            </w:r>
          </w:p>
        </w:tc>
        <w:tc>
          <w:tcPr>
            <w:tcW w:type="dxa" w:w="2880"/>
          </w:tcPr>
          <w:p>
            <w:r>
              <w:rPr>
                <w:sz w:val="20"/>
              </w:rPr>
              <w:t>No</w:t>
            </w:r>
          </w:p>
        </w:tc>
      </w:tr>
      <w:tr>
        <w:tc>
          <w:tcPr>
            <w:tcW w:type="dxa" w:w="2880"/>
          </w:tcPr>
          <w:p>
            <w:r>
              <w:rPr>
                <w:sz w:val="20"/>
              </w:rPr>
              <w:t>Drug interactions (non-amiodarone)</w:t>
            </w:r>
          </w:p>
        </w:tc>
        <w:tc>
          <w:tcPr>
            <w:tcW w:type="dxa" w:w="2880"/>
          </w:tcPr>
          <w:p>
            <w:r>
              <w:rPr>
                <w:sz w:val="20"/>
              </w:rPr>
              <w:t>5-10%</w:t>
            </w:r>
          </w:p>
        </w:tc>
        <w:tc>
          <w:tcPr>
            <w:tcW w:type="dxa" w:w="2880"/>
          </w:tcPr>
          <w:p>
            <w:r>
              <w:rPr>
                <w:sz w:val="20"/>
              </w:rPr>
              <w:t>No</w:t>
            </w:r>
          </w:p>
        </w:tc>
      </w:tr>
      <w:tr>
        <w:tc>
          <w:tcPr>
            <w:tcW w:type="dxa" w:w="2880"/>
          </w:tcPr>
          <w:p>
            <w:r>
              <w:rPr>
                <w:sz w:val="20"/>
              </w:rPr>
              <w:t>Unexplained/stochastic</w:t>
            </w:r>
          </w:p>
        </w:tc>
        <w:tc>
          <w:tcPr>
            <w:tcW w:type="dxa" w:w="2880"/>
          </w:tcPr>
          <w:p>
            <w:r>
              <w:rPr>
                <w:sz w:val="20"/>
              </w:rPr>
              <w:t>15-25%</w:t>
            </w:r>
          </w:p>
        </w:tc>
        <w:tc>
          <w:tcPr>
            <w:tcW w:type="dxa" w:w="2880"/>
          </w:tcPr>
          <w:p>
            <w:r>
              <w:rPr>
                <w:sz w:val="20"/>
              </w:rPr>
              <w:t>--</w:t>
            </w:r>
          </w:p>
        </w:tc>
      </w:tr>
    </w:tbl>
    <w:p>
      <w:pPr>
        <w:pStyle w:val="Heading3"/>
      </w:pPr>
      <w:r>
        <w:t>CYP4F2 Contribution to Warfarin Dosing</w:t>
      </w:r>
    </w:p>
    <w:p>
      <w:r>
        <w:t>CYP4F2 (rs2108622, V433M) affects vitamin K metabolism:</w:t>
      </w:r>
    </w:p>
    <w:p>
      <w:pPr>
        <w:pStyle w:val="ListBullet"/>
      </w:pPr>
      <w:r>
        <w:t>TT genotype (V433M homozygous): Reduced vitamin K1 hydroxylation. Higher tissue vitamin K levels. Requires approximately 1 mg/day HIGHER warfarin dose than CC genotype.</w:t>
      </w:r>
    </w:p>
    <w:p>
      <w:pPr>
        <w:pStyle w:val="ListBullet"/>
      </w:pPr>
      <w:r>
        <w:t>CT genotype (heterozygous): Intermediate effect. Approximately 0.5 mg/day higher dose.</w:t>
      </w:r>
    </w:p>
    <w:p>
      <w:pPr>
        <w:pStyle w:val="ListBullet"/>
      </w:pPr>
      <w:r>
        <w:t>CC genotype (reference): Standard vitamin K metabolism.</w:t>
      </w:r>
    </w:p>
    <w:p>
      <w:r>
        <w:t>The EU-PACT trial (Pirmohamed et al., NEJM 2013) included CYP4F2 in their algorithm and demonstrated improved time-in-therapeutic-range compared to clinical dosing alone.</w:t>
      </w:r>
    </w:p>
    <w:p>
      <w:pPr>
        <w:pStyle w:val="Heading3"/>
      </w:pPr>
      <w:r>
        <w:t>Warfarin Drug Interactions Beyond Amiodarone</w:t>
      </w:r>
    </w:p>
    <w:p>
      <w:r>
        <w:t>The IWPC algorithm includes amiodarone as a binary variable, but many other drugs significantly affect warfarin pharmacokinetics and pharmacodynamics: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Interaction Drug</w:t>
            </w:r>
          </w:p>
        </w:tc>
        <w:tc>
          <w:tcPr>
            <w:tcW w:type="dxa" w:w="2160"/>
          </w:tcPr>
          <w:p>
            <w:r>
              <w:rPr>
                <w:b/>
                <w:sz w:val="20"/>
              </w:rPr>
              <w:t>Mechanism</w:t>
            </w:r>
          </w:p>
        </w:tc>
        <w:tc>
          <w:tcPr>
            <w:tcW w:type="dxa" w:w="2160"/>
          </w:tcPr>
          <w:p>
            <w:r>
              <w:rPr>
                <w:b/>
                <w:sz w:val="20"/>
              </w:rPr>
              <w:t>Effect on INR</w:t>
            </w:r>
          </w:p>
        </w:tc>
        <w:tc>
          <w:tcPr>
            <w:tcW w:type="dxa" w:w="2160"/>
          </w:tcPr>
          <w:p>
            <w:r>
              <w:rPr>
                <w:b/>
                <w:sz w:val="20"/>
              </w:rPr>
              <w:t>Magnitude</w:t>
            </w:r>
          </w:p>
        </w:tc>
      </w:tr>
      <w:tr>
        <w:tc>
          <w:tcPr>
            <w:tcW w:type="dxa" w:w="2160"/>
          </w:tcPr>
          <w:p>
            <w:r>
              <w:rPr>
                <w:sz w:val="20"/>
              </w:rPr>
              <w:t>Amiodarone</w:t>
            </w:r>
          </w:p>
        </w:tc>
        <w:tc>
          <w:tcPr>
            <w:tcW w:type="dxa" w:w="2160"/>
          </w:tcPr>
          <w:p>
            <w:r>
              <w:rPr>
                <w:sz w:val="20"/>
              </w:rPr>
              <w:t>CYP2C9 inhibition + CYP3A4 inhibition</w:t>
            </w:r>
          </w:p>
        </w:tc>
        <w:tc>
          <w:tcPr>
            <w:tcW w:type="dxa" w:w="2160"/>
          </w:tcPr>
          <w:p>
            <w:r>
              <w:rPr>
                <w:sz w:val="20"/>
              </w:rPr>
              <w:t>Increase</w:t>
            </w:r>
          </w:p>
        </w:tc>
        <w:tc>
          <w:tcPr>
            <w:tcW w:type="dxa" w:w="2160"/>
          </w:tcPr>
          <w:p>
            <w:r>
              <w:rPr>
                <w:sz w:val="20"/>
              </w:rPr>
              <w:t>Major (30-50% dose reduction needed)</w:t>
            </w:r>
          </w:p>
        </w:tc>
      </w:tr>
      <w:tr>
        <w:tc>
          <w:tcPr>
            <w:tcW w:type="dxa" w:w="2160"/>
          </w:tcPr>
          <w:p>
            <w:r>
              <w:rPr>
                <w:sz w:val="20"/>
              </w:rPr>
              <w:t>Fluconazole</w:t>
            </w:r>
          </w:p>
        </w:tc>
        <w:tc>
          <w:tcPr>
            <w:tcW w:type="dxa" w:w="2160"/>
          </w:tcPr>
          <w:p>
            <w:r>
              <w:rPr>
                <w:sz w:val="20"/>
              </w:rPr>
              <w:t>CYP2C9 inhibition</w:t>
            </w:r>
          </w:p>
        </w:tc>
        <w:tc>
          <w:tcPr>
            <w:tcW w:type="dxa" w:w="2160"/>
          </w:tcPr>
          <w:p>
            <w:r>
              <w:rPr>
                <w:sz w:val="20"/>
              </w:rPr>
              <w:t>Increase</w:t>
            </w:r>
          </w:p>
        </w:tc>
        <w:tc>
          <w:tcPr>
            <w:tcW w:type="dxa" w:w="2160"/>
          </w:tcPr>
          <w:p>
            <w:r>
              <w:rPr>
                <w:sz w:val="20"/>
              </w:rPr>
              <w:t>Major</w:t>
            </w:r>
          </w:p>
        </w:tc>
      </w:tr>
      <w:tr>
        <w:tc>
          <w:tcPr>
            <w:tcW w:type="dxa" w:w="2160"/>
          </w:tcPr>
          <w:p>
            <w:r>
              <w:rPr>
                <w:sz w:val="20"/>
              </w:rPr>
              <w:t>Metronidazole</w:t>
            </w:r>
          </w:p>
        </w:tc>
        <w:tc>
          <w:tcPr>
            <w:tcW w:type="dxa" w:w="2160"/>
          </w:tcPr>
          <w:p>
            <w:r>
              <w:rPr>
                <w:sz w:val="20"/>
              </w:rPr>
              <w:t>CYP2C9 inhibition (stereoselective)</w:t>
            </w:r>
          </w:p>
        </w:tc>
        <w:tc>
          <w:tcPr>
            <w:tcW w:type="dxa" w:w="2160"/>
          </w:tcPr>
          <w:p>
            <w:r>
              <w:rPr>
                <w:sz w:val="20"/>
              </w:rPr>
              <w:t>Increase</w:t>
            </w:r>
          </w:p>
        </w:tc>
        <w:tc>
          <w:tcPr>
            <w:tcW w:type="dxa" w:w="2160"/>
          </w:tcPr>
          <w:p>
            <w:r>
              <w:rPr>
                <w:sz w:val="20"/>
              </w:rPr>
              <w:t>Moderate</w:t>
            </w:r>
          </w:p>
        </w:tc>
      </w:tr>
      <w:tr>
        <w:tc>
          <w:tcPr>
            <w:tcW w:type="dxa" w:w="2160"/>
          </w:tcPr>
          <w:p>
            <w:r>
              <w:rPr>
                <w:sz w:val="20"/>
              </w:rPr>
              <w:t>Rifampin</w:t>
            </w:r>
          </w:p>
        </w:tc>
        <w:tc>
          <w:tcPr>
            <w:tcW w:type="dxa" w:w="2160"/>
          </w:tcPr>
          <w:p>
            <w:r>
              <w:rPr>
                <w:sz w:val="20"/>
              </w:rPr>
              <w:t>CYP2C9 + CYP3A4 induction</w:t>
            </w:r>
          </w:p>
        </w:tc>
        <w:tc>
          <w:tcPr>
            <w:tcW w:type="dxa" w:w="2160"/>
          </w:tcPr>
          <w:p>
            <w:r>
              <w:rPr>
                <w:sz w:val="20"/>
              </w:rPr>
              <w:t>Decrease</w:t>
            </w:r>
          </w:p>
        </w:tc>
        <w:tc>
          <w:tcPr>
            <w:tcW w:type="dxa" w:w="2160"/>
          </w:tcPr>
          <w:p>
            <w:r>
              <w:rPr>
                <w:sz w:val="20"/>
              </w:rPr>
              <w:t>Major (may need 2-3x dose)</w:t>
            </w:r>
          </w:p>
        </w:tc>
      </w:tr>
      <w:tr>
        <w:tc>
          <w:tcPr>
            <w:tcW w:type="dxa" w:w="2160"/>
          </w:tcPr>
          <w:p>
            <w:r>
              <w:rPr>
                <w:sz w:val="20"/>
              </w:rPr>
              <w:t>Phenytoin</w:t>
            </w:r>
          </w:p>
        </w:tc>
        <w:tc>
          <w:tcPr>
            <w:tcW w:type="dxa" w:w="2160"/>
          </w:tcPr>
          <w:p>
            <w:r>
              <w:rPr>
                <w:sz w:val="20"/>
              </w:rPr>
              <w:t>CYP2C9 induction (delayed)</w:t>
            </w:r>
          </w:p>
        </w:tc>
        <w:tc>
          <w:tcPr>
            <w:tcW w:type="dxa" w:w="2160"/>
          </w:tcPr>
          <w:p>
            <w:r>
              <w:rPr>
                <w:sz w:val="20"/>
              </w:rPr>
              <w:t>Decrease</w:t>
            </w:r>
          </w:p>
        </w:tc>
        <w:tc>
          <w:tcPr>
            <w:tcW w:type="dxa" w:w="2160"/>
          </w:tcPr>
          <w:p>
            <w:r>
              <w:rPr>
                <w:sz w:val="20"/>
              </w:rPr>
              <w:t>Moderate-Major</w:t>
            </w:r>
          </w:p>
        </w:tc>
      </w:tr>
      <w:tr>
        <w:tc>
          <w:tcPr>
            <w:tcW w:type="dxa" w:w="2160"/>
          </w:tcPr>
          <w:p>
            <w:r>
              <w:rPr>
                <w:sz w:val="20"/>
              </w:rPr>
              <w:t>St. John's Wort</w:t>
            </w:r>
          </w:p>
        </w:tc>
        <w:tc>
          <w:tcPr>
            <w:tcW w:type="dxa" w:w="2160"/>
          </w:tcPr>
          <w:p>
            <w:r>
              <w:rPr>
                <w:sz w:val="20"/>
              </w:rPr>
              <w:t>CYP2C9 + CYP3A4 induction</w:t>
            </w:r>
          </w:p>
        </w:tc>
        <w:tc>
          <w:tcPr>
            <w:tcW w:type="dxa" w:w="2160"/>
          </w:tcPr>
          <w:p>
            <w:r>
              <w:rPr>
                <w:sz w:val="20"/>
              </w:rPr>
              <w:t>Decrease</w:t>
            </w:r>
          </w:p>
        </w:tc>
        <w:tc>
          <w:tcPr>
            <w:tcW w:type="dxa" w:w="2160"/>
          </w:tcPr>
          <w:p>
            <w:r>
              <w:rPr>
                <w:sz w:val="20"/>
              </w:rPr>
              <w:t>Moderate</w:t>
            </w:r>
          </w:p>
        </w:tc>
      </w:tr>
      <w:tr>
        <w:tc>
          <w:tcPr>
            <w:tcW w:type="dxa" w:w="2160"/>
          </w:tcPr>
          <w:p>
            <w:r>
              <w:rPr>
                <w:sz w:val="20"/>
              </w:rPr>
              <w:t>Sulfamethoxazole</w:t>
            </w:r>
          </w:p>
        </w:tc>
        <w:tc>
          <w:tcPr>
            <w:tcW w:type="dxa" w:w="2160"/>
          </w:tcPr>
          <w:p>
            <w:r>
              <w:rPr>
                <w:sz w:val="20"/>
              </w:rPr>
              <w:t>CYP2C9 inhibition</w:t>
            </w:r>
          </w:p>
        </w:tc>
        <w:tc>
          <w:tcPr>
            <w:tcW w:type="dxa" w:w="2160"/>
          </w:tcPr>
          <w:p>
            <w:r>
              <w:rPr>
                <w:sz w:val="20"/>
              </w:rPr>
              <w:t>Increase</w:t>
            </w:r>
          </w:p>
        </w:tc>
        <w:tc>
          <w:tcPr>
            <w:tcW w:type="dxa" w:w="2160"/>
          </w:tcPr>
          <w:p>
            <w:r>
              <w:rPr>
                <w:sz w:val="20"/>
              </w:rPr>
              <w:t>Moderate</w:t>
            </w:r>
          </w:p>
        </w:tc>
      </w:tr>
      <w:tr>
        <w:tc>
          <w:tcPr>
            <w:tcW w:type="dxa" w:w="2160"/>
          </w:tcPr>
          <w:p>
            <w:r>
              <w:rPr>
                <w:sz w:val="20"/>
              </w:rPr>
              <w:t>Cranberry juice</w:t>
            </w:r>
          </w:p>
        </w:tc>
        <w:tc>
          <w:tcPr>
            <w:tcW w:type="dxa" w:w="2160"/>
          </w:tcPr>
          <w:p>
            <w:r>
              <w:rPr>
                <w:sz w:val="20"/>
              </w:rPr>
              <w:t>CYP2C9 inhibition (debated)</w:t>
            </w:r>
          </w:p>
        </w:tc>
        <w:tc>
          <w:tcPr>
            <w:tcW w:type="dxa" w:w="2160"/>
          </w:tcPr>
          <w:p>
            <w:r>
              <w:rPr>
                <w:sz w:val="20"/>
              </w:rPr>
              <w:t>Increase</w:t>
            </w:r>
          </w:p>
        </w:tc>
        <w:tc>
          <w:tcPr>
            <w:tcW w:type="dxa" w:w="2160"/>
          </w:tcPr>
          <w:p>
            <w:r>
              <w:rPr>
                <w:sz w:val="20"/>
              </w:rPr>
              <w:t>Minor-Moderate</w:t>
            </w:r>
          </w:p>
        </w:tc>
      </w:tr>
    </w:tbl>
    <w:p>
      <w:r>
        <w:t>The PGx Intelligence Agent's phenoconversion module currently models the CYP2C9 inhibition component of these interactions, shifting the patient's CYP2C9 phenotype downward when a strong inhibitor is present.</w:t>
      </w:r>
    </w:p>
    <w:p>
      <w:pPr>
        <w:pStyle w:val="Heading3"/>
      </w:pPr>
      <w:r>
        <w:t>Warfarin Pharmacogenomics Across Populations</w:t>
      </w:r>
    </w:p>
    <w:p>
      <w:r>
        <w:t>Warfarin dose requirements vary substantially by population, driven by population-specific allele frequencies:</w:t>
      </w:r>
    </w:p>
    <w:p>
      <w:pPr>
        <w:ind w:left="720"/>
      </w:pPr>
      <w:r>
        <w:rPr>
          <w:rFonts w:ascii="Consolas" w:hAnsi="Consolas"/>
          <w:sz w:val="18"/>
        </w:rPr>
        <w:t>AVERAGE WEEKLY WARFARIN DOSE BY POPULATION</w:t>
        <w:br/>
        <w:t>──────────────────────────────────────────</w:t>
        <w:br/>
        <w:br/>
        <w:t>European:     ████████████████████████████████████  35 mg/week</w:t>
        <w:br/>
        <w:t>Hispanic:     ██████████████████████████████████    33 mg/week</w:t>
        <w:br/>
        <w:t>African:      ████████████████████████████████████████  43 mg/week</w:t>
        <w:br/>
        <w:t>East Asian:   ████████████████████████           21 mg/week</w:t>
        <w:br/>
        <w:t>South Asian:  ██████████████████████████████      30 mg/week</w:t>
      </w:r>
    </w:p>
    <w:p>
      <w:r>
        <w:t>The higher average dose in African populations is driven by:</w:t>
      </w:r>
    </w:p>
    <w:p>
      <w:pPr>
        <w:pStyle w:val="ListBullet"/>
      </w:pPr>
      <w:r>
        <w:t>Lower frequency of VKORC1 -1639 A allele (low-dose allele): 10-15% vs 40% in Europeans</w:t>
      </w:r>
    </w:p>
    <w:p>
      <w:pPr>
        <w:pStyle w:val="ListBullet"/>
      </w:pPr>
      <w:r>
        <w:t>Lower frequency of CYP2C9 2/3 (reduced-function alleles): 2-4% vs 12-15% in Europeans</w:t>
      </w:r>
    </w:p>
    <w:p>
      <w:pPr>
        <w:pStyle w:val="ListBullet"/>
      </w:pPr>
      <w:r>
        <w:t>Higher frequency of CYP2C9 5, 6, 8, 11 (African-specific reduced-function alleles) -- partially offsets the above, but these alleles are often not included in the standard IWPC algorithm</w:t>
      </w:r>
    </w:p>
    <w:p>
      <w:pPr>
        <w:pStyle w:val="Heading3"/>
      </w:pPr>
      <w:r>
        <w:t>VKORC1 Haplotype Groups</w:t>
      </w:r>
    </w:p>
    <w:p>
      <w:r>
        <w:t>VKORC1 variation is best understood through haplotype groups, not individual SNPs: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Haplotype Group</w:t>
            </w:r>
          </w:p>
        </w:tc>
        <w:tc>
          <w:tcPr>
            <w:tcW w:type="dxa" w:w="2160"/>
          </w:tcPr>
          <w:p>
            <w:r>
              <w:rPr>
                <w:b/>
                <w:sz w:val="20"/>
              </w:rPr>
              <w:t>Key SNP (rs9923231)</w:t>
            </w:r>
          </w:p>
        </w:tc>
        <w:tc>
          <w:tcPr>
            <w:tcW w:type="dxa" w:w="2160"/>
          </w:tcPr>
          <w:p>
            <w:r>
              <w:rPr>
                <w:b/>
                <w:sz w:val="20"/>
              </w:rPr>
              <w:t>Effect</w:t>
            </w:r>
          </w:p>
        </w:tc>
        <w:tc>
          <w:tcPr>
            <w:tcW w:type="dxa" w:w="2160"/>
          </w:tcPr>
          <w:p>
            <w:r>
              <w:rPr>
                <w:b/>
                <w:sz w:val="20"/>
              </w:rPr>
              <w:t>Population Frequency</w:t>
            </w:r>
          </w:p>
        </w:tc>
      </w:tr>
      <w:tr>
        <w:tc>
          <w:tcPr>
            <w:tcW w:type="dxa" w:w="2160"/>
          </w:tcPr>
          <w:p>
            <w:r>
              <w:rPr>
                <w:sz w:val="20"/>
              </w:rPr>
              <w:t>Group A (low-dose)</w:t>
            </w:r>
          </w:p>
        </w:tc>
        <w:tc>
          <w:tcPr>
            <w:tcW w:type="dxa" w:w="2160"/>
          </w:tcPr>
          <w:p>
            <w:r>
              <w:rPr>
                <w:sz w:val="20"/>
              </w:rPr>
              <w:t>-1639 G&gt;A (A allele)</w:t>
            </w:r>
          </w:p>
        </w:tc>
        <w:tc>
          <w:tcPr>
            <w:tcW w:type="dxa" w:w="2160"/>
          </w:tcPr>
          <w:p>
            <w:r>
              <w:rPr>
                <w:sz w:val="20"/>
              </w:rPr>
              <w:t>Reduced VKORC1 expression; increased warfarin sensitivity</w:t>
            </w:r>
          </w:p>
        </w:tc>
        <w:tc>
          <w:tcPr>
            <w:tcW w:type="dxa" w:w="2160"/>
          </w:tcPr>
          <w:p>
            <w:r>
              <w:rPr>
                <w:sz w:val="20"/>
              </w:rPr>
              <w:t>European: 37-42%, East Asian: 85-95%, African: 10-15%</w:t>
            </w:r>
          </w:p>
        </w:tc>
      </w:tr>
      <w:tr>
        <w:tc>
          <w:tcPr>
            <w:tcW w:type="dxa" w:w="2160"/>
          </w:tcPr>
          <w:p>
            <w:r>
              <w:rPr>
                <w:sz w:val="20"/>
              </w:rPr>
              <w:t>Group B (high-dose)</w:t>
            </w:r>
          </w:p>
        </w:tc>
        <w:tc>
          <w:tcPr>
            <w:tcW w:type="dxa" w:w="2160"/>
          </w:tcPr>
          <w:p>
            <w:r>
              <w:rPr>
                <w:sz w:val="20"/>
              </w:rPr>
              <w:t>-1639 G (G allele)</w:t>
            </w:r>
          </w:p>
        </w:tc>
        <w:tc>
          <w:tcPr>
            <w:tcW w:type="dxa" w:w="2160"/>
          </w:tcPr>
          <w:p>
            <w:r>
              <w:rPr>
                <w:sz w:val="20"/>
              </w:rPr>
              <w:t>Normal VKORC1 expression; standard warfarin requirement</w:t>
            </w:r>
          </w:p>
        </w:tc>
        <w:tc>
          <w:tcPr>
            <w:tcW w:type="dxa" w:w="2160"/>
          </w:tcPr>
          <w:p>
            <w:r>
              <w:rPr>
                <w:sz w:val="20"/>
              </w:rPr>
              <w:t>European: 58-63%, East Asian: 5-15%, African: 85-90%</w:t>
            </w:r>
          </w:p>
        </w:tc>
      </w:tr>
    </w:tbl>
    <w:p>
      <w:r>
        <w:t>The dramatically high frequency of the VKORC1 A allele in East Asian populations (85-95%) is the primary reason for the lower average warfarin dose in this population. Nearly all East Asian patients carry at least one low-dose allele, and 70-90% are A/A homozygotes.</w:t>
      </w:r>
    </w:p>
    <w:p>
      <w:pPr>
        <w:pStyle w:val="Heading2"/>
      </w:pPr>
      <w:r>
        <w:t>19. Advanced Thiopurine Pharmacogenomics</w:t>
      </w:r>
    </w:p>
    <w:p>
      <w:pPr>
        <w:pStyle w:val="Heading3"/>
      </w:pPr>
      <w:r>
        <w:t>TPMT Enzyme Kinetics and Activity Score</w:t>
      </w:r>
    </w:p>
    <w:p>
      <w:r>
        <w:t>TPMT catalyzes the S-methylation of thiopurine drugs, inactivating them and preventing accumulation of cytotoxic thioguanine nucleotides (TGN):</w:t>
      </w:r>
    </w:p>
    <w:p>
      <w:pPr>
        <w:ind w:left="720"/>
      </w:pPr>
      <w:r>
        <w:rPr>
          <w:rFonts w:ascii="Consolas" w:hAnsi="Consolas"/>
          <w:sz w:val="18"/>
        </w:rPr>
        <w:t>THIOPURINE METABOLISM PATHWAY</w:t>
        <w:br/>
        <w:t>─────────────────────────────</w:t>
        <w:br/>
        <w:br/>
        <w:t>6-Mercaptopurine (6-MP) or Azathioprine</w:t>
        <w:br/>
        <w:t xml:space="preserve">        │</w:t>
        <w:br/>
        <w:t xml:space="preserve">        ├── TPMT ──&gt; 6-Methylmercaptopurine (inactive) [DETOXIFICATION]</w:t>
        <w:br/>
        <w:t xml:space="preserve">        │</w:t>
        <w:br/>
        <w:t xml:space="preserve">        ├── HPRT ──&gt; 6-Thioguanine nucleotides (TGN) [CYTOTOXIC/THERAPEUTIC]</w:t>
        <w:br/>
        <w:t xml:space="preserve">        │             │</w:t>
        <w:br/>
        <w:t xml:space="preserve">        │             └── Incorporated into DNA ──&gt; Apoptosis</w:t>
        <w:br/>
        <w:t xml:space="preserve">        │</w:t>
        <w:br/>
        <w:t xml:space="preserve">        └── XO ──&gt; 6-Thiouric acid (inactive) [MINOR PATHWAY]</w:t>
        <w:br/>
        <w:t xml:space="preserve">                    │</w:t>
        <w:br/>
        <w:t xml:space="preserve">                    └── Blocked by allopurinol (XO inhibitor)</w:t>
        <w:br/>
        <w:t xml:space="preserve">                        CAUTION: Allopurinol + thiopurine = SEVERE TOXICITY</w:t>
        <w:br/>
        <w:t xml:space="preserve">                        (unless dose reduced by 50-75%)</w:t>
      </w:r>
    </w:p>
    <w:p>
      <w:pPr>
        <w:pStyle w:val="Heading3"/>
      </w:pPr>
      <w:r>
        <w:t>TPMT Red Blood Cell Activity Assay</w:t>
      </w:r>
    </w:p>
    <w:p>
      <w:r>
        <w:t>Unlike most pharmacogenes where genotyping is the standard, TPMT can also be assessed by a direct enzymatic activity assay: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Method</w:t>
            </w:r>
          </w:p>
        </w:tc>
        <w:tc>
          <w:tcPr>
            <w:tcW w:type="dxa" w:w="2160"/>
          </w:tcPr>
          <w:p>
            <w:r>
              <w:rPr>
                <w:b/>
                <w:sz w:val="20"/>
              </w:rPr>
              <w:t>Measures</w:t>
            </w:r>
          </w:p>
        </w:tc>
        <w:tc>
          <w:tcPr>
            <w:tcW w:type="dxa" w:w="2160"/>
          </w:tcPr>
          <w:p>
            <w:r>
              <w:rPr>
                <w:b/>
                <w:sz w:val="20"/>
              </w:rPr>
              <w:t>Advantages</w:t>
            </w:r>
          </w:p>
        </w:tc>
        <w:tc>
          <w:tcPr>
            <w:tcW w:type="dxa" w:w="2160"/>
          </w:tcPr>
          <w:p>
            <w:r>
              <w:rPr>
                <w:b/>
                <w:sz w:val="20"/>
              </w:rPr>
              <w:t>Limitations</w:t>
            </w:r>
          </w:p>
        </w:tc>
      </w:tr>
      <w:tr>
        <w:tc>
          <w:tcPr>
            <w:tcW w:type="dxa" w:w="2160"/>
          </w:tcPr>
          <w:p>
            <w:r>
              <w:rPr>
                <w:sz w:val="20"/>
              </w:rPr>
              <w:t>TPMT genotyping</w:t>
            </w:r>
          </w:p>
        </w:tc>
        <w:tc>
          <w:tcPr>
            <w:tcW w:type="dxa" w:w="2160"/>
          </w:tcPr>
          <w:p>
            <w:r>
              <w:rPr>
                <w:sz w:val="20"/>
              </w:rPr>
              <w:t>DNA variants (*2, *3A, *3B, *3C)</w:t>
            </w:r>
          </w:p>
        </w:tc>
        <w:tc>
          <w:tcPr>
            <w:tcW w:type="dxa" w:w="2160"/>
          </w:tcPr>
          <w:p>
            <w:r>
              <w:rPr>
                <w:sz w:val="20"/>
              </w:rPr>
              <w:t>Identifies specific alleles; results don't change; faster turnaround</w:t>
            </w:r>
          </w:p>
        </w:tc>
        <w:tc>
          <w:tcPr>
            <w:tcW w:type="dxa" w:w="2160"/>
          </w:tcPr>
          <w:p>
            <w:r>
              <w:rPr>
                <w:sz w:val="20"/>
              </w:rPr>
              <w:t>May miss rare variants; does not account for phenoconversion</w:t>
            </w:r>
          </w:p>
        </w:tc>
      </w:tr>
      <w:tr>
        <w:tc>
          <w:tcPr>
            <w:tcW w:type="dxa" w:w="2160"/>
          </w:tcPr>
          <w:p>
            <w:r>
              <w:rPr>
                <w:sz w:val="20"/>
              </w:rPr>
              <w:t>TPMT RBC activity</w:t>
            </w:r>
          </w:p>
        </w:tc>
        <w:tc>
          <w:tcPr>
            <w:tcW w:type="dxa" w:w="2160"/>
          </w:tcPr>
          <w:p>
            <w:r>
              <w:rPr>
                <w:sz w:val="20"/>
              </w:rPr>
              <w:t>Enzyme activity in red blood cells</w:t>
            </w:r>
          </w:p>
        </w:tc>
        <w:tc>
          <w:tcPr>
            <w:tcW w:type="dxa" w:w="2160"/>
          </w:tcPr>
          <w:p>
            <w:r>
              <w:rPr>
                <w:sz w:val="20"/>
              </w:rPr>
              <w:t>Direct functional measure; captures rare alleles and phenoconversion</w:t>
            </w:r>
          </w:p>
        </w:tc>
        <w:tc>
          <w:tcPr>
            <w:tcW w:type="dxa" w:w="2160"/>
          </w:tcPr>
          <w:p>
            <w:r>
              <w:rPr>
                <w:sz w:val="20"/>
              </w:rPr>
              <w:t>Affected by recent blood transfusion; must be done before thiopurine exposure; 10-day turnaround</w:t>
            </w:r>
          </w:p>
        </w:tc>
      </w:tr>
    </w:tbl>
    <w:p>
      <w:r>
        <w:t>Concordance between genotype and RBC activity is approximately 90-95%. Discordance can occur due to:</w:t>
      </w:r>
    </w:p>
    <w:p>
      <w:pPr>
        <w:pStyle w:val="ListBullet"/>
      </w:pPr>
      <w:r>
        <w:t>Rare alleles not detected by genotyping panels</w:t>
      </w:r>
    </w:p>
    <w:p>
      <w:pPr>
        <w:pStyle w:val="ListBullet"/>
      </w:pPr>
      <w:r>
        <w:t>Recent blood transfusion (donor RBCs have their own TPMT activity)</w:t>
      </w:r>
    </w:p>
    <w:p>
      <w:pPr>
        <w:pStyle w:val="ListBullet"/>
      </w:pPr>
      <w:r>
        <w:t>Epigenetic modification of TPMT expression</w:t>
      </w:r>
    </w:p>
    <w:p>
      <w:pPr>
        <w:pStyle w:val="Heading3"/>
      </w:pPr>
      <w:r>
        <w:t>Thiopurine TDM: TGN and MMP Monitoring</w:t>
      </w:r>
    </w:p>
    <w:p>
      <w:r>
        <w:t>Once a patient is on thiopurine therapy, therapeutic drug monitoring (TDM) of active metabolites refines dosing beyond genotype alone: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Metabolite</w:t>
            </w:r>
          </w:p>
        </w:tc>
        <w:tc>
          <w:tcPr>
            <w:tcW w:type="dxa" w:w="2880"/>
          </w:tcPr>
          <w:p>
            <w:r>
              <w:rPr>
                <w:b/>
                <w:sz w:val="20"/>
              </w:rPr>
              <w:t>Target Range (IBD)</w:t>
            </w:r>
          </w:p>
        </w:tc>
        <w:tc>
          <w:tcPr>
            <w:tcW w:type="dxa" w:w="2880"/>
          </w:tcPr>
          <w:p>
            <w:r>
              <w:rPr>
                <w:b/>
                <w:sz w:val="20"/>
              </w:rPr>
              <w:t>Interpretation</w:t>
            </w:r>
          </w:p>
        </w:tc>
      </w:tr>
      <w:tr>
        <w:tc>
          <w:tcPr>
            <w:tcW w:type="dxa" w:w="2880"/>
          </w:tcPr>
          <w:p>
            <w:r>
              <w:rPr>
                <w:sz w:val="20"/>
              </w:rPr>
              <w:t>6-TGN (thioguanine nucleotides)</w:t>
            </w:r>
          </w:p>
        </w:tc>
        <w:tc>
          <w:tcPr>
            <w:tcW w:type="dxa" w:w="2880"/>
          </w:tcPr>
          <w:p>
            <w:r>
              <w:rPr>
                <w:sz w:val="20"/>
              </w:rPr>
              <w:t>235-450 pmol/8x10^8 RBC</w:t>
            </w:r>
          </w:p>
        </w:tc>
        <w:tc>
          <w:tcPr>
            <w:tcW w:type="dxa" w:w="2880"/>
          </w:tcPr>
          <w:p>
            <w:r>
              <w:rPr>
                <w:sz w:val="20"/>
              </w:rPr>
              <w:t>Therapeutic range for IBD maintenance</w:t>
            </w:r>
          </w:p>
        </w:tc>
      </w:tr>
      <w:tr>
        <w:tc>
          <w:tcPr>
            <w:tcW w:type="dxa" w:w="2880"/>
          </w:tcPr>
          <w:p>
            <w:r>
              <w:rPr>
                <w:sz w:val="20"/>
              </w:rPr>
              <w:t>6-MMP (methylmercaptopurine)</w:t>
            </w:r>
          </w:p>
        </w:tc>
        <w:tc>
          <w:tcPr>
            <w:tcW w:type="dxa" w:w="2880"/>
          </w:tcPr>
          <w:p>
            <w:r>
              <w:rPr>
                <w:sz w:val="20"/>
              </w:rPr>
              <w:t>&lt;5,700 pmol/8x10^8 RBC</w:t>
            </w:r>
          </w:p>
        </w:tc>
        <w:tc>
          <w:tcPr>
            <w:tcW w:type="dxa" w:w="2880"/>
          </w:tcPr>
          <w:p>
            <w:r>
              <w:rPr>
                <w:sz w:val="20"/>
              </w:rPr>
              <w:t>Above this level: hepatotoxicity risk</w:t>
            </w:r>
          </w:p>
        </w:tc>
      </w:tr>
      <w:tr>
        <w:tc>
          <w:tcPr>
            <w:tcW w:type="dxa" w:w="2880"/>
          </w:tcPr>
          <w:p>
            <w:r>
              <w:rPr>
                <w:sz w:val="20"/>
              </w:rPr>
              <w:t>6-TGN:6-MMP ratio</w:t>
            </w:r>
          </w:p>
        </w:tc>
        <w:tc>
          <w:tcPr>
            <w:tcW w:type="dxa" w:w="2880"/>
          </w:tcPr>
          <w:p>
            <w:r>
              <w:rPr>
                <w:sz w:val="20"/>
              </w:rPr>
              <w:t>&gt;0.04</w:t>
            </w:r>
          </w:p>
        </w:tc>
        <w:tc>
          <w:tcPr>
            <w:tcW w:type="dxa" w:w="2880"/>
          </w:tcPr>
          <w:p>
            <w:r>
              <w:rPr>
                <w:sz w:val="20"/>
              </w:rPr>
              <w:t>Low ratio suggests TPMT-mediated shunting toward MMP</w:t>
            </w:r>
          </w:p>
        </w:tc>
      </w:tr>
    </w:tbl>
    <w:p>
      <w:r>
        <w:t>Patients with high 6-MMP and low 6-TGN despite adequate dosing may benefit from combination therapy with low-dose allopurinol (100 mg) + 25-33% of standard thiopurine dose. This combination inhibits XO-mediated thiopurine metabolism, redirecting metabolism through HPRT toward TGN. This strategy requires careful monitoring and is contraindicated in TPMT PM patients.</w:t>
      </w:r>
    </w:p>
    <w:p>
      <w:pPr>
        <w:pStyle w:val="Heading2"/>
      </w:pPr>
      <w:r>
        <w:t>20. Implementation Science: From PGx Evidence to Clinical Practice</w:t>
      </w:r>
    </w:p>
    <w:p>
      <w:pPr>
        <w:pStyle w:val="Heading3"/>
      </w:pPr>
      <w:r>
        <w:t>The PGx Implementation Gap</w:t>
      </w:r>
    </w:p>
    <w:p>
      <w:r>
        <w:t>Despite strong evidence for clinical utility, PGx adoption remains limited:</w:t>
      </w:r>
    </w:p>
    <w:p>
      <w:pPr>
        <w:ind w:left="720"/>
      </w:pPr>
      <w:r>
        <w:rPr>
          <w:rFonts w:ascii="Consolas" w:hAnsi="Consolas"/>
          <w:sz w:val="18"/>
        </w:rPr>
        <w:t>PGx IMPLEMENTATION GAP</w:t>
        <w:br/>
        <w:t>──────────────────────</w:t>
        <w:br/>
        <w:br/>
        <w:t>EVIDENCE          GUIDELINES          TESTING           ACTION</w:t>
        <w:br/>
        <w:t>(strong)          (comprehensive)     (available)       (rare)</w:t>
        <w:br/>
        <w:t xml:space="preserve">  │                    │                  │                │</w:t>
        <w:br/>
        <w:t xml:space="preserve">  │  CPIC: 25+ gene   │  CLIA labs       │  &lt;5% of        │</w:t>
        <w:br/>
        <w:t xml:space="preserve">  │  -drug guidelines  │  offer panels    │  high-risk      │</w:t>
        <w:br/>
        <w:t xml:space="preserve">  │                    │                  │  prescriptions  │</w:t>
        <w:br/>
        <w:t xml:space="preserve">  │                    │                  │  preceded by    │</w:t>
        <w:br/>
        <w:t xml:space="preserve">  │                    │                  │  PGx testing    │</w:t>
        <w:br/>
        <w:t xml:space="preserve">  ▼                    ▼                  ▼                ▼</w:t>
        <w:br/>
        <w:t xml:space="preserve">  ████████████████    ██████████████    ████████████     ███</w:t>
        <w:br/>
        <w:t xml:space="preserve">  100%               ~80%              ~30%             ~5%</w:t>
      </w:r>
    </w:p>
    <w:p>
      <w:pPr>
        <w:pStyle w:val="Heading3"/>
      </w:pPr>
      <w:r>
        <w:t>Barriers Addressed by the PGx Intelligence Agent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Barrier</w:t>
            </w:r>
          </w:p>
        </w:tc>
        <w:tc>
          <w:tcPr>
            <w:tcW w:type="dxa" w:w="2880"/>
          </w:tcPr>
          <w:p>
            <w:r>
              <w:rPr>
                <w:b/>
                <w:sz w:val="20"/>
              </w:rPr>
              <w:t>Traditional PGx</w:t>
            </w:r>
          </w:p>
        </w:tc>
        <w:tc>
          <w:tcPr>
            <w:tcW w:type="dxa" w:w="2880"/>
          </w:tcPr>
          <w:p>
            <w:r>
              <w:rPr>
                <w:b/>
                <w:sz w:val="20"/>
              </w:rPr>
              <w:t>PGx Intelligence Agent Approach</w:t>
            </w:r>
          </w:p>
        </w:tc>
      </w:tr>
      <w:tr>
        <w:tc>
          <w:tcPr>
            <w:tcW w:type="dxa" w:w="2880"/>
          </w:tcPr>
          <w:p>
            <w:r>
              <w:rPr>
                <w:sz w:val="20"/>
              </w:rPr>
              <w:t>Knowledge gap</w:t>
            </w:r>
          </w:p>
        </w:tc>
        <w:tc>
          <w:tcPr>
            <w:tcW w:type="dxa" w:w="2880"/>
          </w:tcPr>
          <w:p>
            <w:r>
              <w:rPr>
                <w:sz w:val="20"/>
              </w:rPr>
              <w:t>Clinicians must learn PGx interpretation</w:t>
            </w:r>
          </w:p>
        </w:tc>
        <w:tc>
          <w:tcPr>
            <w:tcW w:type="dxa" w:w="2880"/>
          </w:tcPr>
          <w:p>
            <w:r>
              <w:rPr>
                <w:sz w:val="20"/>
              </w:rPr>
              <w:t>Natural language queries; agent explains rationale</w:t>
            </w:r>
          </w:p>
        </w:tc>
      </w:tr>
      <w:tr>
        <w:tc>
          <w:tcPr>
            <w:tcW w:type="dxa" w:w="2880"/>
          </w:tcPr>
          <w:p>
            <w:r>
              <w:rPr>
                <w:sz w:val="20"/>
              </w:rPr>
              <w:t>Guideline complexity</w:t>
            </w:r>
          </w:p>
        </w:tc>
        <w:tc>
          <w:tcPr>
            <w:tcW w:type="dxa" w:w="2880"/>
          </w:tcPr>
          <w:p>
            <w:r>
              <w:rPr>
                <w:sz w:val="20"/>
              </w:rPr>
              <w:t>Clinicians must read and apply CPIC guidelines manually</w:t>
            </w:r>
          </w:p>
        </w:tc>
        <w:tc>
          <w:tcPr>
            <w:tcW w:type="dxa" w:w="2880"/>
          </w:tcPr>
          <w:p>
            <w:r>
              <w:rPr>
                <w:sz w:val="20"/>
              </w:rPr>
              <w:t>Agent retrieves and applies guidelines automatically</w:t>
            </w:r>
          </w:p>
        </w:tc>
      </w:tr>
      <w:tr>
        <w:tc>
          <w:tcPr>
            <w:tcW w:type="dxa" w:w="2880"/>
          </w:tcPr>
          <w:p>
            <w:r>
              <w:rPr>
                <w:sz w:val="20"/>
              </w:rPr>
              <w:t>Phenoconversion blindness</w:t>
            </w:r>
          </w:p>
        </w:tc>
        <w:tc>
          <w:tcPr>
            <w:tcW w:type="dxa" w:w="2880"/>
          </w:tcPr>
          <w:p>
            <w:r>
              <w:rPr>
                <w:sz w:val="20"/>
              </w:rPr>
              <w:t>Most systems ignore drug-drug-gene interactions</w:t>
            </w:r>
          </w:p>
        </w:tc>
        <w:tc>
          <w:tcPr>
            <w:tcW w:type="dxa" w:w="2880"/>
          </w:tcPr>
          <w:p>
            <w:r>
              <w:rPr>
                <w:sz w:val="20"/>
              </w:rPr>
              <w:t>60 inhibitor/inducer phenoconversion modeling</w:t>
            </w:r>
          </w:p>
        </w:tc>
      </w:tr>
      <w:tr>
        <w:tc>
          <w:tcPr>
            <w:tcW w:type="dxa" w:w="2880"/>
          </w:tcPr>
          <w:p>
            <w:r>
              <w:rPr>
                <w:sz w:val="20"/>
              </w:rPr>
              <w:t>HLA screening gap</w:t>
            </w:r>
          </w:p>
        </w:tc>
        <w:tc>
          <w:tcPr>
            <w:tcW w:type="dxa" w:w="2880"/>
          </w:tcPr>
          <w:p>
            <w:r>
              <w:rPr>
                <w:sz w:val="20"/>
              </w:rPr>
              <w:t>HLA testing often siloed from PGx</w:t>
            </w:r>
          </w:p>
        </w:tc>
        <w:tc>
          <w:tcPr>
            <w:tcW w:type="dxa" w:w="2880"/>
          </w:tcPr>
          <w:p>
            <w:r>
              <w:rPr>
                <w:sz w:val="20"/>
              </w:rPr>
              <w:t>Integrated HLA screening with 15 HLA-drug associations</w:t>
            </w:r>
          </w:p>
        </w:tc>
      </w:tr>
      <w:tr>
        <w:tc>
          <w:tcPr>
            <w:tcW w:type="dxa" w:w="2880"/>
          </w:tcPr>
          <w:p>
            <w:r>
              <w:rPr>
                <w:sz w:val="20"/>
              </w:rPr>
              <w:t>Dosing algorithm access</w:t>
            </w:r>
          </w:p>
        </w:tc>
        <w:tc>
          <w:tcPr>
            <w:tcW w:type="dxa" w:w="2880"/>
          </w:tcPr>
          <w:p>
            <w:r>
              <w:rPr>
                <w:sz w:val="20"/>
              </w:rPr>
              <w:t>Clinicians must find and calculate dose manually</w:t>
            </w:r>
          </w:p>
        </w:tc>
        <w:tc>
          <w:tcPr>
            <w:tcW w:type="dxa" w:w="2880"/>
          </w:tcPr>
          <w:p>
            <w:r>
              <w:rPr>
                <w:sz w:val="20"/>
              </w:rPr>
              <w:t>9 validated algorithms with instant calculation</w:t>
            </w:r>
          </w:p>
        </w:tc>
      </w:tr>
      <w:tr>
        <w:tc>
          <w:tcPr>
            <w:tcW w:type="dxa" w:w="2880"/>
          </w:tcPr>
          <w:p>
            <w:r>
              <w:rPr>
                <w:sz w:val="20"/>
              </w:rPr>
              <w:t>Evidence fragmentation</w:t>
            </w:r>
          </w:p>
        </w:tc>
        <w:tc>
          <w:tcPr>
            <w:tcW w:type="dxa" w:w="2880"/>
          </w:tcPr>
          <w:p>
            <w:r>
              <w:rPr>
                <w:sz w:val="20"/>
              </w:rPr>
              <w:t>CPIC, PharmGKB, FDA, PubMed in separate systems</w:t>
            </w:r>
          </w:p>
        </w:tc>
        <w:tc>
          <w:tcPr>
            <w:tcW w:type="dxa" w:w="2880"/>
          </w:tcPr>
          <w:p>
            <w:r>
              <w:rPr>
                <w:sz w:val="20"/>
              </w:rPr>
              <w:t>15 collections unified in single RAG interface</w:t>
            </w:r>
          </w:p>
        </w:tc>
      </w:tr>
      <w:tr>
        <w:tc>
          <w:tcPr>
            <w:tcW w:type="dxa" w:w="2880"/>
          </w:tcPr>
          <w:p>
            <w:r>
              <w:rPr>
                <w:sz w:val="20"/>
              </w:rPr>
              <w:t>Population awareness</w:t>
            </w:r>
          </w:p>
        </w:tc>
        <w:tc>
          <w:tcPr>
            <w:tcW w:type="dxa" w:w="2880"/>
          </w:tcPr>
          <w:p>
            <w:r>
              <w:rPr>
                <w:sz w:val="20"/>
              </w:rPr>
              <w:t>Population-specific allele frequencies not readily available</w:t>
            </w:r>
          </w:p>
        </w:tc>
        <w:tc>
          <w:tcPr>
            <w:tcW w:type="dxa" w:w="2880"/>
          </w:tcPr>
          <w:p>
            <w:r>
              <w:rPr>
                <w:sz w:val="20"/>
              </w:rPr>
              <w:t>Population Analytics tab with comparative visualization</w:t>
            </w:r>
          </w:p>
        </w:tc>
      </w:tr>
    </w:tbl>
    <w:p>
      <w:pPr>
        <w:pStyle w:val="Heading3"/>
      </w:pPr>
      <w:r>
        <w:t>Institutional PGx Program Metrics</w:t>
      </w:r>
    </w:p>
    <w:p>
      <w:r>
        <w:t>Institutions implementing PGx programs should track: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Definition</w:t>
            </w:r>
          </w:p>
        </w:tc>
        <w:tc>
          <w:tcPr>
            <w:tcW w:type="dxa" w:w="2880"/>
          </w:tcPr>
          <w:p>
            <w:r>
              <w:rPr>
                <w:b/>
                <w:sz w:val="20"/>
              </w:rPr>
              <w:t>Target</w:t>
            </w:r>
          </w:p>
        </w:tc>
      </w:tr>
      <w:tr>
        <w:tc>
          <w:tcPr>
            <w:tcW w:type="dxa" w:w="2880"/>
          </w:tcPr>
          <w:p>
            <w:r>
              <w:rPr>
                <w:sz w:val="20"/>
              </w:rPr>
              <w:t>PGx testing rate</w:t>
            </w:r>
          </w:p>
        </w:tc>
        <w:tc>
          <w:tcPr>
            <w:tcW w:type="dxa" w:w="2880"/>
          </w:tcPr>
          <w:p>
            <w:r>
              <w:rPr>
                <w:sz w:val="20"/>
              </w:rPr>
              <w:t>% of PGx-actionable prescriptions preceded by genotyping</w:t>
            </w:r>
          </w:p>
        </w:tc>
        <w:tc>
          <w:tcPr>
            <w:tcW w:type="dxa" w:w="2880"/>
          </w:tcPr>
          <w:p>
            <w:r>
              <w:rPr>
                <w:sz w:val="20"/>
              </w:rPr>
              <w:t>&gt;50% within 2 years</w:t>
            </w:r>
          </w:p>
        </w:tc>
      </w:tr>
      <w:tr>
        <w:tc>
          <w:tcPr>
            <w:tcW w:type="dxa" w:w="2880"/>
          </w:tcPr>
          <w:p>
            <w:r>
              <w:rPr>
                <w:sz w:val="20"/>
              </w:rPr>
              <w:t>Alert acceptance rate</w:t>
            </w:r>
          </w:p>
        </w:tc>
        <w:tc>
          <w:tcPr>
            <w:tcW w:type="dxa" w:w="2880"/>
          </w:tcPr>
          <w:p>
            <w:r>
              <w:rPr>
                <w:sz w:val="20"/>
              </w:rPr>
              <w:t>% of PGx CDS alerts where prescriber follows recommendation</w:t>
            </w:r>
          </w:p>
        </w:tc>
        <w:tc>
          <w:tcPr>
            <w:tcW w:type="dxa" w:w="2880"/>
          </w:tcPr>
          <w:p>
            <w:r>
              <w:rPr>
                <w:sz w:val="20"/>
              </w:rPr>
              <w:t>&gt;60%</w:t>
            </w:r>
          </w:p>
        </w:tc>
      </w:tr>
      <w:tr>
        <w:tc>
          <w:tcPr>
            <w:tcW w:type="dxa" w:w="2880"/>
          </w:tcPr>
          <w:p>
            <w:r>
              <w:rPr>
                <w:sz w:val="20"/>
              </w:rPr>
              <w:t>Time-to-result</w:t>
            </w:r>
          </w:p>
        </w:tc>
        <w:tc>
          <w:tcPr>
            <w:tcW w:type="dxa" w:w="2880"/>
          </w:tcPr>
          <w:p>
            <w:r>
              <w:rPr>
                <w:sz w:val="20"/>
              </w:rPr>
              <w:t>Days from PGx test order to result availability</w:t>
            </w:r>
          </w:p>
        </w:tc>
        <w:tc>
          <w:tcPr>
            <w:tcW w:type="dxa" w:w="2880"/>
          </w:tcPr>
          <w:p>
            <w:r>
              <w:rPr>
                <w:sz w:val="20"/>
              </w:rPr>
              <w:t>&lt;5 days (pre-emptive); &lt;3 days (reactive)</w:t>
            </w:r>
          </w:p>
        </w:tc>
      </w:tr>
      <w:tr>
        <w:tc>
          <w:tcPr>
            <w:tcW w:type="dxa" w:w="2880"/>
          </w:tcPr>
          <w:p>
            <w:r>
              <w:rPr>
                <w:sz w:val="20"/>
              </w:rPr>
              <w:t>ADR reduction</w:t>
            </w:r>
          </w:p>
        </w:tc>
        <w:tc>
          <w:tcPr>
            <w:tcW w:type="dxa" w:w="2880"/>
          </w:tcPr>
          <w:p>
            <w:r>
              <w:rPr>
                <w:sz w:val="20"/>
              </w:rPr>
              <w:t>% decrease in PGx-preventable ADRs vs baseline</w:t>
            </w:r>
          </w:p>
        </w:tc>
        <w:tc>
          <w:tcPr>
            <w:tcW w:type="dxa" w:w="2880"/>
          </w:tcPr>
          <w:p>
            <w:r>
              <w:rPr>
                <w:sz w:val="20"/>
              </w:rPr>
              <w:t>&gt;20% within 1 year</w:t>
            </w:r>
          </w:p>
        </w:tc>
      </w:tr>
      <w:tr>
        <w:tc>
          <w:tcPr>
            <w:tcW w:type="dxa" w:w="2880"/>
          </w:tcPr>
          <w:p>
            <w:r>
              <w:rPr>
                <w:sz w:val="20"/>
              </w:rPr>
              <w:t>Cost avoidance</w:t>
            </w:r>
          </w:p>
        </w:tc>
        <w:tc>
          <w:tcPr>
            <w:tcW w:type="dxa" w:w="2880"/>
          </w:tcPr>
          <w:p>
            <w:r>
              <w:rPr>
                <w:sz w:val="20"/>
              </w:rPr>
              <w:t>Estimated cost savings from prevented ADRs and reduced trials</w:t>
            </w:r>
          </w:p>
        </w:tc>
        <w:tc>
          <w:tcPr>
            <w:tcW w:type="dxa" w:w="2880"/>
          </w:tcPr>
          <w:p>
            <w:r>
              <w:rPr>
                <w:sz w:val="20"/>
              </w:rPr>
              <w:t>Track per patient</w:t>
            </w:r>
          </w:p>
        </w:tc>
      </w:tr>
      <w:tr>
        <w:tc>
          <w:tcPr>
            <w:tcW w:type="dxa" w:w="2880"/>
          </w:tcPr>
          <w:p>
            <w:r>
              <w:rPr>
                <w:sz w:val="20"/>
              </w:rPr>
              <w:t>Provider satisfaction</w:t>
            </w:r>
          </w:p>
        </w:tc>
        <w:tc>
          <w:tcPr>
            <w:tcW w:type="dxa" w:w="2880"/>
          </w:tcPr>
          <w:p>
            <w:r>
              <w:rPr>
                <w:sz w:val="20"/>
              </w:rPr>
              <w:t>Clinician satisfaction with PGx CDS alerts (survey)</w:t>
            </w:r>
          </w:p>
        </w:tc>
        <w:tc>
          <w:tcPr>
            <w:tcW w:type="dxa" w:w="2880"/>
          </w:tcPr>
          <w:p>
            <w:r>
              <w:rPr>
                <w:sz w:val="20"/>
              </w:rPr>
              <w:t>&gt;70% "useful" or "very useful"</w:t>
            </w:r>
          </w:p>
        </w:tc>
      </w:tr>
      <w:tr>
        <w:tc>
          <w:tcPr>
            <w:tcW w:type="dxa" w:w="2880"/>
          </w:tcPr>
          <w:p>
            <w:r>
              <w:rPr>
                <w:sz w:val="20"/>
              </w:rPr>
              <w:t>Patient awareness</w:t>
            </w:r>
          </w:p>
        </w:tc>
        <w:tc>
          <w:tcPr>
            <w:tcW w:type="dxa" w:w="2880"/>
          </w:tcPr>
          <w:p>
            <w:r>
              <w:rPr>
                <w:sz w:val="20"/>
              </w:rPr>
              <w:t>% of patients aware of their PGx results</w:t>
            </w:r>
          </w:p>
        </w:tc>
        <w:tc>
          <w:tcPr>
            <w:tcW w:type="dxa" w:w="2880"/>
          </w:tcPr>
          <w:p>
            <w:r>
              <w:rPr>
                <w:sz w:val="20"/>
              </w:rPr>
              <w:t>&gt;80% of tested patients</w:t>
            </w:r>
          </w:p>
        </w:tc>
      </w:tr>
    </w:tbl>
    <w:p>
      <w:pPr>
        <w:pStyle w:val="Heading3"/>
      </w:pPr>
      <w:r>
        <w:t>The Role of the Pharmacist in PGx Implementation</w:t>
      </w:r>
    </w:p>
    <w:p>
      <w:r>
        <w:t>Clinical pharmacists serve as the primary champions of PGx implementation in most health systems:</w:t>
      </w:r>
    </w:p>
    <w:p>
      <w:pPr>
        <w:pStyle w:val="ListNumber"/>
      </w:pPr>
      <w:r>
        <w:t>Test ordering and interpretation: Pharmacists are uniquely trained in drug metabolism and can interpret PGx results in the context of a patient's complete medication list.</w:t>
      </w:r>
    </w:p>
    <w:p>
      <w:pPr>
        <w:pStyle w:val="ListNumber"/>
      </w:pPr>
      <w:r>
        <w:t>Phenoconversion assessment: Pharmacists routinely review medication lists for drug interactions. Adding phenoconversion assessment (CYP inhibition/induction shifting genotypic phenotype) is a natural extension of this skill.</w:t>
      </w:r>
    </w:p>
    <w:p>
      <w:pPr>
        <w:pStyle w:val="ListNumber"/>
      </w:pPr>
      <w:r>
        <w:t>Dosing algorithm application: Validated dosing algorithms (IWPC warfarin, CYP3A5-guided tacrolimus, DPYD-guided fluoropyrimidine, TPMT/NUDT15-guided thiopurine, CYP2C19 clopidogrel, SLCO1B1 simvastatin, CYP2D6/CYP2C19 SSRI, CYP2C9 phenytoin, CYP2D6 TCA) require pharmacokinetic expertise that pharmacists possess.</w:t>
      </w:r>
    </w:p>
    <w:p>
      <w:pPr>
        <w:pStyle w:val="ListNumber"/>
      </w:pPr>
      <w:r>
        <w:t>CDS alert management: Pharmacists manage CDS alert systems and can design PGx alerts that are clinically relevant without causing alert fatigue.</w:t>
      </w:r>
    </w:p>
    <w:p>
      <w:pPr>
        <w:pStyle w:val="ListNumber"/>
      </w:pPr>
      <w:r>
        <w:t>Patient education: Pharmacists are the most accessible healthcare providers and can explain PGx results to patients in understandable terms.</w:t>
      </w:r>
    </w:p>
    <w:p>
      <w:pPr>
        <w:pStyle w:val="ListNumber"/>
      </w:pPr>
      <w:r>
        <w:t>Interdisciplinary liaison: Pharmacists bridge the gap between laboratory science (genotyping), clinical medicine (prescribing), and informatics (CDS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