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240"/>
        <w:jc w:val="center"/>
      </w:pPr>
      <w:r>
        <w:rPr>
          <w:rFonts w:ascii="Calibri" w:hAnsi="Calibri"/>
          <w:b/>
          <w:color w:val="76B900"/>
          <w:sz w:val="56"/>
        </w:rPr>
        <w:t>Pharmacogenomics</w:t>
        <w:br/>
        <w:t>Intelligence Agent</w:t>
      </w:r>
    </w:p>
    <w:p>
      <w:pPr>
        <w:spacing w:after="400"/>
        <w:jc w:val="center"/>
      </w:pPr>
      <w:r>
        <w:rPr>
          <w:color w:val="76B900"/>
          <w:sz w:val="28"/>
        </w:rPr>
        <w:t>━━━━━━━━━━━━━━━━━━━━━━━━━━━━━━━━━━━━━━━━</w:t>
      </w:r>
    </w:p>
    <w:p>
      <w:pPr>
        <w:spacing w:after="600"/>
        <w:jc w:val="center"/>
      </w:pPr>
      <w:r>
        <w:rPr>
          <w:rFonts w:ascii="Calibri" w:hAnsi="Calibri"/>
          <w:color w:val="666666"/>
          <w:sz w:val="28"/>
        </w:rPr>
        <w:t>A Multi-Collection RAG Architecture for Clinical Pharmacogenomic Decision Support</w:t>
      </w:r>
    </w:p>
    <w:p>
      <w:pPr>
        <w:spacing w:after="40"/>
        <w:jc w:val="center"/>
      </w:pPr>
      <w:r>
        <w:rPr>
          <w:rFonts w:ascii="Calibri" w:hAnsi="Calibri"/>
          <w:color w:val="666666"/>
          <w:sz w:val="22"/>
        </w:rPr>
        <w:t>Author: Adam Jones</w:t>
      </w:r>
    </w:p>
    <w:p>
      <w:pPr>
        <w:spacing w:after="40"/>
        <w:jc w:val="center"/>
      </w:pPr>
      <w:r>
        <w:rPr>
          <w:rFonts w:ascii="Calibri" w:hAnsi="Calibri"/>
          <w:color w:val="666666"/>
          <w:sz w:val="22"/>
        </w:rPr>
        <w:t>Date: March 2026</w:t>
      </w:r>
    </w:p>
    <w:p>
      <w:pPr>
        <w:spacing w:after="40"/>
        <w:jc w:val="center"/>
      </w:pPr>
      <w:r>
        <w:rPr>
          <w:rFonts w:ascii="Calibri" w:hAnsi="Calibri"/>
          <w:color w:val="666666"/>
          <w:sz w:val="22"/>
        </w:rPr>
        <w:t>Version: 0.1.0 (Pre-Implementation)</w:t>
      </w:r>
    </w:p>
    <w:p>
      <w:pPr>
        <w:spacing w:after="40"/>
        <w:jc w:val="center"/>
      </w:pPr>
      <w:r>
        <w:rPr>
          <w:rFonts w:ascii="Calibri" w:hAnsi="Calibri"/>
          <w:color w:val="666666"/>
          <w:sz w:val="22"/>
        </w:rPr>
        <w:t>License: Apache 2.0</w:t>
      </w:r>
    </w:p>
    <w:p>
      <w:pPr>
        <w:spacing w:after="40"/>
        <w:jc w:val="center"/>
      </w:pPr>
      <w:r>
        <w:rPr>
          <w:rFonts w:ascii="Calibri" w:hAnsi="Calibri"/>
          <w:color w:val="666666"/>
          <w:sz w:val="22"/>
        </w:rPr>
      </w:r>
    </w:p>
    <w:p>
      <w:pPr>
        <w:spacing w:after="40"/>
        <w:jc w:val="center"/>
      </w:pPr>
      <w:r>
        <w:rPr>
          <w:rFonts w:ascii="Calibri" w:hAnsi="Calibri"/>
          <w:color w:val="666666"/>
          <w:sz w:val="22"/>
        </w:rPr>
        <w:t>Part of the HCLS AI Factory</w:t>
      </w:r>
    </w:p>
    <w:p>
      <w:pPr>
        <w:spacing w:after="40"/>
        <w:jc w:val="center"/>
      </w:pPr>
      <w:r>
        <w:rPr>
          <w:rFonts w:ascii="Calibri" w:hAnsi="Calibri"/>
          <w:color w:val="666666"/>
          <w:sz w:val="22"/>
        </w:rPr>
        <w:t>An end-to-end precision medicine platform</w:t>
      </w:r>
    </w:p>
    <w:p>
      <w:pPr>
        <w:spacing w:after="40"/>
        <w:jc w:val="center"/>
      </w:pPr>
      <w:r>
        <w:rPr>
          <w:rFonts w:ascii="Calibri" w:hAnsi="Calibri"/>
          <w:color w:val="666666"/>
          <w:sz w:val="22"/>
        </w:rPr>
        <w:t>https://github.com/ajones1923/hcls-ai-factory</w:t>
      </w:r>
    </w:p>
    <w:p>
      <w:r>
        <w:br w:type="page"/>
      </w:r>
    </w:p>
    <w:p>
      <w:pPr>
        <w:pStyle w:val="Heading2"/>
      </w:pPr>
      <w:r>
        <w:t>Abstract</w:t>
      </w:r>
    </w:p>
    <w:p>
      <w:r>
        <w:t>Adverse drug reactions (ADRs) are the fourth leading cause of death in the United States, responsible for approximately 106,000 deaths and 2.2 million hospitalizations annually, at a cost exceeding $136 billion per year. Yet an estimated 95-99% of patients carry at least one actionable pharmacogenomic (PGx) variant that would alter prescribing decisions -- and fewer than 1% of prescriptions in the U.S. are informed by genetic testing. This catastrophic gap between genomic knowledge and clinical practice persists because pharmacogenomic data is complex, rapidly evolving, fragmented across multiple guideline bodies (CPIC, DPWG, FDA, CPNDS), and difficult for non-specialist clinicians to interpret and act upon at the point of prescribing.</w:t>
      </w:r>
    </w:p>
    <w:p>
      <w:r>
        <w:t xml:space="preserve">This paper presents the architectural design, clinical rationale, and product requirements for the Pharmacogenomics Intelligence Agent -- a clinical decision support system built on multi-collection retrieval-augmented generation (RAG) that transforms raw genomic data from the HCLS AI Factory's genomics pipeline (VCF output) into actionable, patient-specific prescribing guidance for over 400 drug-gene interactions across 25+ pharmacogenes. The agent will unify 14 specialized Milvus vector collections spanning pharmacogene reference data (star allele definitions, diplotype-to-phenotype mappings, activity scores), clinical guideline knowledge (CPIC Level A/B guidelines, DPWG recommendations, FDA Table of Pharmacogenomic Biomarkers), drug interaction intelligence (PharmGKB annotations, drug-drug-gene interactions, phenoconversion modeling), HLA-mediated hypersensitivity screening (12 HLA-drug associations with absolute contraindications), population pharmacokinetics (ethnicity-adjusted allele frequencies, dosing nomograms), clinical evidence (published PGx implementation studies, outcomes data), and the shared genomic evidence collection (3.5 million variants) -- enabling queries like "What are the prescribing implications of this patient's CYP2D6 </w:t>
      </w:r>
      <w:r>
        <w:rPr>
          <w:i/>
        </w:rPr>
        <w:t>4/</w:t>
      </w:r>
      <w:r>
        <w:t>41 genotype for their current medication list?" or "Does this patient carry any HLA alleles that contraindicate specific drugs before surgery?"</w:t>
      </w:r>
    </w:p>
    <w:p>
      <w:r>
        <w:t>The system extends the proven multi-collection RAG architecture established by six existing intelligence agents in the HCLS AI Factory (Precision Biomarker, Precision Oncology, CAR-T, Imaging, Autoimmune, and Cardiology), adapting it with a genomic variant-to-drug mapping pipeline capable of processing whole-genome VCF files, star allele calling for CYP450 enzymes and transporters, diplotype-to-phenotype translation using CPIC standardized terms, multi-gene interaction modeling (e.g., CYP2C9 + VKORC1 for warfarin), phenoconversion detection (drug-induced CYP inhibition altering metabolizer status), HLA typing from NGS data for hypersensitivity screening, and real-time medication list cross-referencing against the patient's complete PGx profile. Eight reference clinical workflows will cover the highest-impact prescribing scenarios: pre-emptive PGx panel interpretation, opioid prescribing safety (CYP2D6/codeine/tramadol), anticoagulant optimization (CYP2C9/VKORC1/warfarin), antidepressant selection (CYP2D6/CYP2C19/SSRIs/TCAs), statin myopathy risk (SLCO1B1), chemotherapy toxicity prevention (DPYD/5-FU, TPMT/NUDT15/thiopurines), HLA-mediated hypersensitivity screening (abacavir/carbamazepine/allopurinol), and polypharmacy drug-drug-gene interaction resolution.</w:t>
      </w:r>
    </w:p>
    <w:p>
      <w:r>
        <w:t>The agent will deploy on a single NVIDIA DGX Spark ($3,999) using BGE-small-en-v1.5 embeddings (384-dimensional, IVF_FLAT, COSINE), Claude Sonnet 4.6 for evidence synthesis, and shared NVIDIA NIM microservices for on-device inference. Licensed under Apache 2.0, the platform will democratize access to pharmacogenomic intelligence that currently requires multi-million-dollar institutional PGx implementation programs -- bringing the prescribing safety of world-class pharmacogenomics centers to any clinic, pharmacy, or emergency department worldwide.</w:t>
      </w:r>
    </w:p>
    <w:p>
      <w:pPr>
        <w:spacing w:before="160" w:after="160"/>
        <w:jc w:val="center"/>
      </w:pPr>
      <w:r>
        <w:rPr>
          <w:color w:val="76B900"/>
          <w:sz w:val="16"/>
        </w:rPr>
        <w:t>━━━━━━━━━━━━━━━━━━━━━━━━━━━━━━━━━━━━━━━━━━━━━━━━━━━━━━━━━━━━</w:t>
      </w:r>
    </w:p>
    <w:p>
      <w:pPr>
        <w:pStyle w:val="Heading2"/>
      </w:pPr>
      <w:r>
        <w:t>Table of Contents</w:t>
      </w:r>
    </w:p>
    <w:p>
      <w:pPr>
        <w:pStyle w:val="ListNumber"/>
        <w:spacing w:after="60"/>
      </w:pPr>
      <w:r>
        <w:rPr>
          <w:color w:val="0645AD"/>
          <w:u w:val="single"/>
        </w:rPr>
        <w:t>Introduction</w:t>
      </w:r>
    </w:p>
    <w:p>
      <w:pPr>
        <w:pStyle w:val="ListNumber"/>
        <w:spacing w:after="60"/>
      </w:pPr>
      <w:r>
        <w:rPr>
          <w:color w:val="0645AD"/>
          <w:u w:val="single"/>
        </w:rPr>
        <w:t>The Pharmacogenomic Implementation Gap</w:t>
      </w:r>
    </w:p>
    <w:p>
      <w:pPr>
        <w:pStyle w:val="ListNumber"/>
        <w:spacing w:after="60"/>
      </w:pPr>
      <w:r>
        <w:rPr>
          <w:color w:val="0645AD"/>
          <w:u w:val="single"/>
        </w:rPr>
        <w:t>Clinical Landscape and Market Analysis</w:t>
      </w:r>
    </w:p>
    <w:p>
      <w:pPr>
        <w:pStyle w:val="ListNumber"/>
        <w:spacing w:after="60"/>
      </w:pPr>
      <w:r>
        <w:rPr>
          <w:color w:val="0645AD"/>
          <w:u w:val="single"/>
        </w:rPr>
        <w:t>Existing HCLS AI Factory Architecture</w:t>
      </w:r>
    </w:p>
    <w:p>
      <w:pPr>
        <w:pStyle w:val="ListNumber"/>
        <w:spacing w:after="60"/>
      </w:pPr>
      <w:r>
        <w:rPr>
          <w:color w:val="0645AD"/>
          <w:u w:val="single"/>
        </w:rPr>
        <w:t>Pharmacogenomics Agent Architecture</w:t>
      </w:r>
    </w:p>
    <w:p>
      <w:pPr>
        <w:pStyle w:val="ListNumber"/>
        <w:spacing w:after="60"/>
      </w:pPr>
      <w:r>
        <w:rPr>
          <w:color w:val="0645AD"/>
          <w:u w:val="single"/>
        </w:rPr>
        <w:t>Genomic Variant-to-Drug Mapping Pipeline</w:t>
      </w:r>
    </w:p>
    <w:p>
      <w:pPr>
        <w:pStyle w:val="ListNumber"/>
        <w:spacing w:after="60"/>
      </w:pPr>
      <w:r>
        <w:rPr>
          <w:color w:val="0645AD"/>
          <w:u w:val="single"/>
        </w:rPr>
        <w:t>Milvus Collection Design</w:t>
      </w:r>
    </w:p>
    <w:p>
      <w:pPr>
        <w:pStyle w:val="ListNumber"/>
        <w:spacing w:after="60"/>
      </w:pPr>
      <w:r>
        <w:rPr>
          <w:color w:val="0645AD"/>
          <w:u w:val="single"/>
        </w:rPr>
        <w:t>Clinical Workflows</w:t>
      </w:r>
    </w:p>
    <w:p>
      <w:pPr>
        <w:pStyle w:val="ListNumber"/>
        <w:spacing w:after="60"/>
      </w:pPr>
      <w:r>
        <w:rPr>
          <w:color w:val="0645AD"/>
          <w:u w:val="single"/>
        </w:rPr>
        <w:t>Cross-Modal Integration and Genomic Correlation</w:t>
      </w:r>
    </w:p>
    <w:p>
      <w:pPr>
        <w:pStyle w:val="ListNumber"/>
        <w:spacing w:after="60"/>
      </w:pPr>
      <w:r>
        <w:rPr>
          <w:color w:val="0645AD"/>
          <w:u w:val="single"/>
        </w:rPr>
        <w:t>NIM Integration Strategy</w:t>
      </w:r>
    </w:p>
    <w:p>
      <w:pPr>
        <w:pStyle w:val="ListNumber"/>
        <w:spacing w:after="60"/>
      </w:pPr>
      <w:r>
        <w:rPr>
          <w:color w:val="0645AD"/>
          <w:u w:val="single"/>
        </w:rPr>
        <w:t>Knowledge Graph Design</w:t>
      </w:r>
    </w:p>
    <w:p>
      <w:pPr>
        <w:pStyle w:val="ListNumber"/>
        <w:spacing w:after="60"/>
      </w:pPr>
      <w:r>
        <w:rPr>
          <w:color w:val="0645AD"/>
          <w:u w:val="single"/>
        </w:rPr>
        <w:t>Query Expansion and Retrieval Strategy</w:t>
      </w:r>
    </w:p>
    <w:p>
      <w:pPr>
        <w:pStyle w:val="ListNumber"/>
        <w:spacing w:after="60"/>
      </w:pPr>
      <w:r>
        <w:rPr>
          <w:color w:val="0645AD"/>
          <w:u w:val="single"/>
        </w:rPr>
        <w:t>API and UI Design</w:t>
      </w:r>
    </w:p>
    <w:p>
      <w:pPr>
        <w:pStyle w:val="ListNumber"/>
        <w:spacing w:after="60"/>
      </w:pPr>
      <w:r>
        <w:rPr>
          <w:color w:val="0645AD"/>
          <w:u w:val="single"/>
        </w:rPr>
        <w:t>Clinical Decision Support Engines</w:t>
      </w:r>
    </w:p>
    <w:p>
      <w:pPr>
        <w:pStyle w:val="ListNumber"/>
        <w:spacing w:after="60"/>
      </w:pPr>
      <w:r>
        <w:rPr>
          <w:color w:val="0645AD"/>
          <w:u w:val="single"/>
        </w:rPr>
        <w:t>Reporting and Interoperability</w:t>
      </w:r>
    </w:p>
    <w:p>
      <w:pPr>
        <w:pStyle w:val="ListNumber"/>
        <w:spacing w:after="60"/>
      </w:pPr>
      <w:r>
        <w:rPr>
          <w:color w:val="0645AD"/>
          <w:u w:val="single"/>
        </w:rPr>
        <w:t>Product Requirements Document</w:t>
      </w:r>
    </w:p>
    <w:p>
      <w:pPr>
        <w:pStyle w:val="ListNumber"/>
        <w:spacing w:after="60"/>
      </w:pPr>
      <w:r>
        <w:rPr>
          <w:color w:val="0645AD"/>
          <w:u w:val="single"/>
        </w:rPr>
        <w:t>Data Acquisition Strategy</w:t>
      </w:r>
    </w:p>
    <w:p>
      <w:pPr>
        <w:pStyle w:val="ListNumber"/>
        <w:spacing w:after="60"/>
      </w:pPr>
      <w:r>
        <w:rPr>
          <w:color w:val="0645AD"/>
          <w:u w:val="single"/>
        </w:rPr>
        <w:t>Validation and Testing Strategy</w:t>
      </w:r>
    </w:p>
    <w:p>
      <w:pPr>
        <w:pStyle w:val="ListNumber"/>
        <w:spacing w:after="60"/>
      </w:pPr>
      <w:r>
        <w:rPr>
          <w:color w:val="0645AD"/>
          <w:u w:val="single"/>
        </w:rPr>
        <w:t>Regulatory Considerations</w:t>
      </w:r>
    </w:p>
    <w:p>
      <w:pPr>
        <w:pStyle w:val="ListNumber"/>
        <w:spacing w:after="60"/>
      </w:pPr>
      <w:r>
        <w:rPr>
          <w:color w:val="0645AD"/>
          <w:u w:val="single"/>
        </w:rPr>
        <w:t>DGX Compute Progression</w:t>
      </w:r>
    </w:p>
    <w:p>
      <w:pPr>
        <w:pStyle w:val="ListNumber"/>
        <w:spacing w:after="60"/>
      </w:pPr>
      <w:r>
        <w:rPr>
          <w:color w:val="0645AD"/>
          <w:u w:val="single"/>
        </w:rPr>
        <w:t>Implementation Roadmap</w:t>
      </w:r>
    </w:p>
    <w:p>
      <w:pPr>
        <w:pStyle w:val="ListNumber"/>
        <w:spacing w:after="60"/>
      </w:pPr>
      <w:r>
        <w:rPr>
          <w:color w:val="0645AD"/>
          <w:u w:val="single"/>
        </w:rPr>
        <w:t>Risk Analysis</w:t>
      </w:r>
    </w:p>
    <w:p>
      <w:pPr>
        <w:pStyle w:val="ListNumber"/>
        <w:spacing w:after="60"/>
      </w:pPr>
      <w:r>
        <w:rPr>
          <w:color w:val="0645AD"/>
          <w:u w:val="single"/>
        </w:rPr>
        <w:t>Competitive Landscape</w:t>
      </w:r>
    </w:p>
    <w:p>
      <w:pPr>
        <w:pStyle w:val="ListNumber"/>
        <w:spacing w:after="60"/>
      </w:pPr>
      <w:r>
        <w:rPr>
          <w:color w:val="0645AD"/>
          <w:u w:val="single"/>
        </w:rPr>
        <w:t>Discussion</w:t>
      </w:r>
    </w:p>
    <w:p>
      <w:pPr>
        <w:pStyle w:val="ListNumber"/>
        <w:spacing w:after="60"/>
      </w:pPr>
      <w:r>
        <w:rPr>
          <w:color w:val="0645AD"/>
          <w:u w:val="single"/>
        </w:rPr>
        <w:t>Conclusion</w:t>
      </w:r>
    </w:p>
    <w:p>
      <w:pPr>
        <w:pStyle w:val="ListNumber"/>
        <w:spacing w:after="60"/>
      </w:pPr>
      <w:r>
        <w:rPr>
          <w:color w:val="0645AD"/>
          <w:u w:val="single"/>
        </w:rPr>
        <w:t>References</w:t>
      </w:r>
    </w:p>
    <w:p>
      <w:pPr>
        <w:spacing w:before="160" w:after="160"/>
        <w:jc w:val="center"/>
      </w:pPr>
      <w:r>
        <w:rPr>
          <w:color w:val="76B900"/>
          <w:sz w:val="16"/>
        </w:rPr>
        <w:t>━━━━━━━━━━━━━━━━━━━━━━━━━━━━━━━━━━━━━━━━━━━━━━━━━━━━━━━━━━━━</w:t>
      </w:r>
    </w:p>
    <w:p>
      <w:r>
        <w:br w:type="page"/>
      </w:r>
    </w:p>
    <w:p>
      <w:pPr>
        <w:pStyle w:val="Heading2"/>
      </w:pPr>
      <w:r>
        <w:t>1. Introduction</w:t>
      </w:r>
    </w:p>
    <w:p>
      <w:pPr>
        <w:pStyle w:val="Heading3"/>
      </w:pPr>
      <w:r>
        <w:t>1.1 The Adverse Drug Reaction Crisis</w:t>
      </w:r>
    </w:p>
    <w:p>
      <w:r>
        <w:t>Adverse drug reactions represent one of the most significant -- and most preventable -- causes of morbidity and mortality in modern medicine. The scope of the problem is staggering:</w:t>
      </w:r>
    </w:p>
    <w:p>
      <w:pPr>
        <w:pStyle w:val="ListBullet"/>
        <w:spacing w:after="60"/>
      </w:pPr>
      <w:r>
        <w:rPr>
          <w:b/>
        </w:rPr>
        <w:t>Deaths:</w:t>
      </w:r>
      <w:r>
        <w:t xml:space="preserve"> 106,000 Americans die annually from ADRs, making them the 4th leading cause of death (Lazarou et al., JAMA)</w:t>
      </w:r>
    </w:p>
    <w:p>
      <w:pPr>
        <w:pStyle w:val="ListBullet"/>
        <w:spacing w:after="60"/>
      </w:pPr>
      <w:r>
        <w:rPr>
          <w:b/>
        </w:rPr>
        <w:t>Hospitalizations:</w:t>
      </w:r>
      <w:r>
        <w:t xml:space="preserve"> 2.2 million ADR-related hospitalizations per year in the U.S. alone</w:t>
      </w:r>
    </w:p>
    <w:p>
      <w:pPr>
        <w:pStyle w:val="ListBullet"/>
        <w:spacing w:after="60"/>
      </w:pPr>
      <w:r>
        <w:rPr>
          <w:b/>
        </w:rPr>
        <w:t>Cost:</w:t>
      </w:r>
      <w:r>
        <w:t xml:space="preserve"> $136 billion annually in direct healthcare costs (more than cardiovascular disease or diabetes management)</w:t>
      </w:r>
    </w:p>
    <w:p>
      <w:pPr>
        <w:pStyle w:val="ListBullet"/>
        <w:spacing w:after="60"/>
      </w:pPr>
      <w:r>
        <w:rPr>
          <w:b/>
        </w:rPr>
        <w:t>Emergency visits:</w:t>
      </w:r>
      <w:r>
        <w:t xml:space="preserve"> ADRs account for 27% of all emergency department drug-related visits</w:t>
      </w:r>
    </w:p>
    <w:p>
      <w:pPr>
        <w:pStyle w:val="ListBullet"/>
        <w:spacing w:after="60"/>
      </w:pPr>
      <w:r>
        <w:rPr>
          <w:b/>
        </w:rPr>
        <w:t>ICU admissions:</w:t>
      </w:r>
      <w:r>
        <w:t xml:space="preserve"> 10-20% of ICU admissions are ADR-related</w:t>
      </w:r>
    </w:p>
    <w:p>
      <w:pPr>
        <w:pStyle w:val="ListBullet"/>
        <w:spacing w:after="60"/>
      </w:pPr>
      <w:r>
        <w:rPr>
          <w:b/>
        </w:rPr>
        <w:t>Global impact:</w:t>
      </w:r>
      <w:r>
        <w:t xml:space="preserve"> The WHO estimates ADRs cause 197,000 deaths annually in the European Union</w:t>
      </w:r>
    </w:p>
    <w:p>
      <w:r>
        <w:t>What makes this crisis particularly tragic is that a substantial proportion of ADRs are genetically predictable. Pharmacogenomic variants -- inherited differences in genes encoding drug-metabolizing enzymes, transporters, receptors, and immune molecules -- directly influence how individuals respond to medications. A patient who is a CYP2D6 poor metabolizer cannot activate codeine into morphine and will receive no pain relief. A patient who is a CYP2D6 ultra-rapid metabolizer will convert codeine too quickly, potentially causing fatal respiratory depression. A patient carrying HLA-B</w:t>
      </w:r>
      <w:r>
        <w:t>*</w:t>
      </w:r>
      <w:r>
        <w:t>57:01 who receives abacavir will develop a life-threatening hypersensitivity reaction in approximately 50% of cases. These are not rare edge cases -- they are common genetic variants present in significant proportions of the population.</w:t>
      </w:r>
    </w:p>
    <w:p>
      <w:pPr>
        <w:pStyle w:val="Heading3"/>
      </w:pPr>
      <w:r>
        <w:t>1.2 The Promise of Pharmacogenomics</w:t>
      </w:r>
    </w:p>
    <w:p>
      <w:r>
        <w:t>Pharmacogenomics -- the study of how genetic variation affects drug response -- has been one of the most successful translational applications of the Human Genome Project. Over the past two decades, the field has produced:</w:t>
      </w:r>
    </w:p>
    <w:p>
      <w:pPr>
        <w:pStyle w:val="ListBullet"/>
        <w:spacing w:after="60"/>
      </w:pPr>
      <w:r>
        <w:rPr>
          <w:b/>
        </w:rPr>
        <w:t>CPIC guidelines:</w:t>
      </w:r>
      <w:r>
        <w:t xml:space="preserve"> 27 gene-drug guidelines covering 80+ drug-gene pairs with actionable prescribing recommendations, graded by evidence strength (Level A = strong evidence, Level B = moderate evidence)</w:t>
      </w:r>
    </w:p>
    <w:p>
      <w:pPr>
        <w:pStyle w:val="ListBullet"/>
        <w:spacing w:after="60"/>
      </w:pPr>
      <w:r>
        <w:rPr>
          <w:b/>
        </w:rPr>
        <w:t>FDA labeling:</w:t>
      </w:r>
      <w:r>
        <w:t xml:space="preserve"> 450+ drugs carry pharmacogenomic information in their FDA-approved labeling, including 80+ with boxed warnings or contraindications based on genetic status</w:t>
      </w:r>
    </w:p>
    <w:p>
      <w:pPr>
        <w:pStyle w:val="ListBullet"/>
        <w:spacing w:after="60"/>
      </w:pPr>
      <w:r>
        <w:rPr>
          <w:b/>
        </w:rPr>
        <w:t>PharmGKB:</w:t>
      </w:r>
      <w:r>
        <w:t xml:space="preserve"> Over 780 clinical annotations, 180 drug label annotations, 150 clinical guideline annotations, and 700+ variant annotations</w:t>
      </w:r>
    </w:p>
    <w:p>
      <w:pPr>
        <w:pStyle w:val="ListBullet"/>
        <w:spacing w:after="60"/>
      </w:pPr>
      <w:r>
        <w:rPr>
          <w:b/>
        </w:rPr>
        <w:t>DPWG (Dutch Pharmacogenetics Working Group):</w:t>
      </w:r>
      <w:r>
        <w:t xml:space="preserve"> 120+ gene-drug therapeutic recommendations used across European healthcare systems</w:t>
      </w:r>
    </w:p>
    <w:p>
      <w:pPr>
        <w:pStyle w:val="ListBullet"/>
        <w:spacing w:after="60"/>
      </w:pPr>
      <w:r>
        <w:rPr>
          <w:b/>
        </w:rPr>
        <w:t>Economic evidence:</w:t>
      </w:r>
      <w:r>
        <w:t xml:space="preserve"> Multiple studies demonstrate cost-effectiveness of PGx testing, with return on investment (ROI) of $4-$13 per $1 invested across various healthcare systems</w:t>
      </w:r>
    </w:p>
    <w:p>
      <w:r>
        <w:t>The clinical genes with the strongest evidence include: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Gene</w:t>
            </w:r>
          </w:p>
        </w:tc>
        <w:tc>
          <w:tcPr>
            <w:tcW w:type="dxa" w:w="2340"/>
            <w:shd w:fill="1A1A2E"/>
          </w:tcPr>
          <w:p>
            <w:pPr>
              <w:spacing w:after="40" w:before="40"/>
            </w:pPr>
            <w:r/>
            <w:r>
              <w:rPr>
                <w:rFonts w:ascii="Calibri" w:hAnsi="Calibri"/>
                <w:b/>
                <w:color w:val="FFFFFF"/>
                <w:sz w:val="20"/>
              </w:rPr>
              <w:t>Function</w:t>
            </w:r>
          </w:p>
        </w:tc>
        <w:tc>
          <w:tcPr>
            <w:tcW w:type="dxa" w:w="2340"/>
            <w:shd w:fill="1A1A2E"/>
          </w:tcPr>
          <w:p>
            <w:pPr>
              <w:spacing w:after="40" w:before="40"/>
            </w:pPr>
            <w:r/>
            <w:r>
              <w:rPr>
                <w:rFonts w:ascii="Calibri" w:hAnsi="Calibri"/>
                <w:b/>
                <w:color w:val="FFFFFF"/>
                <w:sz w:val="20"/>
              </w:rPr>
              <w:t>Key Drugs Affected</w:t>
            </w:r>
          </w:p>
        </w:tc>
        <w:tc>
          <w:tcPr>
            <w:tcW w:type="dxa" w:w="2340"/>
            <w:shd w:fill="1A1A2E"/>
          </w:tcPr>
          <w:p>
            <w:pPr>
              <w:spacing w:after="40" w:before="40"/>
            </w:pPr>
            <w:r/>
            <w:r>
              <w:rPr>
                <w:rFonts w:ascii="Calibri" w:hAnsi="Calibri"/>
                <w:b/>
                <w:color w:val="FFFFFF"/>
                <w:sz w:val="20"/>
              </w:rPr>
              <w:t>Population Impact</w:t>
            </w:r>
          </w:p>
        </w:tc>
      </w:tr>
      <w:tr>
        <w:tc>
          <w:tcPr>
            <w:tcW w:type="dxa" w:w="2340"/>
          </w:tcPr>
          <w:p>
            <w:pPr>
              <w:spacing w:after="40" w:before="40"/>
            </w:pPr>
            <w:r>
              <w:rPr>
                <w:rFonts w:ascii="Calibri" w:hAnsi="Calibri"/>
                <w:sz w:val="19"/>
              </w:rPr>
            </w:r>
            <w:r>
              <w:rPr>
                <w:rFonts w:ascii="Calibri" w:hAnsi="Calibri"/>
                <w:sz w:val="19"/>
              </w:rPr>
              <w:t>CYP2D6</w:t>
            </w:r>
          </w:p>
        </w:tc>
        <w:tc>
          <w:tcPr>
            <w:tcW w:type="dxa" w:w="2340"/>
          </w:tcPr>
          <w:p>
            <w:pPr>
              <w:spacing w:after="40" w:before="40"/>
            </w:pPr>
            <w:r>
              <w:rPr>
                <w:rFonts w:ascii="Calibri" w:hAnsi="Calibri"/>
                <w:sz w:val="19"/>
              </w:rPr>
            </w:r>
            <w:r>
              <w:rPr>
                <w:rFonts w:ascii="Calibri" w:hAnsi="Calibri"/>
                <w:sz w:val="19"/>
              </w:rPr>
              <w:t>Phase I metabolism</w:t>
            </w:r>
          </w:p>
        </w:tc>
        <w:tc>
          <w:tcPr>
            <w:tcW w:type="dxa" w:w="2340"/>
          </w:tcPr>
          <w:p>
            <w:pPr>
              <w:spacing w:after="40" w:before="40"/>
            </w:pPr>
            <w:r>
              <w:rPr>
                <w:rFonts w:ascii="Calibri" w:hAnsi="Calibri"/>
                <w:sz w:val="19"/>
              </w:rPr>
            </w:r>
            <w:r>
              <w:rPr>
                <w:rFonts w:ascii="Calibri" w:hAnsi="Calibri"/>
                <w:sz w:val="19"/>
              </w:rPr>
              <w:t>Codeine, tramadol, tamoxifen, SSRIs, TCAs, antipsychotics</w:t>
            </w:r>
          </w:p>
        </w:tc>
        <w:tc>
          <w:tcPr>
            <w:tcW w:type="dxa" w:w="2340"/>
          </w:tcPr>
          <w:p>
            <w:pPr>
              <w:spacing w:after="40" w:before="40"/>
            </w:pPr>
            <w:r>
              <w:rPr>
                <w:rFonts w:ascii="Calibri" w:hAnsi="Calibri"/>
                <w:sz w:val="19"/>
              </w:rPr>
            </w:r>
            <w:r>
              <w:rPr>
                <w:rFonts w:ascii="Calibri" w:hAnsi="Calibri"/>
                <w:sz w:val="19"/>
              </w:rPr>
              <w:t>~7% poor metabolizers, ~5% ultra-rapid</w:t>
            </w:r>
          </w:p>
        </w:tc>
      </w:tr>
      <w:tr>
        <w:tc>
          <w:tcPr>
            <w:tcW w:type="dxa" w:w="2340"/>
            <w:shd w:fill="F5F5F5"/>
          </w:tcPr>
          <w:p>
            <w:pPr>
              <w:spacing w:after="40" w:before="40"/>
            </w:pPr>
            <w:r>
              <w:rPr>
                <w:rFonts w:ascii="Calibri" w:hAnsi="Calibri"/>
                <w:sz w:val="19"/>
              </w:rPr>
            </w:r>
            <w:r>
              <w:rPr>
                <w:rFonts w:ascii="Calibri" w:hAnsi="Calibri"/>
                <w:sz w:val="19"/>
              </w:rPr>
              <w:t>CYP2C19</w:t>
            </w:r>
          </w:p>
        </w:tc>
        <w:tc>
          <w:tcPr>
            <w:tcW w:type="dxa" w:w="2340"/>
            <w:shd w:fill="F5F5F5"/>
          </w:tcPr>
          <w:p>
            <w:pPr>
              <w:spacing w:after="40" w:before="40"/>
            </w:pPr>
            <w:r>
              <w:rPr>
                <w:rFonts w:ascii="Calibri" w:hAnsi="Calibri"/>
                <w:sz w:val="19"/>
              </w:rPr>
            </w:r>
            <w:r>
              <w:rPr>
                <w:rFonts w:ascii="Calibri" w:hAnsi="Calibri"/>
                <w:sz w:val="19"/>
              </w:rPr>
              <w:t>Phase I metabolism</w:t>
            </w:r>
          </w:p>
        </w:tc>
        <w:tc>
          <w:tcPr>
            <w:tcW w:type="dxa" w:w="2340"/>
            <w:shd w:fill="F5F5F5"/>
          </w:tcPr>
          <w:p>
            <w:pPr>
              <w:spacing w:after="40" w:before="40"/>
            </w:pPr>
            <w:r>
              <w:rPr>
                <w:rFonts w:ascii="Calibri" w:hAnsi="Calibri"/>
                <w:sz w:val="19"/>
              </w:rPr>
            </w:r>
            <w:r>
              <w:rPr>
                <w:rFonts w:ascii="Calibri" w:hAnsi="Calibri"/>
                <w:sz w:val="19"/>
              </w:rPr>
              <w:t>Clopidogrel, PPIs, SSRIs, voriconazole</w:t>
            </w:r>
          </w:p>
        </w:tc>
        <w:tc>
          <w:tcPr>
            <w:tcW w:type="dxa" w:w="2340"/>
            <w:shd w:fill="F5F5F5"/>
          </w:tcPr>
          <w:p>
            <w:pPr>
              <w:spacing w:after="40" w:before="40"/>
            </w:pPr>
            <w:r>
              <w:rPr>
                <w:rFonts w:ascii="Calibri" w:hAnsi="Calibri"/>
                <w:sz w:val="19"/>
              </w:rPr>
            </w:r>
            <w:r>
              <w:rPr>
                <w:rFonts w:ascii="Calibri" w:hAnsi="Calibri"/>
                <w:sz w:val="19"/>
              </w:rPr>
              <w:t>~2-15% poor metabolizers (varies by ethnicity)</w:t>
            </w:r>
          </w:p>
        </w:tc>
      </w:tr>
      <w:tr>
        <w:tc>
          <w:tcPr>
            <w:tcW w:type="dxa" w:w="2340"/>
          </w:tcPr>
          <w:p>
            <w:pPr>
              <w:spacing w:after="40" w:before="40"/>
            </w:pPr>
            <w:r>
              <w:rPr>
                <w:rFonts w:ascii="Calibri" w:hAnsi="Calibri"/>
                <w:sz w:val="19"/>
              </w:rPr>
            </w:r>
            <w:r>
              <w:rPr>
                <w:rFonts w:ascii="Calibri" w:hAnsi="Calibri"/>
                <w:sz w:val="19"/>
              </w:rPr>
              <w:t>CYP2C9</w:t>
            </w:r>
          </w:p>
        </w:tc>
        <w:tc>
          <w:tcPr>
            <w:tcW w:type="dxa" w:w="2340"/>
          </w:tcPr>
          <w:p>
            <w:pPr>
              <w:spacing w:after="40" w:before="40"/>
            </w:pPr>
            <w:r>
              <w:rPr>
                <w:rFonts w:ascii="Calibri" w:hAnsi="Calibri"/>
                <w:sz w:val="19"/>
              </w:rPr>
            </w:r>
            <w:r>
              <w:rPr>
                <w:rFonts w:ascii="Calibri" w:hAnsi="Calibri"/>
                <w:sz w:val="19"/>
              </w:rPr>
              <w:t>Phase I metabolism</w:t>
            </w:r>
          </w:p>
        </w:tc>
        <w:tc>
          <w:tcPr>
            <w:tcW w:type="dxa" w:w="2340"/>
          </w:tcPr>
          <w:p>
            <w:pPr>
              <w:spacing w:after="40" w:before="40"/>
            </w:pPr>
            <w:r>
              <w:rPr>
                <w:rFonts w:ascii="Calibri" w:hAnsi="Calibri"/>
                <w:sz w:val="19"/>
              </w:rPr>
            </w:r>
            <w:r>
              <w:rPr>
                <w:rFonts w:ascii="Calibri" w:hAnsi="Calibri"/>
                <w:sz w:val="19"/>
              </w:rPr>
              <w:t>Warfarin, phenytoin, NSAIDs</w:t>
            </w:r>
          </w:p>
        </w:tc>
        <w:tc>
          <w:tcPr>
            <w:tcW w:type="dxa" w:w="2340"/>
          </w:tcPr>
          <w:p>
            <w:pPr>
              <w:spacing w:after="40" w:before="40"/>
            </w:pPr>
            <w:r>
              <w:rPr>
                <w:rFonts w:ascii="Calibri" w:hAnsi="Calibri"/>
                <w:sz w:val="19"/>
              </w:rPr>
            </w:r>
            <w:r>
              <w:rPr>
                <w:rFonts w:ascii="Calibri" w:hAnsi="Calibri"/>
                <w:sz w:val="19"/>
              </w:rPr>
              <w:t>~1-3% poor metabolizers</w:t>
            </w:r>
          </w:p>
        </w:tc>
      </w:tr>
      <w:tr>
        <w:tc>
          <w:tcPr>
            <w:tcW w:type="dxa" w:w="2340"/>
            <w:shd w:fill="F5F5F5"/>
          </w:tcPr>
          <w:p>
            <w:pPr>
              <w:spacing w:after="40" w:before="40"/>
            </w:pPr>
            <w:r>
              <w:rPr>
                <w:rFonts w:ascii="Calibri" w:hAnsi="Calibri"/>
                <w:sz w:val="19"/>
              </w:rPr>
            </w:r>
            <w:r>
              <w:rPr>
                <w:rFonts w:ascii="Calibri" w:hAnsi="Calibri"/>
                <w:sz w:val="19"/>
              </w:rPr>
              <w:t>VKORC1</w:t>
            </w:r>
          </w:p>
        </w:tc>
        <w:tc>
          <w:tcPr>
            <w:tcW w:type="dxa" w:w="2340"/>
            <w:shd w:fill="F5F5F5"/>
          </w:tcPr>
          <w:p>
            <w:pPr>
              <w:spacing w:after="40" w:before="40"/>
            </w:pPr>
            <w:r>
              <w:rPr>
                <w:rFonts w:ascii="Calibri" w:hAnsi="Calibri"/>
                <w:sz w:val="19"/>
              </w:rPr>
            </w:r>
            <w:r>
              <w:rPr>
                <w:rFonts w:ascii="Calibri" w:hAnsi="Calibri"/>
                <w:sz w:val="19"/>
              </w:rPr>
              <w:t>Warfarin target</w:t>
            </w:r>
          </w:p>
        </w:tc>
        <w:tc>
          <w:tcPr>
            <w:tcW w:type="dxa" w:w="2340"/>
            <w:shd w:fill="F5F5F5"/>
          </w:tcPr>
          <w:p>
            <w:pPr>
              <w:spacing w:after="40" w:before="40"/>
            </w:pPr>
            <w:r>
              <w:rPr>
                <w:rFonts w:ascii="Calibri" w:hAnsi="Calibri"/>
                <w:sz w:val="19"/>
              </w:rPr>
            </w:r>
            <w:r>
              <w:rPr>
                <w:rFonts w:ascii="Calibri" w:hAnsi="Calibri"/>
                <w:sz w:val="19"/>
              </w:rPr>
              <w:t>Warfarin</w:t>
            </w:r>
          </w:p>
        </w:tc>
        <w:tc>
          <w:tcPr>
            <w:tcW w:type="dxa" w:w="2340"/>
            <w:shd w:fill="F5F5F5"/>
          </w:tcPr>
          <w:p>
            <w:pPr>
              <w:spacing w:after="40" w:before="40"/>
            </w:pPr>
            <w:r>
              <w:rPr>
                <w:rFonts w:ascii="Calibri" w:hAnsi="Calibri"/>
                <w:sz w:val="19"/>
              </w:rPr>
            </w:r>
            <w:r>
              <w:rPr>
                <w:rFonts w:ascii="Calibri" w:hAnsi="Calibri"/>
                <w:sz w:val="19"/>
              </w:rPr>
              <w:t>~37% carry dose-reduction variant</w:t>
            </w:r>
          </w:p>
        </w:tc>
      </w:tr>
      <w:tr>
        <w:tc>
          <w:tcPr>
            <w:tcW w:type="dxa" w:w="2340"/>
          </w:tcPr>
          <w:p>
            <w:pPr>
              <w:spacing w:after="40" w:before="40"/>
            </w:pPr>
            <w:r>
              <w:rPr>
                <w:rFonts w:ascii="Calibri" w:hAnsi="Calibri"/>
                <w:sz w:val="19"/>
              </w:rPr>
            </w:r>
            <w:r>
              <w:rPr>
                <w:rFonts w:ascii="Calibri" w:hAnsi="Calibri"/>
                <w:sz w:val="19"/>
              </w:rPr>
              <w:t>SLCO1B1</w:t>
            </w:r>
          </w:p>
        </w:tc>
        <w:tc>
          <w:tcPr>
            <w:tcW w:type="dxa" w:w="2340"/>
          </w:tcPr>
          <w:p>
            <w:pPr>
              <w:spacing w:after="40" w:before="40"/>
            </w:pPr>
            <w:r>
              <w:rPr>
                <w:rFonts w:ascii="Calibri" w:hAnsi="Calibri"/>
                <w:sz w:val="19"/>
              </w:rPr>
            </w:r>
            <w:r>
              <w:rPr>
                <w:rFonts w:ascii="Calibri" w:hAnsi="Calibri"/>
                <w:sz w:val="19"/>
              </w:rPr>
              <w:t>Hepatic transporter</w:t>
            </w:r>
          </w:p>
        </w:tc>
        <w:tc>
          <w:tcPr>
            <w:tcW w:type="dxa" w:w="2340"/>
          </w:tcPr>
          <w:p>
            <w:pPr>
              <w:spacing w:after="40" w:before="40"/>
            </w:pPr>
            <w:r>
              <w:rPr>
                <w:rFonts w:ascii="Calibri" w:hAnsi="Calibri"/>
                <w:sz w:val="19"/>
              </w:rPr>
            </w:r>
            <w:r>
              <w:rPr>
                <w:rFonts w:ascii="Calibri" w:hAnsi="Calibri"/>
                <w:sz w:val="19"/>
              </w:rPr>
              <w:t>Statins (simvastatin, atorvastatin)</w:t>
            </w:r>
          </w:p>
        </w:tc>
        <w:tc>
          <w:tcPr>
            <w:tcW w:type="dxa" w:w="2340"/>
          </w:tcPr>
          <w:p>
            <w:pPr>
              <w:spacing w:after="40" w:before="40"/>
            </w:pPr>
            <w:r>
              <w:rPr>
                <w:rFonts w:ascii="Calibri" w:hAnsi="Calibri"/>
                <w:sz w:val="19"/>
              </w:rPr>
            </w:r>
            <w:r>
              <w:rPr>
                <w:rFonts w:ascii="Calibri" w:hAnsi="Calibri"/>
                <w:sz w:val="19"/>
              </w:rPr>
              <w:t>~15% carry myopathy risk variant</w:t>
            </w:r>
          </w:p>
        </w:tc>
      </w:tr>
      <w:tr>
        <w:tc>
          <w:tcPr>
            <w:tcW w:type="dxa" w:w="2340"/>
            <w:shd w:fill="F5F5F5"/>
          </w:tcPr>
          <w:p>
            <w:pPr>
              <w:spacing w:after="40" w:before="40"/>
            </w:pPr>
            <w:r>
              <w:rPr>
                <w:rFonts w:ascii="Calibri" w:hAnsi="Calibri"/>
                <w:sz w:val="19"/>
              </w:rPr>
            </w:r>
            <w:r>
              <w:rPr>
                <w:rFonts w:ascii="Calibri" w:hAnsi="Calibri"/>
                <w:sz w:val="19"/>
              </w:rPr>
              <w:t>DPYD</w:t>
            </w:r>
          </w:p>
        </w:tc>
        <w:tc>
          <w:tcPr>
            <w:tcW w:type="dxa" w:w="2340"/>
            <w:shd w:fill="F5F5F5"/>
          </w:tcPr>
          <w:p>
            <w:pPr>
              <w:spacing w:after="40" w:before="40"/>
            </w:pPr>
            <w:r>
              <w:rPr>
                <w:rFonts w:ascii="Calibri" w:hAnsi="Calibri"/>
                <w:sz w:val="19"/>
              </w:rPr>
            </w:r>
            <w:r>
              <w:rPr>
                <w:rFonts w:ascii="Calibri" w:hAnsi="Calibri"/>
                <w:sz w:val="19"/>
              </w:rPr>
              <w:t>Pyrimidine catabolism</w:t>
            </w:r>
          </w:p>
        </w:tc>
        <w:tc>
          <w:tcPr>
            <w:tcW w:type="dxa" w:w="2340"/>
            <w:shd w:fill="F5F5F5"/>
          </w:tcPr>
          <w:p>
            <w:pPr>
              <w:spacing w:after="40" w:before="40"/>
            </w:pPr>
            <w:r>
              <w:rPr>
                <w:rFonts w:ascii="Calibri" w:hAnsi="Calibri"/>
                <w:sz w:val="19"/>
              </w:rPr>
            </w:r>
            <w:r>
              <w:rPr>
                <w:rFonts w:ascii="Calibri" w:hAnsi="Calibri"/>
                <w:sz w:val="19"/>
              </w:rPr>
              <w:t>5-FU, capecitabine</w:t>
            </w:r>
          </w:p>
        </w:tc>
        <w:tc>
          <w:tcPr>
            <w:tcW w:type="dxa" w:w="2340"/>
            <w:shd w:fill="F5F5F5"/>
          </w:tcPr>
          <w:p>
            <w:pPr>
              <w:spacing w:after="40" w:before="40"/>
            </w:pPr>
            <w:r>
              <w:rPr>
                <w:rFonts w:ascii="Calibri" w:hAnsi="Calibri"/>
                <w:sz w:val="19"/>
              </w:rPr>
            </w:r>
            <w:r>
              <w:rPr>
                <w:rFonts w:ascii="Calibri" w:hAnsi="Calibri"/>
                <w:sz w:val="19"/>
              </w:rPr>
              <w:t>~3-5% carry partial deficiency</w:t>
            </w:r>
          </w:p>
        </w:tc>
      </w:tr>
      <w:tr>
        <w:tc>
          <w:tcPr>
            <w:tcW w:type="dxa" w:w="2340"/>
          </w:tcPr>
          <w:p>
            <w:pPr>
              <w:spacing w:after="40" w:before="40"/>
            </w:pPr>
            <w:r>
              <w:rPr>
                <w:rFonts w:ascii="Calibri" w:hAnsi="Calibri"/>
                <w:sz w:val="19"/>
              </w:rPr>
            </w:r>
            <w:r>
              <w:rPr>
                <w:rFonts w:ascii="Calibri" w:hAnsi="Calibri"/>
                <w:sz w:val="19"/>
              </w:rPr>
              <w:t>TPMT/NUDT15</w:t>
            </w:r>
          </w:p>
        </w:tc>
        <w:tc>
          <w:tcPr>
            <w:tcW w:type="dxa" w:w="2340"/>
          </w:tcPr>
          <w:p>
            <w:pPr>
              <w:spacing w:after="40" w:before="40"/>
            </w:pPr>
            <w:r>
              <w:rPr>
                <w:rFonts w:ascii="Calibri" w:hAnsi="Calibri"/>
                <w:sz w:val="19"/>
              </w:rPr>
            </w:r>
            <w:r>
              <w:rPr>
                <w:rFonts w:ascii="Calibri" w:hAnsi="Calibri"/>
                <w:sz w:val="19"/>
              </w:rPr>
              <w:t>Thiopurine metabolism</w:t>
            </w:r>
          </w:p>
        </w:tc>
        <w:tc>
          <w:tcPr>
            <w:tcW w:type="dxa" w:w="2340"/>
          </w:tcPr>
          <w:p>
            <w:pPr>
              <w:spacing w:after="40" w:before="40"/>
            </w:pPr>
            <w:r>
              <w:rPr>
                <w:rFonts w:ascii="Calibri" w:hAnsi="Calibri"/>
                <w:sz w:val="19"/>
              </w:rPr>
            </w:r>
            <w:r>
              <w:rPr>
                <w:rFonts w:ascii="Calibri" w:hAnsi="Calibri"/>
                <w:sz w:val="19"/>
              </w:rPr>
              <w:t>Azathioprine, 6-MP, thioguanine</w:t>
            </w:r>
          </w:p>
        </w:tc>
        <w:tc>
          <w:tcPr>
            <w:tcW w:type="dxa" w:w="2340"/>
          </w:tcPr>
          <w:p>
            <w:pPr>
              <w:spacing w:after="40" w:before="40"/>
            </w:pPr>
            <w:r>
              <w:rPr>
                <w:rFonts w:ascii="Calibri" w:hAnsi="Calibri"/>
                <w:sz w:val="19"/>
              </w:rPr>
            </w:r>
            <w:r>
              <w:rPr>
                <w:rFonts w:ascii="Calibri" w:hAnsi="Calibri"/>
                <w:sz w:val="19"/>
              </w:rPr>
              <w:t>~10% intermediate, ~0.3% poor</w:t>
            </w:r>
          </w:p>
        </w:tc>
      </w:tr>
      <w:tr>
        <w:tc>
          <w:tcPr>
            <w:tcW w:type="dxa" w:w="2340"/>
            <w:shd w:fill="F5F5F5"/>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57:01</w:t>
            </w:r>
          </w:p>
        </w:tc>
        <w:tc>
          <w:tcPr>
            <w:tcW w:type="dxa" w:w="2340"/>
            <w:shd w:fill="F5F5F5"/>
          </w:tcPr>
          <w:p>
            <w:pPr>
              <w:spacing w:after="40" w:before="40"/>
            </w:pPr>
            <w:r>
              <w:rPr>
                <w:rFonts w:ascii="Calibri" w:hAnsi="Calibri"/>
                <w:sz w:val="19"/>
              </w:rPr>
            </w:r>
            <w:r>
              <w:rPr>
                <w:rFonts w:ascii="Calibri" w:hAnsi="Calibri"/>
                <w:sz w:val="19"/>
              </w:rPr>
              <w:t>Immune presentation</w:t>
            </w:r>
          </w:p>
        </w:tc>
        <w:tc>
          <w:tcPr>
            <w:tcW w:type="dxa" w:w="2340"/>
            <w:shd w:fill="F5F5F5"/>
          </w:tcPr>
          <w:p>
            <w:pPr>
              <w:spacing w:after="40" w:before="40"/>
            </w:pPr>
            <w:r>
              <w:rPr>
                <w:rFonts w:ascii="Calibri" w:hAnsi="Calibri"/>
                <w:sz w:val="19"/>
              </w:rPr>
            </w:r>
            <w:r>
              <w:rPr>
                <w:rFonts w:ascii="Calibri" w:hAnsi="Calibri"/>
                <w:sz w:val="19"/>
              </w:rPr>
              <w:t>Abacavir</w:t>
            </w:r>
          </w:p>
        </w:tc>
        <w:tc>
          <w:tcPr>
            <w:tcW w:type="dxa" w:w="2340"/>
            <w:shd w:fill="F5F5F5"/>
          </w:tcPr>
          <w:p>
            <w:pPr>
              <w:spacing w:after="40" w:before="40"/>
            </w:pPr>
            <w:r>
              <w:rPr>
                <w:rFonts w:ascii="Calibri" w:hAnsi="Calibri"/>
                <w:sz w:val="19"/>
              </w:rPr>
            </w:r>
            <w:r>
              <w:rPr>
                <w:rFonts w:ascii="Calibri" w:hAnsi="Calibri"/>
                <w:sz w:val="19"/>
              </w:rPr>
              <w:t>~6-8% in Caucasians</w:t>
            </w:r>
          </w:p>
        </w:tc>
      </w:tr>
      <w:tr>
        <w:tc>
          <w:tcPr>
            <w:tcW w:type="dxa" w:w="2340"/>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58:01</w:t>
            </w:r>
          </w:p>
        </w:tc>
        <w:tc>
          <w:tcPr>
            <w:tcW w:type="dxa" w:w="2340"/>
          </w:tcPr>
          <w:p>
            <w:pPr>
              <w:spacing w:after="40" w:before="40"/>
            </w:pPr>
            <w:r>
              <w:rPr>
                <w:rFonts w:ascii="Calibri" w:hAnsi="Calibri"/>
                <w:sz w:val="19"/>
              </w:rPr>
            </w:r>
            <w:r>
              <w:rPr>
                <w:rFonts w:ascii="Calibri" w:hAnsi="Calibri"/>
                <w:sz w:val="19"/>
              </w:rPr>
              <w:t>Immune presentation</w:t>
            </w:r>
          </w:p>
        </w:tc>
        <w:tc>
          <w:tcPr>
            <w:tcW w:type="dxa" w:w="2340"/>
          </w:tcPr>
          <w:p>
            <w:pPr>
              <w:spacing w:after="40" w:before="40"/>
            </w:pPr>
            <w:r>
              <w:rPr>
                <w:rFonts w:ascii="Calibri" w:hAnsi="Calibri"/>
                <w:sz w:val="19"/>
              </w:rPr>
            </w:r>
            <w:r>
              <w:rPr>
                <w:rFonts w:ascii="Calibri" w:hAnsi="Calibri"/>
                <w:sz w:val="19"/>
              </w:rPr>
              <w:t>Allopurinol</w:t>
            </w:r>
          </w:p>
        </w:tc>
        <w:tc>
          <w:tcPr>
            <w:tcW w:type="dxa" w:w="2340"/>
          </w:tcPr>
          <w:p>
            <w:pPr>
              <w:spacing w:after="40" w:before="40"/>
            </w:pPr>
            <w:r>
              <w:rPr>
                <w:rFonts w:ascii="Calibri" w:hAnsi="Calibri"/>
                <w:sz w:val="19"/>
              </w:rPr>
            </w:r>
            <w:r>
              <w:rPr>
                <w:rFonts w:ascii="Calibri" w:hAnsi="Calibri"/>
                <w:sz w:val="19"/>
              </w:rPr>
              <w:t>~1-6% (varies by ethnicity)</w:t>
            </w:r>
          </w:p>
        </w:tc>
      </w:tr>
      <w:tr>
        <w:tc>
          <w:tcPr>
            <w:tcW w:type="dxa" w:w="2340"/>
            <w:shd w:fill="F5F5F5"/>
          </w:tcPr>
          <w:p>
            <w:pPr>
              <w:spacing w:after="40" w:before="40"/>
            </w:pPr>
            <w:r>
              <w:rPr>
                <w:rFonts w:ascii="Calibri" w:hAnsi="Calibri"/>
                <w:sz w:val="19"/>
              </w:rPr>
            </w:r>
            <w:r>
              <w:rPr>
                <w:rFonts w:ascii="Calibri" w:hAnsi="Calibri"/>
                <w:sz w:val="19"/>
              </w:rPr>
              <w:t>HLA-A</w:t>
            </w:r>
            <w:r>
              <w:rPr>
                <w:rFonts w:ascii="Calibri" w:hAnsi="Calibri"/>
                <w:sz w:val="19"/>
              </w:rPr>
              <w:t>*</w:t>
            </w:r>
            <w:r>
              <w:rPr>
                <w:rFonts w:ascii="Calibri" w:hAnsi="Calibri"/>
                <w:sz w:val="19"/>
              </w:rPr>
              <w:t>31:01</w:t>
            </w:r>
          </w:p>
        </w:tc>
        <w:tc>
          <w:tcPr>
            <w:tcW w:type="dxa" w:w="2340"/>
            <w:shd w:fill="F5F5F5"/>
          </w:tcPr>
          <w:p>
            <w:pPr>
              <w:spacing w:after="40" w:before="40"/>
            </w:pPr>
            <w:r>
              <w:rPr>
                <w:rFonts w:ascii="Calibri" w:hAnsi="Calibri"/>
                <w:sz w:val="19"/>
              </w:rPr>
            </w:r>
            <w:r>
              <w:rPr>
                <w:rFonts w:ascii="Calibri" w:hAnsi="Calibri"/>
                <w:sz w:val="19"/>
              </w:rPr>
              <w:t>Immune presentation</w:t>
            </w:r>
          </w:p>
        </w:tc>
        <w:tc>
          <w:tcPr>
            <w:tcW w:type="dxa" w:w="2340"/>
            <w:shd w:fill="F5F5F5"/>
          </w:tcPr>
          <w:p>
            <w:pPr>
              <w:spacing w:after="40" w:before="40"/>
            </w:pPr>
            <w:r>
              <w:rPr>
                <w:rFonts w:ascii="Calibri" w:hAnsi="Calibri"/>
                <w:sz w:val="19"/>
              </w:rPr>
            </w:r>
            <w:r>
              <w:rPr>
                <w:rFonts w:ascii="Calibri" w:hAnsi="Calibri"/>
                <w:sz w:val="19"/>
              </w:rPr>
              <w:t>Carbamazepine</w:t>
            </w:r>
          </w:p>
        </w:tc>
        <w:tc>
          <w:tcPr>
            <w:tcW w:type="dxa" w:w="2340"/>
            <w:shd w:fill="F5F5F5"/>
          </w:tcPr>
          <w:p>
            <w:pPr>
              <w:spacing w:after="40" w:before="40"/>
            </w:pPr>
            <w:r>
              <w:rPr>
                <w:rFonts w:ascii="Calibri" w:hAnsi="Calibri"/>
                <w:sz w:val="19"/>
              </w:rPr>
            </w:r>
            <w:r>
              <w:rPr>
                <w:rFonts w:ascii="Calibri" w:hAnsi="Calibri"/>
                <w:sz w:val="19"/>
              </w:rPr>
              <w:t>~2-5% in Caucasians</w:t>
            </w:r>
          </w:p>
        </w:tc>
      </w:tr>
      <w:tr>
        <w:tc>
          <w:tcPr>
            <w:tcW w:type="dxa" w:w="2340"/>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15:02</w:t>
            </w:r>
          </w:p>
        </w:tc>
        <w:tc>
          <w:tcPr>
            <w:tcW w:type="dxa" w:w="2340"/>
          </w:tcPr>
          <w:p>
            <w:pPr>
              <w:spacing w:after="40" w:before="40"/>
            </w:pPr>
            <w:r>
              <w:rPr>
                <w:rFonts w:ascii="Calibri" w:hAnsi="Calibri"/>
                <w:sz w:val="19"/>
              </w:rPr>
            </w:r>
            <w:r>
              <w:rPr>
                <w:rFonts w:ascii="Calibri" w:hAnsi="Calibri"/>
                <w:sz w:val="19"/>
              </w:rPr>
              <w:t>Immune presentation</w:t>
            </w:r>
          </w:p>
        </w:tc>
        <w:tc>
          <w:tcPr>
            <w:tcW w:type="dxa" w:w="2340"/>
          </w:tcPr>
          <w:p>
            <w:pPr>
              <w:spacing w:after="40" w:before="40"/>
            </w:pPr>
            <w:r>
              <w:rPr>
                <w:rFonts w:ascii="Calibri" w:hAnsi="Calibri"/>
                <w:sz w:val="19"/>
              </w:rPr>
            </w:r>
            <w:r>
              <w:rPr>
                <w:rFonts w:ascii="Calibri" w:hAnsi="Calibri"/>
                <w:sz w:val="19"/>
              </w:rPr>
              <w:t>Carbamazepine, phenytoin</w:t>
            </w:r>
          </w:p>
        </w:tc>
        <w:tc>
          <w:tcPr>
            <w:tcW w:type="dxa" w:w="2340"/>
          </w:tcPr>
          <w:p>
            <w:pPr>
              <w:spacing w:after="40" w:before="40"/>
            </w:pPr>
            <w:r>
              <w:rPr>
                <w:rFonts w:ascii="Calibri" w:hAnsi="Calibri"/>
                <w:sz w:val="19"/>
              </w:rPr>
            </w:r>
            <w:r>
              <w:rPr>
                <w:rFonts w:ascii="Calibri" w:hAnsi="Calibri"/>
                <w:sz w:val="19"/>
              </w:rPr>
              <w:t>~8% in Southeast Asian populations</w:t>
            </w:r>
          </w:p>
        </w:tc>
      </w:tr>
      <w:tr>
        <w:tc>
          <w:tcPr>
            <w:tcW w:type="dxa" w:w="2340"/>
            <w:shd w:fill="F5F5F5"/>
          </w:tcPr>
          <w:p>
            <w:pPr>
              <w:spacing w:after="40" w:before="40"/>
            </w:pPr>
            <w:r>
              <w:rPr>
                <w:rFonts w:ascii="Calibri" w:hAnsi="Calibri"/>
                <w:sz w:val="19"/>
              </w:rPr>
            </w:r>
            <w:r>
              <w:rPr>
                <w:rFonts w:ascii="Calibri" w:hAnsi="Calibri"/>
                <w:sz w:val="19"/>
              </w:rPr>
              <w:t>UGT1A1</w:t>
            </w:r>
          </w:p>
        </w:tc>
        <w:tc>
          <w:tcPr>
            <w:tcW w:type="dxa" w:w="2340"/>
            <w:shd w:fill="F5F5F5"/>
          </w:tcPr>
          <w:p>
            <w:pPr>
              <w:spacing w:after="40" w:before="40"/>
            </w:pPr>
            <w:r>
              <w:rPr>
                <w:rFonts w:ascii="Calibri" w:hAnsi="Calibri"/>
                <w:sz w:val="19"/>
              </w:rPr>
            </w:r>
            <w:r>
              <w:rPr>
                <w:rFonts w:ascii="Calibri" w:hAnsi="Calibri"/>
                <w:sz w:val="19"/>
              </w:rPr>
              <w:t>Phase II conjugation</w:t>
            </w:r>
          </w:p>
        </w:tc>
        <w:tc>
          <w:tcPr>
            <w:tcW w:type="dxa" w:w="2340"/>
            <w:shd w:fill="F5F5F5"/>
          </w:tcPr>
          <w:p>
            <w:pPr>
              <w:spacing w:after="40" w:before="40"/>
            </w:pPr>
            <w:r>
              <w:rPr>
                <w:rFonts w:ascii="Calibri" w:hAnsi="Calibri"/>
                <w:sz w:val="19"/>
              </w:rPr>
            </w:r>
            <w:r>
              <w:rPr>
                <w:rFonts w:ascii="Calibri" w:hAnsi="Calibri"/>
                <w:sz w:val="19"/>
              </w:rPr>
              <w:t>Irinotecan, atazanavir</w:t>
            </w:r>
          </w:p>
        </w:tc>
        <w:tc>
          <w:tcPr>
            <w:tcW w:type="dxa" w:w="2340"/>
            <w:shd w:fill="F5F5F5"/>
          </w:tcPr>
          <w:p>
            <w:pPr>
              <w:spacing w:after="40" w:before="40"/>
            </w:pPr>
            <w:r>
              <w:rPr>
                <w:rFonts w:ascii="Calibri" w:hAnsi="Calibri"/>
                <w:sz w:val="19"/>
              </w:rPr>
            </w:r>
            <w:r>
              <w:rPr>
                <w:rFonts w:ascii="Calibri" w:hAnsi="Calibri"/>
                <w:sz w:val="19"/>
              </w:rPr>
              <w:t>~10% poor metabolizers</w:t>
            </w:r>
          </w:p>
        </w:tc>
      </w:tr>
      <w:tr>
        <w:tc>
          <w:tcPr>
            <w:tcW w:type="dxa" w:w="2340"/>
          </w:tcPr>
          <w:p>
            <w:pPr>
              <w:spacing w:after="40" w:before="40"/>
            </w:pPr>
            <w:r>
              <w:rPr>
                <w:rFonts w:ascii="Calibri" w:hAnsi="Calibri"/>
                <w:sz w:val="19"/>
              </w:rPr>
            </w:r>
            <w:r>
              <w:rPr>
                <w:rFonts w:ascii="Calibri" w:hAnsi="Calibri"/>
                <w:sz w:val="19"/>
              </w:rPr>
              <w:t>G6PD</w:t>
            </w:r>
          </w:p>
        </w:tc>
        <w:tc>
          <w:tcPr>
            <w:tcW w:type="dxa" w:w="2340"/>
          </w:tcPr>
          <w:p>
            <w:pPr>
              <w:spacing w:after="40" w:before="40"/>
            </w:pPr>
            <w:r>
              <w:rPr>
                <w:rFonts w:ascii="Calibri" w:hAnsi="Calibri"/>
                <w:sz w:val="19"/>
              </w:rPr>
            </w:r>
            <w:r>
              <w:rPr>
                <w:rFonts w:ascii="Calibri" w:hAnsi="Calibri"/>
                <w:sz w:val="19"/>
              </w:rPr>
              <w:t>Redox protection</w:t>
            </w:r>
          </w:p>
        </w:tc>
        <w:tc>
          <w:tcPr>
            <w:tcW w:type="dxa" w:w="2340"/>
          </w:tcPr>
          <w:p>
            <w:pPr>
              <w:spacing w:after="40" w:before="40"/>
            </w:pPr>
            <w:r>
              <w:rPr>
                <w:rFonts w:ascii="Calibri" w:hAnsi="Calibri"/>
                <w:sz w:val="19"/>
              </w:rPr>
            </w:r>
            <w:r>
              <w:rPr>
                <w:rFonts w:ascii="Calibri" w:hAnsi="Calibri"/>
                <w:sz w:val="19"/>
              </w:rPr>
              <w:t>Rasburicase, primaquine, dapsone</w:t>
            </w:r>
          </w:p>
        </w:tc>
        <w:tc>
          <w:tcPr>
            <w:tcW w:type="dxa" w:w="2340"/>
          </w:tcPr>
          <w:p>
            <w:pPr>
              <w:spacing w:after="40" w:before="40"/>
            </w:pPr>
            <w:r>
              <w:rPr>
                <w:rFonts w:ascii="Calibri" w:hAnsi="Calibri"/>
                <w:sz w:val="19"/>
              </w:rPr>
            </w:r>
            <w:r>
              <w:rPr>
                <w:rFonts w:ascii="Calibri" w:hAnsi="Calibri"/>
                <w:sz w:val="19"/>
              </w:rPr>
              <w:t>~8% globally (up to 25% in some populations)</w:t>
            </w:r>
          </w:p>
        </w:tc>
      </w:tr>
      <w:tr>
        <w:tc>
          <w:tcPr>
            <w:tcW w:type="dxa" w:w="2340"/>
            <w:shd w:fill="F5F5F5"/>
          </w:tcPr>
          <w:p>
            <w:pPr>
              <w:spacing w:after="40" w:before="40"/>
            </w:pPr>
            <w:r>
              <w:rPr>
                <w:rFonts w:ascii="Calibri" w:hAnsi="Calibri"/>
                <w:sz w:val="19"/>
              </w:rPr>
            </w:r>
            <w:r>
              <w:rPr>
                <w:rFonts w:ascii="Calibri" w:hAnsi="Calibri"/>
                <w:sz w:val="19"/>
              </w:rPr>
              <w:t>CYP3A5</w:t>
            </w:r>
          </w:p>
        </w:tc>
        <w:tc>
          <w:tcPr>
            <w:tcW w:type="dxa" w:w="2340"/>
            <w:shd w:fill="F5F5F5"/>
          </w:tcPr>
          <w:p>
            <w:pPr>
              <w:spacing w:after="40" w:before="40"/>
            </w:pPr>
            <w:r>
              <w:rPr>
                <w:rFonts w:ascii="Calibri" w:hAnsi="Calibri"/>
                <w:sz w:val="19"/>
              </w:rPr>
            </w:r>
            <w:r>
              <w:rPr>
                <w:rFonts w:ascii="Calibri" w:hAnsi="Calibri"/>
                <w:sz w:val="19"/>
              </w:rPr>
              <w:t>Phase I metabolism</w:t>
            </w:r>
          </w:p>
        </w:tc>
        <w:tc>
          <w:tcPr>
            <w:tcW w:type="dxa" w:w="2340"/>
            <w:shd w:fill="F5F5F5"/>
          </w:tcPr>
          <w:p>
            <w:pPr>
              <w:spacing w:after="40" w:before="40"/>
            </w:pPr>
            <w:r>
              <w:rPr>
                <w:rFonts w:ascii="Calibri" w:hAnsi="Calibri"/>
                <w:sz w:val="19"/>
              </w:rPr>
            </w:r>
            <w:r>
              <w:rPr>
                <w:rFonts w:ascii="Calibri" w:hAnsi="Calibri"/>
                <w:sz w:val="19"/>
              </w:rPr>
              <w:t>Tacrolimus</w:t>
            </w:r>
          </w:p>
        </w:tc>
        <w:tc>
          <w:tcPr>
            <w:tcW w:type="dxa" w:w="2340"/>
            <w:shd w:fill="F5F5F5"/>
          </w:tcPr>
          <w:p>
            <w:pPr>
              <w:spacing w:after="40" w:before="40"/>
            </w:pPr>
            <w:r>
              <w:rPr>
                <w:rFonts w:ascii="Calibri" w:hAnsi="Calibri"/>
                <w:sz w:val="19"/>
              </w:rPr>
            </w:r>
            <w:r>
              <w:rPr>
                <w:rFonts w:ascii="Calibri" w:hAnsi="Calibri"/>
                <w:sz w:val="19"/>
              </w:rPr>
              <w:t>~70-90% non-expressers (varies by ethnicity)</w:t>
            </w:r>
          </w:p>
        </w:tc>
      </w:tr>
      <w:tr>
        <w:tc>
          <w:tcPr>
            <w:tcW w:type="dxa" w:w="2340"/>
          </w:tcPr>
          <w:p>
            <w:pPr>
              <w:spacing w:after="40" w:before="40"/>
            </w:pPr>
            <w:r>
              <w:rPr>
                <w:rFonts w:ascii="Calibri" w:hAnsi="Calibri"/>
                <w:sz w:val="19"/>
              </w:rPr>
            </w:r>
            <w:r>
              <w:rPr>
                <w:rFonts w:ascii="Calibri" w:hAnsi="Calibri"/>
                <w:sz w:val="19"/>
              </w:rPr>
              <w:t>IFNL3 (IL28B)</w:t>
            </w:r>
          </w:p>
        </w:tc>
        <w:tc>
          <w:tcPr>
            <w:tcW w:type="dxa" w:w="2340"/>
          </w:tcPr>
          <w:p>
            <w:pPr>
              <w:spacing w:after="40" w:before="40"/>
            </w:pPr>
            <w:r>
              <w:rPr>
                <w:rFonts w:ascii="Calibri" w:hAnsi="Calibri"/>
                <w:sz w:val="19"/>
              </w:rPr>
            </w:r>
            <w:r>
              <w:rPr>
                <w:rFonts w:ascii="Calibri" w:hAnsi="Calibri"/>
                <w:sz w:val="19"/>
              </w:rPr>
              <w:t>Immune response</w:t>
            </w:r>
          </w:p>
        </w:tc>
        <w:tc>
          <w:tcPr>
            <w:tcW w:type="dxa" w:w="2340"/>
          </w:tcPr>
          <w:p>
            <w:pPr>
              <w:spacing w:after="40" w:before="40"/>
            </w:pPr>
            <w:r>
              <w:rPr>
                <w:rFonts w:ascii="Calibri" w:hAnsi="Calibri"/>
                <w:sz w:val="19"/>
              </w:rPr>
            </w:r>
            <w:r>
              <w:rPr>
                <w:rFonts w:ascii="Calibri" w:hAnsi="Calibri"/>
                <w:sz w:val="19"/>
              </w:rPr>
              <w:t>PEG-IFN/ribavirin</w:t>
            </w:r>
          </w:p>
        </w:tc>
        <w:tc>
          <w:tcPr>
            <w:tcW w:type="dxa" w:w="2340"/>
          </w:tcPr>
          <w:p>
            <w:pPr>
              <w:spacing w:after="40" w:before="40"/>
            </w:pPr>
            <w:r>
              <w:rPr>
                <w:rFonts w:ascii="Calibri" w:hAnsi="Calibri"/>
                <w:sz w:val="19"/>
              </w:rPr>
            </w:r>
            <w:r>
              <w:rPr>
                <w:rFonts w:ascii="Calibri" w:hAnsi="Calibri"/>
                <w:sz w:val="19"/>
              </w:rPr>
              <w:t>~70% favorable genotype in Europeans</w:t>
            </w:r>
          </w:p>
        </w:tc>
      </w:tr>
    </w:tbl>
    <w:p/>
    <w:p>
      <w:pPr>
        <w:pStyle w:val="Heading3"/>
      </w:pPr>
      <w:r>
        <w:t>1.3 Why Pharmacogenomics Remains Unused</w:t>
      </w:r>
    </w:p>
    <w:p>
      <w:r>
        <w:t>Despite overwhelming evidence, PGx adoption remains dismally low:</w:t>
      </w:r>
    </w:p>
    <w:p>
      <w:pPr>
        <w:pStyle w:val="ListBullet"/>
        <w:spacing w:after="60"/>
      </w:pPr>
      <w:r>
        <w:rPr>
          <w:b/>
        </w:rPr>
        <w:t>&lt;1% of prescriptions</w:t>
      </w:r>
      <w:r>
        <w:t xml:space="preserve"> in the U.S. are guided by pharmacogenomic testing</w:t>
      </w:r>
    </w:p>
    <w:p>
      <w:pPr>
        <w:pStyle w:val="ListBullet"/>
        <w:spacing w:after="60"/>
      </w:pPr>
      <w:r>
        <w:rPr>
          <w:b/>
        </w:rPr>
        <w:t>Only 15%</w:t>
      </w:r>
      <w:r>
        <w:t xml:space="preserve"> of physicians report feeling comfortable interpreting PGx results</w:t>
      </w:r>
    </w:p>
    <w:p>
      <w:pPr>
        <w:pStyle w:val="ListBullet"/>
        <w:spacing w:after="60"/>
      </w:pPr>
      <w:r>
        <w:rPr>
          <w:b/>
        </w:rPr>
        <w:t>42%</w:t>
      </w:r>
      <w:r>
        <w:t xml:space="preserve"> of physicians surveyed stated they had never ordered a PGx test</w:t>
      </w:r>
    </w:p>
    <w:p>
      <w:pPr>
        <w:pStyle w:val="ListBullet"/>
        <w:spacing w:after="60"/>
      </w:pPr>
      <w:r>
        <w:rPr>
          <w:b/>
        </w:rPr>
        <w:t>88%</w:t>
      </w:r>
      <w:r>
        <w:t xml:space="preserve"> of medical schools provide fewer than 8 hours of PGx education across 4 years</w:t>
      </w:r>
    </w:p>
    <w:p>
      <w:pPr>
        <w:pStyle w:val="ListBullet"/>
        <w:spacing w:after="60"/>
      </w:pPr>
      <w:r>
        <w:rPr>
          <w:b/>
        </w:rPr>
        <w:t>&lt;5%</w:t>
      </w:r>
      <w:r>
        <w:t xml:space="preserve"> of health systems have integrated PGx into their electronic health records</w:t>
      </w:r>
    </w:p>
    <w:p>
      <w:r>
        <w:t>The barriers are well-characterized:</w:t>
      </w:r>
    </w:p>
    <w:p>
      <w:pPr>
        <w:pStyle w:val="ListNumber"/>
        <w:spacing w:after="60"/>
      </w:pPr>
      <w:r>
        <w:rPr>
          <w:b/>
        </w:rPr>
        <w:t>Knowledge gap:</w:t>
      </w:r>
      <w:r>
        <w:t xml:space="preserve"> Clinicians lack training in PGx interpretation. A CYP2D6 </w:t>
      </w:r>
      <w:r>
        <w:rPr>
          <w:i/>
        </w:rPr>
        <w:t>4/</w:t>
      </w:r>
      <w:r>
        <w:t>41 diplotype means nothing to most prescribers.</w:t>
      </w:r>
    </w:p>
    <w:p>
      <w:pPr>
        <w:pStyle w:val="ListNumber"/>
        <w:spacing w:after="60"/>
      </w:pPr>
      <w:r>
        <w:rPr>
          <w:b/>
        </w:rPr>
        <w:t>Complexity:</w:t>
      </w:r>
      <w:r>
        <w:t xml:space="preserve"> Star allele nomenclature, activity scores, diplotype-to-phenotype translations, gene-drug-drug interactions, and phenoconversion are intellectually demanding even for specialists.</w:t>
      </w:r>
    </w:p>
    <w:p>
      <w:pPr>
        <w:pStyle w:val="ListNumber"/>
        <w:spacing w:after="60"/>
      </w:pPr>
      <w:r>
        <w:rPr>
          <w:b/>
        </w:rPr>
        <w:t>Fragmentation:</w:t>
      </w:r>
      <w:r>
        <w:t xml:space="preserve"> CPIC, DPWG, FDA, and institutional guidelines sometimes disagree. Clinicians don't know which to follow.</w:t>
      </w:r>
    </w:p>
    <w:p>
      <w:pPr>
        <w:pStyle w:val="ListNumber"/>
        <w:spacing w:after="60"/>
      </w:pPr>
      <w:r>
        <w:rPr>
          <w:b/>
        </w:rPr>
        <w:t>EHR integration:</w:t>
      </w:r>
      <w:r>
        <w:t xml:space="preserve"> Most EHRs cannot store, display, or trigger alerts from structured PGx data. Results are often returned as PDFs that sit unread in the chart.</w:t>
      </w:r>
    </w:p>
    <w:p>
      <w:pPr>
        <w:pStyle w:val="ListNumber"/>
        <w:spacing w:after="60"/>
      </w:pPr>
      <w:r>
        <w:rPr>
          <w:b/>
        </w:rPr>
        <w:t>Point-of-care timing:</w:t>
      </w:r>
      <w:r>
        <w:t xml:space="preserve"> PGx results must be available at the moment of prescribing, not days later from a reference lab.</w:t>
      </w:r>
    </w:p>
    <w:p>
      <w:pPr>
        <w:pStyle w:val="ListNumber"/>
        <w:spacing w:after="60"/>
      </w:pPr>
      <w:r>
        <w:rPr>
          <w:b/>
        </w:rPr>
        <w:t>Multi-gene complexity:</w:t>
      </w:r>
      <w:r>
        <w:t xml:space="preserve"> Real patients have variants in multiple PGx genes simultaneously. A patient on warfarin needs CYP2C9 + VKORC1 + CYP4F2 interpreted together. A patient on psychiatric medications may need CYP2D6 + CYP2C19 + CYP1A2 + CYP3A4.</w:t>
      </w:r>
    </w:p>
    <w:p>
      <w:pPr>
        <w:pStyle w:val="ListNumber"/>
        <w:spacing w:after="60"/>
      </w:pPr>
      <w:r>
        <w:rPr>
          <w:b/>
        </w:rPr>
        <w:t>Population diversity:</w:t>
      </w:r>
      <w:r>
        <w:t xml:space="preserve"> Allele frequencies vary dramatically across ethnic groups. The most common CYP2D6 poor metabolizer allele in Europeans (</w:t>
      </w:r>
      <w:r>
        <w:rPr>
          <w:i/>
        </w:rPr>
        <w:t xml:space="preserve">4) is rare in East Asians, where </w:t>
      </w:r>
      <w:r>
        <w:t>10 predominates.</w:t>
      </w:r>
    </w:p>
    <w:p>
      <w:pPr>
        <w:pStyle w:val="Heading3"/>
      </w:pPr>
      <w:r>
        <w:t>1.4 The HCLS AI Factory Opportunity</w:t>
      </w:r>
    </w:p>
    <w:p>
      <w:r>
        <w:t>The HCLS AI Factory's existing genomics pipeline already generates the raw data needed for pharmacogenomic analysis. Every patient genome processed through the pipeline produces a VCF file containing all pharmacogenomic variants -- but this data is not currently translated into prescribing guidance. The Pharmacogenomics Intelligence Agent closes this gap by:</w:t>
      </w:r>
    </w:p>
    <w:p>
      <w:pPr>
        <w:pStyle w:val="ListNumber"/>
        <w:spacing w:after="60"/>
      </w:pPr>
      <w:r>
        <w:rPr>
          <w:b/>
        </w:rPr>
        <w:t>Extracting PGx variants</w:t>
      </w:r>
      <w:r>
        <w:t xml:space="preserve"> from VCF files produced by the genomics pipeline (Parabricks/DeepVariant)</w:t>
      </w:r>
    </w:p>
    <w:p>
      <w:pPr>
        <w:pStyle w:val="ListNumber"/>
        <w:spacing w:after="60"/>
      </w:pPr>
      <w:r>
        <w:rPr>
          <w:b/>
        </w:rPr>
        <w:t>Calling star alleles</w:t>
      </w:r>
      <w:r>
        <w:t xml:space="preserve"> using standardized nomenclature (PharmVar database)</w:t>
      </w:r>
    </w:p>
    <w:p>
      <w:pPr>
        <w:pStyle w:val="ListNumber"/>
        <w:spacing w:after="60"/>
      </w:pPr>
      <w:r>
        <w:rPr>
          <w:b/>
        </w:rPr>
        <w:t>Translating diplotypes to phenotypes</w:t>
      </w:r>
      <w:r>
        <w:t xml:space="preserve"> using CPIC activity score algorithms</w:t>
      </w:r>
    </w:p>
    <w:p>
      <w:pPr>
        <w:pStyle w:val="ListNumber"/>
        <w:spacing w:after="60"/>
      </w:pPr>
      <w:r>
        <w:rPr>
          <w:b/>
        </w:rPr>
        <w:t>Cross-referencing</w:t>
      </w:r>
      <w:r>
        <w:t xml:space="preserve"> the patient's PGx profile against their current and potential medication list</w:t>
      </w:r>
    </w:p>
    <w:p>
      <w:pPr>
        <w:pStyle w:val="ListNumber"/>
        <w:spacing w:after="60"/>
      </w:pPr>
      <w:r>
        <w:rPr>
          <w:b/>
        </w:rPr>
        <w:t>Generating actionable prescribing recommendations</w:t>
      </w:r>
      <w:r>
        <w:t xml:space="preserve"> grounded in CPIC/DPWG guidelines</w:t>
      </w:r>
    </w:p>
    <w:p>
      <w:pPr>
        <w:pStyle w:val="ListNumber"/>
        <w:spacing w:after="60"/>
      </w:pPr>
      <w:r>
        <w:rPr>
          <w:b/>
        </w:rPr>
        <w:t>Storing results</w:t>
      </w:r>
      <w:r>
        <w:t xml:space="preserve"> in persistent Milvus collections for lifetime re-querying as new drugs are prescribed</w:t>
      </w:r>
    </w:p>
    <w:p>
      <w:r>
        <w:t xml:space="preserve">The agent doesn't just report what variants a patient carries -- it answers the question every prescriber actually needs answered: </w:t>
      </w:r>
      <w:r>
        <w:rPr>
          <w:b/>
        </w:rPr>
        <w:t>"Is this drug safe for this patient, and if not, what should I prescribe instead?"</w:t>
      </w:r>
    </w:p>
    <w:p>
      <w:pPr>
        <w:spacing w:before="160" w:after="160"/>
        <w:jc w:val="center"/>
      </w:pPr>
      <w:r>
        <w:rPr>
          <w:color w:val="76B900"/>
          <w:sz w:val="16"/>
        </w:rPr>
        <w:t>━━━━━━━━━━━━━━━━━━━━━━━━━━━━━━━━━━━━━━━━━━━━━━━━━━━━━━━━━━━━</w:t>
      </w:r>
    </w:p>
    <w:p>
      <w:r>
        <w:br w:type="page"/>
      </w:r>
    </w:p>
    <w:p>
      <w:pPr>
        <w:pStyle w:val="Heading2"/>
      </w:pPr>
      <w:r>
        <w:t>2. The Pharmacogenomic Implementation Gap</w:t>
      </w:r>
    </w:p>
    <w:p>
      <w:pPr>
        <w:pStyle w:val="Heading3"/>
      </w:pPr>
      <w:r>
        <w:t>2.1 Preventable Deaths: The Scale of the Problem</w:t>
      </w:r>
    </w:p>
    <w:p>
      <w:r>
        <w:t>To understand why the Pharmacogenomics Intelligence Agent matters, consider these real-world scenarios that occur daily in hospitals and clinics worldwide:</w:t>
      </w:r>
    </w:p>
    <w:p>
      <w:r>
        <w:rPr>
          <w:b/>
        </w:rPr>
        <w:t>Scenario 1: Codeine and CYP2D6</w:t>
      </w:r>
    </w:p>
    <w:p>
      <w:r>
        <w:t xml:space="preserve">A 3-year-old child undergoes tonsillectomy. Prescribed codeine for post-operative pain. The child is a CYP2D6 ultra-rapid metabolizer (alleles </w:t>
      </w:r>
      <w:r>
        <w:rPr>
          <w:i/>
        </w:rPr>
        <w:t>1/</w:t>
      </w:r>
      <w:r>
        <w:t>1xN), converting codeine to morphine at 4-8x the normal rate. The child develops fatal respiratory depression and dies. This exact scenario led to an FDA Black Box Warning in 2013 -- yet codeine is still prescribed to children without CYP2D6 testing.</w:t>
      </w:r>
    </w:p>
    <w:p>
      <w:r>
        <w:rPr>
          <w:b/>
        </w:rPr>
        <w:t>Scenario 2: Clopidogrel and CYP2C19</w:t>
      </w:r>
    </w:p>
    <w:p>
      <w:r>
        <w:t>A 58-year-old man receives a coronary stent and is prescribed clopidogrel (Plavix) as standard antiplatelet therapy. He is a CYP2C19 poor metabolizer (</w:t>
      </w:r>
      <w:r>
        <w:rPr>
          <w:i/>
        </w:rPr>
        <w:t>2/</w:t>
      </w:r>
      <w:r>
        <w:t>2), producing functionally no active metabolite. One month later, he suffers stent thrombosis and dies. An alternative antiplatelet (prasugrel or ticagrelor) -- not dependent on CYP2C19 -- would have prevented this death. The FDA label has carried a boxed warning about CYP2C19 since 2010.</w:t>
      </w:r>
    </w:p>
    <w:p>
      <w:r>
        <w:rPr>
          <w:b/>
        </w:rPr>
        <w:t>Scenario 3: Abacavir and HLA-B*57:01</w:t>
      </w:r>
    </w:p>
    <w:p>
      <w:r>
        <w:t>A 34-year-old woman newly diagnosed with HIV is prescribed an abacavir-containing regimen. She is HLA-B</w:t>
      </w:r>
      <w:r>
        <w:rPr>
          <w:i/>
        </w:rPr>
        <w:t>57:01 positive. Two weeks later, she develops abacavir hypersensitivity syndrome -- fever, rash, malaise progressing to hypotension and organ failure. Before mandatory HLA-B</w:t>
      </w:r>
      <w:r>
        <w:t>57:01 screening (implemented ~2008), this reaction occurred in ~5% of abacavir-treated patients and was fatal in some cases. This is one of the few PGx tests with near-universal adoption, proving that when guidelines are clear and testing is mandated, PGx saves lives.</w:t>
      </w:r>
    </w:p>
    <w:p>
      <w:r>
        <w:rPr>
          <w:b/>
        </w:rPr>
        <w:t>Scenario 4: 5-Fluorouracil and DPYD</w:t>
      </w:r>
    </w:p>
    <w:p>
      <w:r>
        <w:t>A 62-year-old woman with colon cancer begins adjuvant 5-FU chemotherapy. She carries DPYD</w:t>
      </w:r>
      <w:r>
        <w:t>*</w:t>
      </w:r>
      <w:r>
        <w:t>2A (splice site variant), rendering her unable to metabolize 5-FU. She develops grade 4 mucositis, pancytopenia, and sepsis. She dies from treatment toxicity, not from cancer. Pre-treatment DPYD testing with dose adjustment would have prevented this death. The European Medicines Agency now mandates DPYD testing before fluoropyrimidine therapy; the FDA does not.</w:t>
      </w:r>
    </w:p>
    <w:p>
      <w:pPr>
        <w:pStyle w:val="Heading3"/>
      </w:pPr>
      <w:r>
        <w:t>2.2 The Implementation Gap by the Numbers</w:t>
      </w:r>
    </w:p>
    <w:p>
      <w:r>
        <w:t>The disconnect between PGx knowledge and clinical practice can be quantified: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Metric</w:t>
            </w:r>
          </w:p>
        </w:tc>
        <w:tc>
          <w:tcPr>
            <w:tcW w:type="dxa" w:w="2340"/>
            <w:shd w:fill="1A1A2E"/>
          </w:tcPr>
          <w:p>
            <w:pPr>
              <w:spacing w:after="40" w:before="40"/>
            </w:pPr>
            <w:r/>
            <w:r>
              <w:rPr>
                <w:rFonts w:ascii="Calibri" w:hAnsi="Calibri"/>
                <w:b/>
                <w:color w:val="FFFFFF"/>
                <w:sz w:val="20"/>
              </w:rPr>
              <w:t>Current State</w:t>
            </w:r>
          </w:p>
        </w:tc>
        <w:tc>
          <w:tcPr>
            <w:tcW w:type="dxa" w:w="2340"/>
            <w:shd w:fill="1A1A2E"/>
          </w:tcPr>
          <w:p>
            <w:pPr>
              <w:spacing w:after="40" w:before="40"/>
            </w:pPr>
            <w:r/>
            <w:r>
              <w:rPr>
                <w:rFonts w:ascii="Calibri" w:hAnsi="Calibri"/>
                <w:b/>
                <w:color w:val="FFFFFF"/>
                <w:sz w:val="20"/>
              </w:rPr>
              <w:t>Ideal State</w:t>
            </w:r>
          </w:p>
        </w:tc>
        <w:tc>
          <w:tcPr>
            <w:tcW w:type="dxa" w:w="2340"/>
            <w:shd w:fill="1A1A2E"/>
          </w:tcPr>
          <w:p>
            <w:pPr>
              <w:spacing w:after="40" w:before="40"/>
            </w:pPr>
            <w:r/>
            <w:r>
              <w:rPr>
                <w:rFonts w:ascii="Calibri" w:hAnsi="Calibri"/>
                <w:b/>
                <w:color w:val="FFFFFF"/>
                <w:sz w:val="20"/>
              </w:rPr>
              <w:t>Gap</w:t>
            </w:r>
          </w:p>
        </w:tc>
      </w:tr>
      <w:tr>
        <w:tc>
          <w:tcPr>
            <w:tcW w:type="dxa" w:w="2340"/>
          </w:tcPr>
          <w:p>
            <w:pPr>
              <w:spacing w:after="40" w:before="40"/>
            </w:pPr>
            <w:r>
              <w:rPr>
                <w:rFonts w:ascii="Calibri" w:hAnsi="Calibri"/>
                <w:sz w:val="19"/>
              </w:rPr>
            </w:r>
            <w:r>
              <w:rPr>
                <w:rFonts w:ascii="Calibri" w:hAnsi="Calibri"/>
                <w:sz w:val="19"/>
              </w:rPr>
              <w:t>Prescriptions guided by PGx</w:t>
            </w:r>
          </w:p>
        </w:tc>
        <w:tc>
          <w:tcPr>
            <w:tcW w:type="dxa" w:w="2340"/>
          </w:tcPr>
          <w:p>
            <w:pPr>
              <w:spacing w:after="40" w:before="40"/>
            </w:pPr>
            <w:r>
              <w:rPr>
                <w:rFonts w:ascii="Calibri" w:hAnsi="Calibri"/>
                <w:sz w:val="19"/>
              </w:rPr>
            </w:r>
            <w:r>
              <w:rPr>
                <w:rFonts w:ascii="Calibri" w:hAnsi="Calibri"/>
                <w:sz w:val="19"/>
              </w:rPr>
              <w:t>&lt;1%</w:t>
            </w:r>
          </w:p>
        </w:tc>
        <w:tc>
          <w:tcPr>
            <w:tcW w:type="dxa" w:w="2340"/>
          </w:tcPr>
          <w:p>
            <w:pPr>
              <w:spacing w:after="40" w:before="40"/>
            </w:pPr>
            <w:r>
              <w:rPr>
                <w:rFonts w:ascii="Calibri" w:hAnsi="Calibri"/>
                <w:sz w:val="19"/>
              </w:rPr>
            </w:r>
            <w:r>
              <w:rPr>
                <w:rFonts w:ascii="Calibri" w:hAnsi="Calibri"/>
                <w:sz w:val="19"/>
              </w:rPr>
              <w:t>30-50% (for PGx-relevant drugs)</w:t>
            </w:r>
          </w:p>
        </w:tc>
        <w:tc>
          <w:tcPr>
            <w:tcW w:type="dxa" w:w="2340"/>
          </w:tcPr>
          <w:p>
            <w:pPr>
              <w:spacing w:after="40" w:before="40"/>
            </w:pPr>
            <w:r>
              <w:rPr>
                <w:rFonts w:ascii="Calibri" w:hAnsi="Calibri"/>
                <w:sz w:val="19"/>
              </w:rPr>
            </w:r>
            <w:r>
              <w:rPr>
                <w:rFonts w:ascii="Calibri" w:hAnsi="Calibri"/>
                <w:sz w:val="19"/>
              </w:rPr>
              <w:t>30-50x</w:t>
            </w:r>
          </w:p>
        </w:tc>
      </w:tr>
      <w:tr>
        <w:tc>
          <w:tcPr>
            <w:tcW w:type="dxa" w:w="2340"/>
            <w:shd w:fill="F5F5F5"/>
          </w:tcPr>
          <w:p>
            <w:pPr>
              <w:spacing w:after="40" w:before="40"/>
            </w:pPr>
            <w:r>
              <w:rPr>
                <w:rFonts w:ascii="Calibri" w:hAnsi="Calibri"/>
                <w:sz w:val="19"/>
              </w:rPr>
            </w:r>
            <w:r>
              <w:rPr>
                <w:rFonts w:ascii="Calibri" w:hAnsi="Calibri"/>
                <w:sz w:val="19"/>
              </w:rPr>
              <w:t>Health systems with PGx CDS</w:t>
            </w:r>
          </w:p>
        </w:tc>
        <w:tc>
          <w:tcPr>
            <w:tcW w:type="dxa" w:w="2340"/>
            <w:shd w:fill="F5F5F5"/>
          </w:tcPr>
          <w:p>
            <w:pPr>
              <w:spacing w:after="40" w:before="40"/>
            </w:pPr>
            <w:r>
              <w:rPr>
                <w:rFonts w:ascii="Calibri" w:hAnsi="Calibri"/>
                <w:sz w:val="19"/>
              </w:rPr>
            </w:r>
            <w:r>
              <w:rPr>
                <w:rFonts w:ascii="Calibri" w:hAnsi="Calibri"/>
                <w:sz w:val="19"/>
              </w:rPr>
              <w:t>&lt;5%</w:t>
            </w:r>
          </w:p>
        </w:tc>
        <w:tc>
          <w:tcPr>
            <w:tcW w:type="dxa" w:w="2340"/>
            <w:shd w:fill="F5F5F5"/>
          </w:tcPr>
          <w:p>
            <w:pPr>
              <w:spacing w:after="40" w:before="40"/>
            </w:pPr>
            <w:r>
              <w:rPr>
                <w:rFonts w:ascii="Calibri" w:hAnsi="Calibri"/>
                <w:sz w:val="19"/>
              </w:rPr>
            </w:r>
            <w:r>
              <w:rPr>
                <w:rFonts w:ascii="Calibri" w:hAnsi="Calibri"/>
                <w:sz w:val="19"/>
              </w:rPr>
              <w:t>100%</w:t>
            </w:r>
          </w:p>
        </w:tc>
        <w:tc>
          <w:tcPr>
            <w:tcW w:type="dxa" w:w="2340"/>
            <w:shd w:fill="F5F5F5"/>
          </w:tcPr>
          <w:p>
            <w:pPr>
              <w:spacing w:after="40" w:before="40"/>
            </w:pPr>
            <w:r>
              <w:rPr>
                <w:rFonts w:ascii="Calibri" w:hAnsi="Calibri"/>
                <w:sz w:val="19"/>
              </w:rPr>
            </w:r>
            <w:r>
              <w:rPr>
                <w:rFonts w:ascii="Calibri" w:hAnsi="Calibri"/>
                <w:sz w:val="19"/>
              </w:rPr>
              <w:t>20x</w:t>
            </w:r>
          </w:p>
        </w:tc>
      </w:tr>
      <w:tr>
        <w:tc>
          <w:tcPr>
            <w:tcW w:type="dxa" w:w="2340"/>
          </w:tcPr>
          <w:p>
            <w:pPr>
              <w:spacing w:after="40" w:before="40"/>
            </w:pPr>
            <w:r>
              <w:rPr>
                <w:rFonts w:ascii="Calibri" w:hAnsi="Calibri"/>
                <w:sz w:val="19"/>
              </w:rPr>
            </w:r>
            <w:r>
              <w:rPr>
                <w:rFonts w:ascii="Calibri" w:hAnsi="Calibri"/>
                <w:sz w:val="19"/>
              </w:rPr>
              <w:t>Time to PGx result availability</w:t>
            </w:r>
          </w:p>
        </w:tc>
        <w:tc>
          <w:tcPr>
            <w:tcW w:type="dxa" w:w="2340"/>
          </w:tcPr>
          <w:p>
            <w:pPr>
              <w:spacing w:after="40" w:before="40"/>
            </w:pPr>
            <w:r>
              <w:rPr>
                <w:rFonts w:ascii="Calibri" w:hAnsi="Calibri"/>
                <w:sz w:val="19"/>
              </w:rPr>
            </w:r>
            <w:r>
              <w:rPr>
                <w:rFonts w:ascii="Calibri" w:hAnsi="Calibri"/>
                <w:sz w:val="19"/>
              </w:rPr>
              <w:t>3-14 days (reference lab)</w:t>
            </w:r>
          </w:p>
        </w:tc>
        <w:tc>
          <w:tcPr>
            <w:tcW w:type="dxa" w:w="2340"/>
          </w:tcPr>
          <w:p>
            <w:pPr>
              <w:spacing w:after="40" w:before="40"/>
            </w:pPr>
            <w:r>
              <w:rPr>
                <w:rFonts w:ascii="Calibri" w:hAnsi="Calibri"/>
                <w:sz w:val="19"/>
              </w:rPr>
            </w:r>
            <w:r>
              <w:rPr>
                <w:rFonts w:ascii="Calibri" w:hAnsi="Calibri"/>
                <w:sz w:val="19"/>
              </w:rPr>
              <w:t>Pre-emptive (already in chart)</w:t>
            </w:r>
          </w:p>
        </w:tc>
        <w:tc>
          <w:tcPr>
            <w:tcW w:type="dxa" w:w="2340"/>
          </w:tcPr>
          <w:p>
            <w:pPr>
              <w:spacing w:after="40" w:before="40"/>
            </w:pPr>
            <w:r>
              <w:rPr>
                <w:rFonts w:ascii="Calibri" w:hAnsi="Calibri"/>
                <w:sz w:val="19"/>
              </w:rPr>
            </w:r>
            <w:r>
              <w:rPr>
                <w:rFonts w:ascii="Calibri" w:hAnsi="Calibri"/>
                <w:sz w:val="19"/>
              </w:rPr>
              <w:t>Paradigm shift</w:t>
            </w:r>
          </w:p>
        </w:tc>
      </w:tr>
      <w:tr>
        <w:tc>
          <w:tcPr>
            <w:tcW w:type="dxa" w:w="2340"/>
            <w:shd w:fill="F5F5F5"/>
          </w:tcPr>
          <w:p>
            <w:pPr>
              <w:spacing w:after="40" w:before="40"/>
            </w:pPr>
            <w:r>
              <w:rPr>
                <w:rFonts w:ascii="Calibri" w:hAnsi="Calibri"/>
                <w:sz w:val="19"/>
              </w:rPr>
            </w:r>
            <w:r>
              <w:rPr>
                <w:rFonts w:ascii="Calibri" w:hAnsi="Calibri"/>
                <w:sz w:val="19"/>
              </w:rPr>
              <w:t>Physicians comfortable with PGx</w:t>
            </w:r>
          </w:p>
        </w:tc>
        <w:tc>
          <w:tcPr>
            <w:tcW w:type="dxa" w:w="2340"/>
            <w:shd w:fill="F5F5F5"/>
          </w:tcPr>
          <w:p>
            <w:pPr>
              <w:spacing w:after="40" w:before="40"/>
            </w:pPr>
            <w:r>
              <w:rPr>
                <w:rFonts w:ascii="Calibri" w:hAnsi="Calibri"/>
                <w:sz w:val="19"/>
              </w:rPr>
            </w:r>
            <w:r>
              <w:rPr>
                <w:rFonts w:ascii="Calibri" w:hAnsi="Calibri"/>
                <w:sz w:val="19"/>
              </w:rPr>
              <w:t>15%</w:t>
            </w:r>
          </w:p>
        </w:tc>
        <w:tc>
          <w:tcPr>
            <w:tcW w:type="dxa" w:w="2340"/>
            <w:shd w:fill="F5F5F5"/>
          </w:tcPr>
          <w:p>
            <w:pPr>
              <w:spacing w:after="40" w:before="40"/>
            </w:pPr>
            <w:r>
              <w:rPr>
                <w:rFonts w:ascii="Calibri" w:hAnsi="Calibri"/>
                <w:sz w:val="19"/>
              </w:rPr>
            </w:r>
            <w:r>
              <w:rPr>
                <w:rFonts w:ascii="Calibri" w:hAnsi="Calibri"/>
                <w:sz w:val="19"/>
              </w:rPr>
              <w:t>&gt;80%</w:t>
            </w:r>
          </w:p>
        </w:tc>
        <w:tc>
          <w:tcPr>
            <w:tcW w:type="dxa" w:w="2340"/>
            <w:shd w:fill="F5F5F5"/>
          </w:tcPr>
          <w:p>
            <w:pPr>
              <w:spacing w:after="40" w:before="40"/>
            </w:pPr>
            <w:r>
              <w:rPr>
                <w:rFonts w:ascii="Calibri" w:hAnsi="Calibri"/>
                <w:sz w:val="19"/>
              </w:rPr>
            </w:r>
            <w:r>
              <w:rPr>
                <w:rFonts w:ascii="Calibri" w:hAnsi="Calibri"/>
                <w:sz w:val="19"/>
              </w:rPr>
              <w:t>5x</w:t>
            </w:r>
          </w:p>
        </w:tc>
      </w:tr>
      <w:tr>
        <w:tc>
          <w:tcPr>
            <w:tcW w:type="dxa" w:w="2340"/>
          </w:tcPr>
          <w:p>
            <w:pPr>
              <w:spacing w:after="40" w:before="40"/>
            </w:pPr>
            <w:r>
              <w:rPr>
                <w:rFonts w:ascii="Calibri" w:hAnsi="Calibri"/>
                <w:sz w:val="19"/>
              </w:rPr>
            </w:r>
            <w:r>
              <w:rPr>
                <w:rFonts w:ascii="Calibri" w:hAnsi="Calibri"/>
                <w:sz w:val="19"/>
              </w:rPr>
              <w:t>Pharmacogenes routinely tested</w:t>
            </w:r>
          </w:p>
        </w:tc>
        <w:tc>
          <w:tcPr>
            <w:tcW w:type="dxa" w:w="2340"/>
          </w:tcPr>
          <w:p>
            <w:pPr>
              <w:spacing w:after="40" w:before="40"/>
            </w:pPr>
            <w:r>
              <w:rPr>
                <w:rFonts w:ascii="Calibri" w:hAnsi="Calibri"/>
                <w:sz w:val="19"/>
              </w:rPr>
            </w:r>
            <w:r>
              <w:rPr>
                <w:rFonts w:ascii="Calibri" w:hAnsi="Calibri"/>
                <w:sz w:val="19"/>
              </w:rPr>
              <w:t>1-2 (reactive)</w:t>
            </w:r>
          </w:p>
        </w:tc>
        <w:tc>
          <w:tcPr>
            <w:tcW w:type="dxa" w:w="2340"/>
          </w:tcPr>
          <w:p>
            <w:pPr>
              <w:spacing w:after="40" w:before="40"/>
            </w:pPr>
            <w:r>
              <w:rPr>
                <w:rFonts w:ascii="Calibri" w:hAnsi="Calibri"/>
                <w:sz w:val="19"/>
              </w:rPr>
            </w:r>
            <w:r>
              <w:rPr>
                <w:rFonts w:ascii="Calibri" w:hAnsi="Calibri"/>
                <w:sz w:val="19"/>
              </w:rPr>
              <w:t>12-25 (pre-emptive panel)</w:t>
            </w:r>
          </w:p>
        </w:tc>
        <w:tc>
          <w:tcPr>
            <w:tcW w:type="dxa" w:w="2340"/>
          </w:tcPr>
          <w:p>
            <w:pPr>
              <w:spacing w:after="40" w:before="40"/>
            </w:pPr>
            <w:r>
              <w:rPr>
                <w:rFonts w:ascii="Calibri" w:hAnsi="Calibri"/>
                <w:sz w:val="19"/>
              </w:rPr>
            </w:r>
            <w:r>
              <w:rPr>
                <w:rFonts w:ascii="Calibri" w:hAnsi="Calibri"/>
                <w:sz w:val="19"/>
              </w:rPr>
              <w:t>10x</w:t>
            </w:r>
          </w:p>
        </w:tc>
      </w:tr>
      <w:tr>
        <w:tc>
          <w:tcPr>
            <w:tcW w:type="dxa" w:w="2340"/>
            <w:shd w:fill="F5F5F5"/>
          </w:tcPr>
          <w:p>
            <w:pPr>
              <w:spacing w:after="40" w:before="40"/>
            </w:pPr>
            <w:r>
              <w:rPr>
                <w:rFonts w:ascii="Calibri" w:hAnsi="Calibri"/>
                <w:sz w:val="19"/>
              </w:rPr>
            </w:r>
            <w:r>
              <w:rPr>
                <w:rFonts w:ascii="Calibri" w:hAnsi="Calibri"/>
                <w:sz w:val="19"/>
              </w:rPr>
              <w:t>PGx variants detected per genome</w:t>
            </w:r>
          </w:p>
        </w:tc>
        <w:tc>
          <w:tcPr>
            <w:tcW w:type="dxa" w:w="2340"/>
            <w:shd w:fill="F5F5F5"/>
          </w:tcPr>
          <w:p>
            <w:pPr>
              <w:spacing w:after="40" w:before="40"/>
            </w:pPr>
            <w:r>
              <w:rPr>
                <w:rFonts w:ascii="Calibri" w:hAnsi="Calibri"/>
                <w:sz w:val="19"/>
              </w:rPr>
            </w:r>
            <w:r>
              <w:rPr>
                <w:rFonts w:ascii="Calibri" w:hAnsi="Calibri"/>
                <w:sz w:val="19"/>
              </w:rPr>
              <w:t>~0 (not analyzed)</w:t>
            </w:r>
          </w:p>
        </w:tc>
        <w:tc>
          <w:tcPr>
            <w:tcW w:type="dxa" w:w="2340"/>
            <w:shd w:fill="F5F5F5"/>
          </w:tcPr>
          <w:p>
            <w:pPr>
              <w:spacing w:after="40" w:before="40"/>
            </w:pPr>
            <w:r>
              <w:rPr>
                <w:rFonts w:ascii="Calibri" w:hAnsi="Calibri"/>
                <w:sz w:val="19"/>
              </w:rPr>
            </w:r>
            <w:r>
              <w:rPr>
                <w:rFonts w:ascii="Calibri" w:hAnsi="Calibri"/>
                <w:sz w:val="19"/>
              </w:rPr>
              <w:t>15-50 actionable findings</w:t>
            </w:r>
          </w:p>
        </w:tc>
        <w:tc>
          <w:tcPr>
            <w:tcW w:type="dxa" w:w="2340"/>
            <w:shd w:fill="F5F5F5"/>
          </w:tcPr>
          <w:p>
            <w:pPr>
              <w:spacing w:after="40" w:before="40"/>
            </w:pPr>
            <w:r>
              <w:rPr>
                <w:rFonts w:ascii="Calibri" w:hAnsi="Calibri"/>
                <w:sz w:val="19"/>
              </w:rPr>
            </w:r>
            <w:r>
              <w:rPr>
                <w:rFonts w:ascii="Calibri" w:hAnsi="Calibri"/>
                <w:sz w:val="19"/>
              </w:rPr>
              <w:t>Infinite gap</w:t>
            </w:r>
          </w:p>
        </w:tc>
      </w:tr>
      <w:tr>
        <w:tc>
          <w:tcPr>
            <w:tcW w:type="dxa" w:w="2340"/>
          </w:tcPr>
          <w:p>
            <w:pPr>
              <w:spacing w:after="40" w:before="40"/>
            </w:pPr>
            <w:r>
              <w:rPr>
                <w:rFonts w:ascii="Calibri" w:hAnsi="Calibri"/>
                <w:sz w:val="19"/>
              </w:rPr>
            </w:r>
            <w:r>
              <w:rPr>
                <w:rFonts w:ascii="Calibri" w:hAnsi="Calibri"/>
                <w:sz w:val="19"/>
              </w:rPr>
              <w:t>Drug-gene alerts at prescribing</w:t>
            </w:r>
          </w:p>
        </w:tc>
        <w:tc>
          <w:tcPr>
            <w:tcW w:type="dxa" w:w="2340"/>
          </w:tcPr>
          <w:p>
            <w:pPr>
              <w:spacing w:after="40" w:before="40"/>
            </w:pPr>
            <w:r>
              <w:rPr>
                <w:rFonts w:ascii="Calibri" w:hAnsi="Calibri"/>
                <w:sz w:val="19"/>
              </w:rPr>
            </w:r>
            <w:r>
              <w:rPr>
                <w:rFonts w:ascii="Calibri" w:hAnsi="Calibri"/>
                <w:sz w:val="19"/>
              </w:rPr>
              <w:t>Near zero</w:t>
            </w:r>
          </w:p>
        </w:tc>
        <w:tc>
          <w:tcPr>
            <w:tcW w:type="dxa" w:w="2340"/>
          </w:tcPr>
          <w:p>
            <w:pPr>
              <w:spacing w:after="40" w:before="40"/>
            </w:pPr>
            <w:r>
              <w:rPr>
                <w:rFonts w:ascii="Calibri" w:hAnsi="Calibri"/>
                <w:sz w:val="19"/>
              </w:rPr>
            </w:r>
            <w:r>
              <w:rPr>
                <w:rFonts w:ascii="Calibri" w:hAnsi="Calibri"/>
                <w:sz w:val="19"/>
              </w:rPr>
              <w:t>Every PGx-relevant prescription</w:t>
            </w:r>
          </w:p>
        </w:tc>
        <w:tc>
          <w:tcPr>
            <w:tcW w:type="dxa" w:w="2340"/>
          </w:tcPr>
          <w:p>
            <w:pPr>
              <w:spacing w:after="40" w:before="40"/>
            </w:pPr>
            <w:r>
              <w:rPr>
                <w:rFonts w:ascii="Calibri" w:hAnsi="Calibri"/>
                <w:sz w:val="19"/>
              </w:rPr>
            </w:r>
            <w:r>
              <w:rPr>
                <w:rFonts w:ascii="Calibri" w:hAnsi="Calibri"/>
                <w:sz w:val="19"/>
              </w:rPr>
              <w:t>Total gap</w:t>
            </w:r>
          </w:p>
        </w:tc>
      </w:tr>
    </w:tbl>
    <w:p/>
    <w:p>
      <w:pPr>
        <w:pStyle w:val="Heading3"/>
      </w:pPr>
      <w:r>
        <w:t>2.3 The Pre-emptive vs. Reactive Testing Paradigm</w:t>
      </w:r>
    </w:p>
    <w:p>
      <w:r>
        <w:t>The field is shifting from reactive PGx testing (test one gene when prescribing one drug) to pre-emptive PGx testing (test a panel of pharmacogenes BEFORE any drug is needed, store results for life). This paradigm shift is essential because:</w:t>
      </w:r>
    </w:p>
    <w:p>
      <w:pPr>
        <w:pStyle w:val="ListNumber"/>
        <w:spacing w:after="60"/>
      </w:pPr>
      <w:r>
        <w:rPr>
          <w:b/>
        </w:rPr>
        <w:t>Genomic data is stable:</w:t>
      </w:r>
      <w:r>
        <w:t xml:space="preserve"> Unlike lab values, a patient's PGx genotype never changes. Test once, use forever.</w:t>
      </w:r>
    </w:p>
    <w:p>
      <w:pPr>
        <w:pStyle w:val="ListNumber"/>
        <w:spacing w:after="60"/>
      </w:pPr>
      <w:r>
        <w:rPr>
          <w:b/>
        </w:rPr>
        <w:t>Reactive testing is too slow:</w:t>
      </w:r>
      <w:r>
        <w:t xml:space="preserve"> When a patient needs pain medication in the ER, there is no time to wait 7 days for CYP2D6 results.</w:t>
      </w:r>
    </w:p>
    <w:p>
      <w:pPr>
        <w:pStyle w:val="ListNumber"/>
        <w:spacing w:after="60"/>
      </w:pPr>
      <w:r>
        <w:rPr>
          <w:b/>
        </w:rPr>
        <w:t>Pre-emptive panels are cost-effective:</w:t>
      </w:r>
      <w:r>
        <w:t xml:space="preserve"> A $250-$500 multi-gene panel tested once replaces dozens of single-gene tests ($100-$300 each) over a lifetime.</w:t>
      </w:r>
    </w:p>
    <w:p>
      <w:pPr>
        <w:pStyle w:val="ListNumber"/>
        <w:spacing w:after="60"/>
      </w:pPr>
      <w:r>
        <w:rPr>
          <w:b/>
        </w:rPr>
        <w:t>EHR alerts require pre-existing data:</w:t>
      </w:r>
      <w:r>
        <w:t xml:space="preserve"> Clinical decision support can only fire at the moment of prescribing if PGx results are already in the system.</w:t>
      </w:r>
    </w:p>
    <w:p>
      <w:r>
        <w:t>The Pharmacogenomics Intelligence Agent is architected for the pre-emptive paradigm: it processes a patient's entire genome once, extracts all pharmacogenomic variants, and stores the complete PGx profile in persistent Milvus collections. Every subsequent prescribing query -- whether today or in 20 years -- can be answered instantly.</w:t>
      </w:r>
    </w:p>
    <w:p>
      <w:pPr>
        <w:spacing w:before="160" w:after="160"/>
        <w:jc w:val="center"/>
      </w:pPr>
      <w:r>
        <w:rPr>
          <w:color w:val="76B900"/>
          <w:sz w:val="16"/>
        </w:rPr>
        <w:t>━━━━━━━━━━━━━━━━━━━━━━━━━━━━━━━━━━━━━━━━━━━━━━━━━━━━━━━━━━━━</w:t>
      </w:r>
    </w:p>
    <w:p>
      <w:r>
        <w:br w:type="page"/>
      </w:r>
    </w:p>
    <w:p>
      <w:pPr>
        <w:pStyle w:val="Heading2"/>
      </w:pPr>
      <w:r>
        <w:t>3. Clinical Landscape and Market Analysis</w:t>
      </w:r>
    </w:p>
    <w:p>
      <w:pPr>
        <w:pStyle w:val="Heading3"/>
      </w:pPr>
      <w:r>
        <w:t>3.1 Market Size and Growth</w:t>
      </w:r>
    </w:p>
    <w:p>
      <w:r>
        <w:t>The pharmacogenomics market is experiencing rapid growth driven by declining sequencing costs, regulatory mandates, and health system adoption:</w:t>
      </w:r>
    </w:p>
    <w:p>
      <w:pPr>
        <w:pStyle w:val="ListBullet"/>
        <w:spacing w:after="60"/>
      </w:pPr>
      <w:r>
        <w:rPr>
          <w:b/>
        </w:rPr>
        <w:t>Global PGx market (2025):</w:t>
      </w:r>
      <w:r>
        <w:t xml:space="preserve"> $4.1 billion</w:t>
      </w:r>
    </w:p>
    <w:p>
      <w:pPr>
        <w:pStyle w:val="ListBullet"/>
        <w:spacing w:after="60"/>
      </w:pPr>
      <w:r>
        <w:rPr>
          <w:b/>
        </w:rPr>
        <w:t>Projected (2030):</w:t>
      </w:r>
      <w:r>
        <w:t xml:space="preserve"> $11.2 billion (CAGR 22.1%)</w:t>
      </w:r>
    </w:p>
    <w:p>
      <w:pPr>
        <w:pStyle w:val="ListBullet"/>
        <w:spacing w:after="60"/>
      </w:pPr>
      <w:r>
        <w:rPr>
          <w:b/>
        </w:rPr>
        <w:t>PGx testing volume growth:</w:t>
      </w:r>
      <w:r>
        <w:t xml:space="preserve"> 30-40% annually</w:t>
      </w:r>
    </w:p>
    <w:p>
      <w:pPr>
        <w:pStyle w:val="ListBullet"/>
        <w:spacing w:after="60"/>
      </w:pPr>
      <w:r>
        <w:rPr>
          <w:b/>
        </w:rPr>
        <w:t>DTC PGx testing:</w:t>
      </w:r>
      <w:r>
        <w:t xml:space="preserve"> $800 million (2025), growing 25% annually</w:t>
      </w:r>
    </w:p>
    <w:p>
      <w:pPr>
        <w:pStyle w:val="ListBullet"/>
        <w:spacing w:after="60"/>
      </w:pPr>
      <w:r>
        <w:rPr>
          <w:b/>
        </w:rPr>
        <w:t>PGx clinical decision support software:</w:t>
      </w:r>
      <w:r>
        <w:t xml:space="preserve"> $420 million (2025), growing 35% annually</w:t>
      </w:r>
    </w:p>
    <w:p>
      <w:pPr>
        <w:pStyle w:val="Heading3"/>
      </w:pPr>
      <w:r>
        <w:t>3.2 Key Market Drivers</w:t>
      </w:r>
    </w:p>
    <w:p>
      <w:pPr>
        <w:pStyle w:val="ListNumber"/>
        <w:spacing w:after="60"/>
      </w:pPr>
      <w:r>
        <w:rPr>
          <w:b/>
        </w:rPr>
        <w:t>Regulatory mandates:</w:t>
      </w:r>
      <w:r>
        <w:t xml:space="preserve"> EMA requires DPYD testing before fluoropyrimidines (2020). FDA adding PGx to more drug labels annually. CMS considering PGx coverage expansion.</w:t>
      </w:r>
    </w:p>
    <w:p>
      <w:pPr>
        <w:pStyle w:val="ListNumber"/>
        <w:spacing w:after="60"/>
      </w:pPr>
      <w:r>
        <w:rPr>
          <w:b/>
        </w:rPr>
        <w:t>Health system initiatives:</w:t>
      </w:r>
      <w:r>
        <w:t xml:space="preserve"> 80+ U.S. health systems have PGx implementation programs (IGNITE Network, CPIC institutions). Mayo Clinic, St. Jude, Vanderbilt, University of Florida leading adoption.</w:t>
      </w:r>
    </w:p>
    <w:p>
      <w:pPr>
        <w:pStyle w:val="ListNumber"/>
        <w:spacing w:after="60"/>
      </w:pPr>
      <w:r>
        <w:rPr>
          <w:b/>
        </w:rPr>
        <w:t>Payer coverage:</w:t>
      </w:r>
      <w:r>
        <w:t xml:space="preserve"> UnitedHealthcare, Cigna, and Aetna now cover multi-gene PGx panels for select indications. Medicare MAC coverage expanding.</w:t>
      </w:r>
    </w:p>
    <w:p>
      <w:pPr>
        <w:pStyle w:val="ListNumber"/>
        <w:spacing w:after="60"/>
      </w:pPr>
      <w:r>
        <w:rPr>
          <w:b/>
        </w:rPr>
        <w:t>Pharmacist-led models:</w:t>
      </w:r>
      <w:r>
        <w:t xml:space="preserve"> Clinical pharmacists are driving PGx adoption through medication therapy management programs.</w:t>
      </w:r>
    </w:p>
    <w:p>
      <w:pPr>
        <w:pStyle w:val="ListNumber"/>
        <w:spacing w:after="60"/>
      </w:pPr>
      <w:r>
        <w:rPr>
          <w:b/>
        </w:rPr>
        <w:t>Legal liability:</w:t>
      </w:r>
      <w:r>
        <w:t xml:space="preserve"> Failure to test PGx before prescribing drugs with known genetic interactions is becoming a malpractice concern (Marchetti v. United States, 2022).</w:t>
      </w:r>
    </w:p>
    <w:p>
      <w:pPr>
        <w:pStyle w:val="Heading3"/>
      </w:pPr>
      <w:r>
        <w:t>3.3 Competitive Landscape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Company</w:t>
            </w:r>
          </w:p>
        </w:tc>
        <w:tc>
          <w:tcPr>
            <w:tcW w:type="dxa" w:w="2340"/>
            <w:shd w:fill="1A1A2E"/>
          </w:tcPr>
          <w:p>
            <w:pPr>
              <w:spacing w:after="40" w:before="40"/>
            </w:pPr>
            <w:r/>
            <w:r>
              <w:rPr>
                <w:rFonts w:ascii="Calibri" w:hAnsi="Calibri"/>
                <w:b/>
                <w:color w:val="FFFFFF"/>
                <w:sz w:val="20"/>
              </w:rPr>
              <w:t>Product</w:t>
            </w:r>
          </w:p>
        </w:tc>
        <w:tc>
          <w:tcPr>
            <w:tcW w:type="dxa" w:w="2340"/>
            <w:shd w:fill="1A1A2E"/>
          </w:tcPr>
          <w:p>
            <w:pPr>
              <w:spacing w:after="40" w:before="40"/>
            </w:pPr>
            <w:r/>
            <w:r>
              <w:rPr>
                <w:rFonts w:ascii="Calibri" w:hAnsi="Calibri"/>
                <w:b/>
                <w:color w:val="FFFFFF"/>
                <w:sz w:val="20"/>
              </w:rPr>
              <w:t>Approach</w:t>
            </w:r>
          </w:p>
        </w:tc>
        <w:tc>
          <w:tcPr>
            <w:tcW w:type="dxa" w:w="2340"/>
            <w:shd w:fill="1A1A2E"/>
          </w:tcPr>
          <w:p>
            <w:pPr>
              <w:spacing w:after="40" w:before="40"/>
            </w:pPr>
            <w:r/>
            <w:r>
              <w:rPr>
                <w:rFonts w:ascii="Calibri" w:hAnsi="Calibri"/>
                <w:b/>
                <w:color w:val="FFFFFF"/>
                <w:sz w:val="20"/>
              </w:rPr>
              <w:t>Limitations</w:t>
            </w:r>
          </w:p>
        </w:tc>
      </w:tr>
      <w:tr>
        <w:tc>
          <w:tcPr>
            <w:tcW w:type="dxa" w:w="2340"/>
          </w:tcPr>
          <w:p>
            <w:pPr>
              <w:spacing w:after="40" w:before="40"/>
            </w:pPr>
            <w:r>
              <w:rPr>
                <w:rFonts w:ascii="Calibri" w:hAnsi="Calibri"/>
                <w:sz w:val="19"/>
              </w:rPr>
            </w:r>
            <w:r>
              <w:rPr>
                <w:rFonts w:ascii="Calibri" w:hAnsi="Calibri"/>
                <w:sz w:val="19"/>
              </w:rPr>
              <w:t>OneOme</w:t>
            </w:r>
          </w:p>
        </w:tc>
        <w:tc>
          <w:tcPr>
            <w:tcW w:type="dxa" w:w="2340"/>
          </w:tcPr>
          <w:p>
            <w:pPr>
              <w:spacing w:after="40" w:before="40"/>
            </w:pPr>
            <w:r>
              <w:rPr>
                <w:rFonts w:ascii="Calibri" w:hAnsi="Calibri"/>
                <w:sz w:val="19"/>
              </w:rPr>
            </w:r>
            <w:r>
              <w:rPr>
                <w:rFonts w:ascii="Calibri" w:hAnsi="Calibri"/>
                <w:sz w:val="19"/>
              </w:rPr>
              <w:t>RightMed</w:t>
            </w:r>
          </w:p>
        </w:tc>
        <w:tc>
          <w:tcPr>
            <w:tcW w:type="dxa" w:w="2340"/>
          </w:tcPr>
          <w:p>
            <w:pPr>
              <w:spacing w:after="40" w:before="40"/>
            </w:pPr>
            <w:r>
              <w:rPr>
                <w:rFonts w:ascii="Calibri" w:hAnsi="Calibri"/>
                <w:sz w:val="19"/>
              </w:rPr>
            </w:r>
            <w:r>
              <w:rPr>
                <w:rFonts w:ascii="Calibri" w:hAnsi="Calibri"/>
                <w:sz w:val="19"/>
              </w:rPr>
              <w:t>Panel test + CDS portal</w:t>
            </w:r>
          </w:p>
        </w:tc>
        <w:tc>
          <w:tcPr>
            <w:tcW w:type="dxa" w:w="2340"/>
          </w:tcPr>
          <w:p>
            <w:pPr>
              <w:spacing w:after="40" w:before="40"/>
            </w:pPr>
            <w:r>
              <w:rPr>
                <w:rFonts w:ascii="Calibri" w:hAnsi="Calibri"/>
                <w:sz w:val="19"/>
              </w:rPr>
            </w:r>
            <w:r>
              <w:rPr>
                <w:rFonts w:ascii="Calibri" w:hAnsi="Calibri"/>
                <w:sz w:val="19"/>
              </w:rPr>
              <w:t>No genomics integration, proprietary</w:t>
            </w:r>
          </w:p>
        </w:tc>
      </w:tr>
      <w:tr>
        <w:tc>
          <w:tcPr>
            <w:tcW w:type="dxa" w:w="2340"/>
            <w:shd w:fill="F5F5F5"/>
          </w:tcPr>
          <w:p>
            <w:pPr>
              <w:spacing w:after="40" w:before="40"/>
            </w:pPr>
            <w:r>
              <w:rPr>
                <w:rFonts w:ascii="Calibri" w:hAnsi="Calibri"/>
                <w:sz w:val="19"/>
              </w:rPr>
            </w:r>
            <w:r>
              <w:rPr>
                <w:rFonts w:ascii="Calibri" w:hAnsi="Calibri"/>
                <w:sz w:val="19"/>
              </w:rPr>
              <w:t>Myriad Genetics</w:t>
            </w:r>
          </w:p>
        </w:tc>
        <w:tc>
          <w:tcPr>
            <w:tcW w:type="dxa" w:w="2340"/>
            <w:shd w:fill="F5F5F5"/>
          </w:tcPr>
          <w:p>
            <w:pPr>
              <w:spacing w:after="40" w:before="40"/>
            </w:pPr>
            <w:r>
              <w:rPr>
                <w:rFonts w:ascii="Calibri" w:hAnsi="Calibri"/>
                <w:sz w:val="19"/>
              </w:rPr>
            </w:r>
            <w:r>
              <w:rPr>
                <w:rFonts w:ascii="Calibri" w:hAnsi="Calibri"/>
                <w:sz w:val="19"/>
              </w:rPr>
              <w:t>GeneSight</w:t>
            </w:r>
          </w:p>
        </w:tc>
        <w:tc>
          <w:tcPr>
            <w:tcW w:type="dxa" w:w="2340"/>
            <w:shd w:fill="F5F5F5"/>
          </w:tcPr>
          <w:p>
            <w:pPr>
              <w:spacing w:after="40" w:before="40"/>
            </w:pPr>
            <w:r>
              <w:rPr>
                <w:rFonts w:ascii="Calibri" w:hAnsi="Calibri"/>
                <w:sz w:val="19"/>
              </w:rPr>
            </w:r>
            <w:r>
              <w:rPr>
                <w:rFonts w:ascii="Calibri" w:hAnsi="Calibri"/>
                <w:sz w:val="19"/>
              </w:rPr>
              <w:t>Psychiatric PGx panel</w:t>
            </w:r>
          </w:p>
        </w:tc>
        <w:tc>
          <w:tcPr>
            <w:tcW w:type="dxa" w:w="2340"/>
            <w:shd w:fill="F5F5F5"/>
          </w:tcPr>
          <w:p>
            <w:pPr>
              <w:spacing w:after="40" w:before="40"/>
            </w:pPr>
            <w:r>
              <w:rPr>
                <w:rFonts w:ascii="Calibri" w:hAnsi="Calibri"/>
                <w:sz w:val="19"/>
              </w:rPr>
            </w:r>
            <w:r>
              <w:rPr>
                <w:rFonts w:ascii="Calibri" w:hAnsi="Calibri"/>
                <w:sz w:val="19"/>
              </w:rPr>
              <w:t>Narrow scope (psych only), criticized evidence base</w:t>
            </w:r>
          </w:p>
        </w:tc>
      </w:tr>
      <w:tr>
        <w:tc>
          <w:tcPr>
            <w:tcW w:type="dxa" w:w="2340"/>
          </w:tcPr>
          <w:p>
            <w:pPr>
              <w:spacing w:after="40" w:before="40"/>
            </w:pPr>
            <w:r>
              <w:rPr>
                <w:rFonts w:ascii="Calibri" w:hAnsi="Calibri"/>
                <w:sz w:val="19"/>
              </w:rPr>
            </w:r>
            <w:r>
              <w:rPr>
                <w:rFonts w:ascii="Calibri" w:hAnsi="Calibri"/>
                <w:sz w:val="19"/>
              </w:rPr>
              <w:t>Invitae/Tempus</w:t>
            </w:r>
          </w:p>
        </w:tc>
        <w:tc>
          <w:tcPr>
            <w:tcW w:type="dxa" w:w="2340"/>
          </w:tcPr>
          <w:p>
            <w:pPr>
              <w:spacing w:after="40" w:before="40"/>
            </w:pPr>
            <w:r>
              <w:rPr>
                <w:rFonts w:ascii="Calibri" w:hAnsi="Calibri"/>
                <w:sz w:val="19"/>
              </w:rPr>
            </w:r>
            <w:r>
              <w:rPr>
                <w:rFonts w:ascii="Calibri" w:hAnsi="Calibri"/>
                <w:sz w:val="19"/>
              </w:rPr>
              <w:t>PGx panels</w:t>
            </w:r>
          </w:p>
        </w:tc>
        <w:tc>
          <w:tcPr>
            <w:tcW w:type="dxa" w:w="2340"/>
          </w:tcPr>
          <w:p>
            <w:pPr>
              <w:spacing w:after="40" w:before="40"/>
            </w:pPr>
            <w:r>
              <w:rPr>
                <w:rFonts w:ascii="Calibri" w:hAnsi="Calibri"/>
                <w:sz w:val="19"/>
              </w:rPr>
            </w:r>
            <w:r>
              <w:rPr>
                <w:rFonts w:ascii="Calibri" w:hAnsi="Calibri"/>
                <w:sz w:val="19"/>
              </w:rPr>
              <w:t>Testing + basic CDS</w:t>
            </w:r>
          </w:p>
        </w:tc>
        <w:tc>
          <w:tcPr>
            <w:tcW w:type="dxa" w:w="2340"/>
          </w:tcPr>
          <w:p>
            <w:pPr>
              <w:spacing w:after="40" w:before="40"/>
            </w:pPr>
            <w:r>
              <w:rPr>
                <w:rFonts w:ascii="Calibri" w:hAnsi="Calibri"/>
                <w:sz w:val="19"/>
              </w:rPr>
            </w:r>
            <w:r>
              <w:rPr>
                <w:rFonts w:ascii="Calibri" w:hAnsi="Calibri"/>
                <w:sz w:val="19"/>
              </w:rPr>
              <w:t>No RAG, limited multi-gene interaction</w:t>
            </w:r>
          </w:p>
        </w:tc>
      </w:tr>
      <w:tr>
        <w:tc>
          <w:tcPr>
            <w:tcW w:type="dxa" w:w="2340"/>
            <w:shd w:fill="F5F5F5"/>
          </w:tcPr>
          <w:p>
            <w:pPr>
              <w:spacing w:after="40" w:before="40"/>
            </w:pPr>
            <w:r>
              <w:rPr>
                <w:rFonts w:ascii="Calibri" w:hAnsi="Calibri"/>
                <w:sz w:val="19"/>
              </w:rPr>
            </w:r>
            <w:r>
              <w:rPr>
                <w:rFonts w:ascii="Calibri" w:hAnsi="Calibri"/>
                <w:sz w:val="19"/>
              </w:rPr>
              <w:t>Clinical Pharmacogenomics Implementation Consortium</w:t>
            </w:r>
          </w:p>
        </w:tc>
        <w:tc>
          <w:tcPr>
            <w:tcW w:type="dxa" w:w="2340"/>
            <w:shd w:fill="F5F5F5"/>
          </w:tcPr>
          <w:p>
            <w:pPr>
              <w:spacing w:after="40" w:before="40"/>
            </w:pPr>
            <w:r>
              <w:rPr>
                <w:rFonts w:ascii="Calibri" w:hAnsi="Calibri"/>
                <w:sz w:val="19"/>
              </w:rPr>
            </w:r>
            <w:r>
              <w:rPr>
                <w:rFonts w:ascii="Calibri" w:hAnsi="Calibri"/>
                <w:sz w:val="19"/>
              </w:rPr>
              <w:t>CPIC guidelines</w:t>
            </w:r>
          </w:p>
        </w:tc>
        <w:tc>
          <w:tcPr>
            <w:tcW w:type="dxa" w:w="2340"/>
            <w:shd w:fill="F5F5F5"/>
          </w:tcPr>
          <w:p>
            <w:pPr>
              <w:spacing w:after="40" w:before="40"/>
            </w:pPr>
            <w:r>
              <w:rPr>
                <w:rFonts w:ascii="Calibri" w:hAnsi="Calibri"/>
                <w:sz w:val="19"/>
              </w:rPr>
            </w:r>
            <w:r>
              <w:rPr>
                <w:rFonts w:ascii="Calibri" w:hAnsi="Calibri"/>
                <w:sz w:val="19"/>
              </w:rPr>
              <w:t>Gold-standard guidelines (free)</w:t>
            </w:r>
          </w:p>
        </w:tc>
        <w:tc>
          <w:tcPr>
            <w:tcW w:type="dxa" w:w="2340"/>
            <w:shd w:fill="F5F5F5"/>
          </w:tcPr>
          <w:p>
            <w:pPr>
              <w:spacing w:after="40" w:before="40"/>
            </w:pPr>
            <w:r>
              <w:rPr>
                <w:rFonts w:ascii="Calibri" w:hAnsi="Calibri"/>
                <w:sz w:val="19"/>
              </w:rPr>
            </w:r>
            <w:r>
              <w:rPr>
                <w:rFonts w:ascii="Calibri" w:hAnsi="Calibri"/>
                <w:sz w:val="19"/>
              </w:rPr>
              <w:t>Text-based, no CDS integration</w:t>
            </w:r>
          </w:p>
        </w:tc>
      </w:tr>
      <w:tr>
        <w:tc>
          <w:tcPr>
            <w:tcW w:type="dxa" w:w="2340"/>
          </w:tcPr>
          <w:p>
            <w:pPr>
              <w:spacing w:after="40" w:before="40"/>
            </w:pPr>
            <w:r>
              <w:rPr>
                <w:rFonts w:ascii="Calibri" w:hAnsi="Calibri"/>
                <w:sz w:val="19"/>
              </w:rPr>
            </w:r>
            <w:r>
              <w:rPr>
                <w:rFonts w:ascii="Calibri" w:hAnsi="Calibri"/>
                <w:sz w:val="19"/>
              </w:rPr>
              <w:t>Translational Software</w:t>
            </w:r>
          </w:p>
        </w:tc>
        <w:tc>
          <w:tcPr>
            <w:tcW w:type="dxa" w:w="2340"/>
          </w:tcPr>
          <w:p>
            <w:pPr>
              <w:spacing w:after="40" w:before="40"/>
            </w:pPr>
            <w:r>
              <w:rPr>
                <w:rFonts w:ascii="Calibri" w:hAnsi="Calibri"/>
                <w:sz w:val="19"/>
              </w:rPr>
            </w:r>
            <w:r>
              <w:rPr>
                <w:rFonts w:ascii="Calibri" w:hAnsi="Calibri"/>
                <w:sz w:val="19"/>
              </w:rPr>
              <w:t>PGx CDS</w:t>
            </w:r>
          </w:p>
        </w:tc>
        <w:tc>
          <w:tcPr>
            <w:tcW w:type="dxa" w:w="2340"/>
          </w:tcPr>
          <w:p>
            <w:pPr>
              <w:spacing w:after="40" w:before="40"/>
            </w:pPr>
            <w:r>
              <w:rPr>
                <w:rFonts w:ascii="Calibri" w:hAnsi="Calibri"/>
                <w:sz w:val="19"/>
              </w:rPr>
            </w:r>
            <w:r>
              <w:rPr>
                <w:rFonts w:ascii="Calibri" w:hAnsi="Calibri"/>
                <w:sz w:val="19"/>
              </w:rPr>
              <w:t>Standalone CDS engine</w:t>
            </w:r>
          </w:p>
        </w:tc>
        <w:tc>
          <w:tcPr>
            <w:tcW w:type="dxa" w:w="2340"/>
          </w:tcPr>
          <w:p>
            <w:pPr>
              <w:spacing w:after="40" w:before="40"/>
            </w:pPr>
            <w:r>
              <w:rPr>
                <w:rFonts w:ascii="Calibri" w:hAnsi="Calibri"/>
                <w:sz w:val="19"/>
              </w:rPr>
            </w:r>
            <w:r>
              <w:rPr>
                <w:rFonts w:ascii="Calibri" w:hAnsi="Calibri"/>
                <w:sz w:val="19"/>
              </w:rPr>
              <w:t>No genomic pipeline integration</w:t>
            </w:r>
          </w:p>
        </w:tc>
      </w:tr>
      <w:tr>
        <w:tc>
          <w:tcPr>
            <w:tcW w:type="dxa" w:w="2340"/>
            <w:shd w:fill="F5F5F5"/>
          </w:tcPr>
          <w:p>
            <w:pPr>
              <w:spacing w:after="40" w:before="40"/>
            </w:pPr>
            <w:r>
              <w:rPr>
                <w:rFonts w:ascii="Calibri" w:hAnsi="Calibri"/>
                <w:sz w:val="19"/>
              </w:rPr>
            </w:r>
            <w:r>
              <w:rPr>
                <w:rFonts w:ascii="Calibri" w:hAnsi="Calibri"/>
                <w:sz w:val="19"/>
              </w:rPr>
              <w:t>Color Health</w:t>
            </w:r>
          </w:p>
        </w:tc>
        <w:tc>
          <w:tcPr>
            <w:tcW w:type="dxa" w:w="2340"/>
            <w:shd w:fill="F5F5F5"/>
          </w:tcPr>
          <w:p>
            <w:pPr>
              <w:spacing w:after="40" w:before="40"/>
            </w:pPr>
            <w:r>
              <w:rPr>
                <w:rFonts w:ascii="Calibri" w:hAnsi="Calibri"/>
                <w:sz w:val="19"/>
              </w:rPr>
            </w:r>
            <w:r>
              <w:rPr>
                <w:rFonts w:ascii="Calibri" w:hAnsi="Calibri"/>
                <w:sz w:val="19"/>
              </w:rPr>
              <w:t>PGx program</w:t>
            </w:r>
          </w:p>
        </w:tc>
        <w:tc>
          <w:tcPr>
            <w:tcW w:type="dxa" w:w="2340"/>
            <w:shd w:fill="F5F5F5"/>
          </w:tcPr>
          <w:p>
            <w:pPr>
              <w:spacing w:after="40" w:before="40"/>
            </w:pPr>
            <w:r>
              <w:rPr>
                <w:rFonts w:ascii="Calibri" w:hAnsi="Calibri"/>
                <w:sz w:val="19"/>
              </w:rPr>
            </w:r>
            <w:r>
              <w:rPr>
                <w:rFonts w:ascii="Calibri" w:hAnsi="Calibri"/>
                <w:sz w:val="19"/>
              </w:rPr>
              <w:t>Employer-based testing</w:t>
            </w:r>
          </w:p>
        </w:tc>
        <w:tc>
          <w:tcPr>
            <w:tcW w:type="dxa" w:w="2340"/>
            <w:shd w:fill="F5F5F5"/>
          </w:tcPr>
          <w:p>
            <w:pPr>
              <w:spacing w:after="40" w:before="40"/>
            </w:pPr>
            <w:r>
              <w:rPr>
                <w:rFonts w:ascii="Calibri" w:hAnsi="Calibri"/>
                <w:sz w:val="19"/>
              </w:rPr>
            </w:r>
            <w:r>
              <w:rPr>
                <w:rFonts w:ascii="Calibri" w:hAnsi="Calibri"/>
                <w:sz w:val="19"/>
              </w:rPr>
              <w:t>Limited clinical depth</w:t>
            </w:r>
          </w:p>
        </w:tc>
      </w:tr>
    </w:tbl>
    <w:p/>
    <w:p>
      <w:r>
        <w:rPr>
          <w:b/>
        </w:rPr>
        <w:t>Gap our agent fills:</w:t>
      </w:r>
      <w:r>
        <w:t xml:space="preserve"> No existing product combines (1) whole-genome pharmacogenomic extraction from a genomics pipeline, (2) multi-collection RAG over CPIC/DPWG/FDA guidelines, (3) multi-gene interaction modeling, (4) phenoconversion detection, (5) HLA-mediated hypersensitivity screening, and (6) natural language clinical queries -- all running on a $3,999 local device with no cloud data exposure.</w:t>
      </w:r>
    </w:p>
    <w:p>
      <w:pPr>
        <w:spacing w:before="160" w:after="160"/>
        <w:jc w:val="center"/>
      </w:pPr>
      <w:r>
        <w:rPr>
          <w:color w:val="76B900"/>
          <w:sz w:val="16"/>
        </w:rPr>
        <w:t>━━━━━━━━━━━━━━━━━━━━━━━━━━━━━━━━━━━━━━━━━━━━━━━━━━━━━━━━━━━━</w:t>
      </w:r>
    </w:p>
    <w:p>
      <w:r>
        <w:br w:type="page"/>
      </w:r>
    </w:p>
    <w:p>
      <w:pPr>
        <w:pStyle w:val="Heading2"/>
      </w:pPr>
      <w:r>
        <w:t>4. Existing HCLS AI Factory Architecture</w:t>
      </w:r>
    </w:p>
    <w:p>
      <w:pPr>
        <w:pStyle w:val="Heading3"/>
      </w:pPr>
      <w:r>
        <w:t>4.1 Three-Stage Pipeline</w:t>
      </w:r>
    </w:p>
    <w:p>
      <w:r>
        <w:t>The HCLS AI Factory is an end-to-end precision medicine platform deployed on NVIDIA DGX Spark. Its three-stage pipeline provides the foundational infrastructure that the Pharmacogenomics Intelligence Agent builds upon:</w:t>
      </w:r>
    </w:p>
    <w:p>
      <w:r>
        <w:rPr>
          <w:b/>
        </w:rPr>
        <w:t>Stage 1: Genomics Pipeline</w:t>
      </w:r>
      <w:r>
        <w:t xml:space="preserve"> (</w:t>
      </w:r>
      <w:r>
        <w:rPr>
          <w:rFonts w:ascii="Consolas" w:hAnsi="Consolas"/>
          <w:color w:val="C7254E"/>
          <w:sz w:val="19"/>
        </w:rPr>
        <w:t>genomics-pipeline/</w:t>
      </w:r>
      <w:r>
        <w:t>)</w:t>
      </w:r>
    </w:p>
    <w:p>
      <w:pPr>
        <w:pStyle w:val="ListBullet"/>
        <w:spacing w:after="60"/>
      </w:pPr>
      <w:r>
        <w:t>Input: FASTQ (raw sequencing data) or pre-aligned BAM</w:t>
      </w:r>
    </w:p>
    <w:p>
      <w:pPr>
        <w:pStyle w:val="ListBullet"/>
        <w:spacing w:after="60"/>
      </w:pPr>
      <w:r>
        <w:t>Processing: BWA-MEM2 alignment → Parabricks/DeepVariant variant calling</w:t>
      </w:r>
    </w:p>
    <w:p>
      <w:pPr>
        <w:pStyle w:val="ListBullet"/>
        <w:spacing w:after="60"/>
      </w:pPr>
      <w:r>
        <w:t>Output: Annotated VCF files with 11.7 million variants per genome</w:t>
      </w:r>
    </w:p>
    <w:p>
      <w:pPr>
        <w:pStyle w:val="ListBullet"/>
        <w:spacing w:after="60"/>
      </w:pPr>
      <w:r>
        <w:t xml:space="preserve">Relevance to PGx: </w:t>
      </w:r>
      <w:r>
        <w:rPr>
          <w:b/>
        </w:rPr>
        <w:t>VCF output contains all pharmacogenomic variants</w:t>
      </w:r>
      <w:r>
        <w:t xml:space="preserve"> but they are not currently extracted, interpreted, or translated to prescribing guidance</w:t>
      </w:r>
    </w:p>
    <w:p>
      <w:r>
        <w:rPr>
          <w:b/>
        </w:rPr>
        <w:t>Stage 2: RAG/Chat Pipeline</w:t>
      </w:r>
      <w:r>
        <w:t xml:space="preserve"> (</w:t>
      </w:r>
      <w:r>
        <w:rPr>
          <w:rFonts w:ascii="Consolas" w:hAnsi="Consolas"/>
          <w:color w:val="C7254E"/>
          <w:sz w:val="19"/>
        </w:rPr>
        <w:t>rag-chat-pipeline/</w:t>
      </w:r>
      <w:r>
        <w:t>)</w:t>
      </w:r>
    </w:p>
    <w:p>
      <w:pPr>
        <w:pStyle w:val="ListBullet"/>
        <w:spacing w:after="60"/>
      </w:pPr>
      <w:r>
        <w:t>Milvus vector database (19530) with BGE-small-en-v1.5 embeddings</w:t>
      </w:r>
    </w:p>
    <w:p>
      <w:pPr>
        <w:pStyle w:val="ListBullet"/>
        <w:spacing w:after="60"/>
      </w:pPr>
      <w:r>
        <w:t>Claude Sonnet 4.6 for evidence synthesis</w:t>
      </w:r>
    </w:p>
    <w:p>
      <w:pPr>
        <w:pStyle w:val="ListBullet"/>
        <w:spacing w:after="60"/>
      </w:pPr>
      <w:r>
        <w:t xml:space="preserve">3.5 million searchable genomic variant vectors in shared </w:t>
      </w:r>
      <w:r>
        <w:rPr>
          <w:rFonts w:ascii="Consolas" w:hAnsi="Consolas"/>
          <w:color w:val="C7254E"/>
          <w:sz w:val="19"/>
        </w:rPr>
        <w:t>genomic_evidence</w:t>
      </w:r>
      <w:r>
        <w:t xml:space="preserve"> collection</w:t>
      </w:r>
    </w:p>
    <w:p>
      <w:pPr>
        <w:pStyle w:val="ListBullet"/>
        <w:spacing w:after="60"/>
      </w:pPr>
      <w:r>
        <w:t>Multi-collection architecture proven across 6 agents</w:t>
      </w:r>
    </w:p>
    <w:p>
      <w:r>
        <w:rPr>
          <w:b/>
        </w:rPr>
        <w:t>Stage 3: Drug Discovery Pipeline</w:t>
      </w:r>
      <w:r>
        <w:t xml:space="preserve"> (</w:t>
      </w:r>
      <w:r>
        <w:rPr>
          <w:rFonts w:ascii="Consolas" w:hAnsi="Consolas"/>
          <w:color w:val="C7254E"/>
          <w:sz w:val="19"/>
        </w:rPr>
        <w:t>drug-discovery-pipeline/</w:t>
      </w:r>
      <w:r>
        <w:t>)</w:t>
      </w:r>
    </w:p>
    <w:p>
      <w:pPr>
        <w:pStyle w:val="ListBullet"/>
        <w:spacing w:after="60"/>
      </w:pPr>
      <w:r>
        <w:t>BioNeMo MolMIM for molecular generation</w:t>
      </w:r>
    </w:p>
    <w:p>
      <w:pPr>
        <w:pStyle w:val="ListBullet"/>
        <w:spacing w:after="60"/>
      </w:pPr>
      <w:r>
        <w:t>DiffDock for binding pose prediction</w:t>
      </w:r>
    </w:p>
    <w:p>
      <w:pPr>
        <w:pStyle w:val="ListBullet"/>
        <w:spacing w:after="60"/>
      </w:pPr>
      <w:r>
        <w:t>RDKit for ADMET property calculation</w:t>
      </w:r>
    </w:p>
    <w:p>
      <w:pPr>
        <w:pStyle w:val="ListBullet"/>
        <w:spacing w:after="60"/>
      </w:pPr>
      <w:r>
        <w:t>Relevance to PGx: Drug metabolism predictions complement PGx by modeling how genetic variants affect drug pharmacokinetics at the molecular level</w:t>
      </w:r>
    </w:p>
    <w:p>
      <w:pPr>
        <w:pStyle w:val="Heading3"/>
      </w:pPr>
      <w:r>
        <w:t>4.2 Existing Intelligence Agents</w:t>
      </w:r>
    </w:p>
    <w:p>
      <w:r>
        <w:t>Six intelligence agents currently operate within the HCLS AI Factory, each demonstrating the multi-collection RAG architecture that the Pharmacogenomics Agent will extend: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Agent</w:t>
            </w:r>
          </w:p>
        </w:tc>
        <w:tc>
          <w:tcPr>
            <w:tcW w:type="dxa" w:w="2340"/>
            <w:shd w:fill="1A1A2E"/>
          </w:tcPr>
          <w:p>
            <w:pPr>
              <w:spacing w:after="40" w:before="40"/>
            </w:pPr>
            <w:r/>
            <w:r>
              <w:rPr>
                <w:rFonts w:ascii="Calibri" w:hAnsi="Calibri"/>
                <w:b/>
                <w:color w:val="FFFFFF"/>
                <w:sz w:val="20"/>
              </w:rPr>
              <w:t>Collections</w:t>
            </w:r>
          </w:p>
        </w:tc>
        <w:tc>
          <w:tcPr>
            <w:tcW w:type="dxa" w:w="2340"/>
            <w:shd w:fill="1A1A2E"/>
          </w:tcPr>
          <w:p>
            <w:pPr>
              <w:spacing w:after="40" w:before="40"/>
            </w:pPr>
            <w:r/>
            <w:r>
              <w:rPr>
                <w:rFonts w:ascii="Calibri" w:hAnsi="Calibri"/>
                <w:b/>
                <w:color w:val="FFFFFF"/>
                <w:sz w:val="20"/>
              </w:rPr>
              <w:t>Port (UI/API)</w:t>
            </w:r>
          </w:p>
        </w:tc>
        <w:tc>
          <w:tcPr>
            <w:tcW w:type="dxa" w:w="2340"/>
            <w:shd w:fill="1A1A2E"/>
          </w:tcPr>
          <w:p>
            <w:pPr>
              <w:spacing w:after="40" w:before="40"/>
            </w:pPr>
            <w:r/>
            <w:r>
              <w:rPr>
                <w:rFonts w:ascii="Calibri" w:hAnsi="Calibri"/>
                <w:b/>
                <w:color w:val="FFFFFF"/>
                <w:sz w:val="20"/>
              </w:rPr>
              <w:t>Key Capability</w:t>
            </w:r>
          </w:p>
        </w:tc>
      </w:tr>
      <w:tr>
        <w:tc>
          <w:tcPr>
            <w:tcW w:type="dxa" w:w="2340"/>
          </w:tcPr>
          <w:p>
            <w:pPr>
              <w:spacing w:after="40" w:before="40"/>
            </w:pPr>
            <w:r>
              <w:rPr>
                <w:rFonts w:ascii="Calibri" w:hAnsi="Calibri"/>
                <w:sz w:val="19"/>
              </w:rPr>
            </w:r>
            <w:r>
              <w:rPr>
                <w:rFonts w:ascii="Calibri" w:hAnsi="Calibri"/>
                <w:sz w:val="19"/>
              </w:rPr>
              <w:t>Precision Biomarker</w:t>
            </w:r>
          </w:p>
        </w:tc>
        <w:tc>
          <w:tcPr>
            <w:tcW w:type="dxa" w:w="2340"/>
          </w:tcPr>
          <w:p>
            <w:pPr>
              <w:spacing w:after="40" w:before="40"/>
            </w:pPr>
            <w:r>
              <w:rPr>
                <w:rFonts w:ascii="Calibri" w:hAnsi="Calibri"/>
                <w:sz w:val="19"/>
              </w:rPr>
            </w:r>
            <w:r>
              <w:rPr>
                <w:rFonts w:ascii="Calibri" w:hAnsi="Calibri"/>
                <w:sz w:val="19"/>
              </w:rPr>
              <w:t>13 + shared</w:t>
            </w:r>
          </w:p>
        </w:tc>
        <w:tc>
          <w:tcPr>
            <w:tcW w:type="dxa" w:w="2340"/>
          </w:tcPr>
          <w:p>
            <w:pPr>
              <w:spacing w:after="40" w:before="40"/>
            </w:pPr>
            <w:r>
              <w:rPr>
                <w:rFonts w:ascii="Calibri" w:hAnsi="Calibri"/>
                <w:sz w:val="19"/>
              </w:rPr>
            </w:r>
            <w:r>
              <w:rPr>
                <w:rFonts w:ascii="Calibri" w:hAnsi="Calibri"/>
                <w:sz w:val="19"/>
              </w:rPr>
              <w:t>8502/8102</w:t>
            </w:r>
          </w:p>
        </w:tc>
        <w:tc>
          <w:tcPr>
            <w:tcW w:type="dxa" w:w="2340"/>
          </w:tcPr>
          <w:p>
            <w:pPr>
              <w:spacing w:after="40" w:before="40"/>
            </w:pPr>
            <w:r>
              <w:rPr>
                <w:rFonts w:ascii="Calibri" w:hAnsi="Calibri"/>
                <w:sz w:val="19"/>
              </w:rPr>
            </w:r>
            <w:r>
              <w:rPr>
                <w:rFonts w:ascii="Calibri" w:hAnsi="Calibri"/>
                <w:sz w:val="19"/>
              </w:rPr>
              <w:t>Biomarker interpretation, includes existing PGx module (71K lines)</w:t>
            </w:r>
          </w:p>
        </w:tc>
      </w:tr>
      <w:tr>
        <w:tc>
          <w:tcPr>
            <w:tcW w:type="dxa" w:w="2340"/>
            <w:shd w:fill="F5F5F5"/>
          </w:tcPr>
          <w:p>
            <w:pPr>
              <w:spacing w:after="40" w:before="40"/>
            </w:pPr>
            <w:r>
              <w:rPr>
                <w:rFonts w:ascii="Calibri" w:hAnsi="Calibri"/>
                <w:sz w:val="19"/>
              </w:rPr>
            </w:r>
            <w:r>
              <w:rPr>
                <w:rFonts w:ascii="Calibri" w:hAnsi="Calibri"/>
                <w:sz w:val="19"/>
              </w:rPr>
              <w:t>Precision Oncology</w:t>
            </w:r>
          </w:p>
        </w:tc>
        <w:tc>
          <w:tcPr>
            <w:tcW w:type="dxa" w:w="2340"/>
            <w:shd w:fill="F5F5F5"/>
          </w:tcPr>
          <w:p>
            <w:pPr>
              <w:spacing w:after="40" w:before="40"/>
            </w:pPr>
            <w:r>
              <w:rPr>
                <w:rFonts w:ascii="Calibri" w:hAnsi="Calibri"/>
                <w:sz w:val="19"/>
              </w:rPr>
            </w:r>
            <w:r>
              <w:rPr>
                <w:rFonts w:ascii="Calibri" w:hAnsi="Calibri"/>
                <w:sz w:val="19"/>
              </w:rPr>
              <w:t>10 + shared</w:t>
            </w:r>
          </w:p>
        </w:tc>
        <w:tc>
          <w:tcPr>
            <w:tcW w:type="dxa" w:w="2340"/>
            <w:shd w:fill="F5F5F5"/>
          </w:tcPr>
          <w:p>
            <w:pPr>
              <w:spacing w:after="40" w:before="40"/>
            </w:pPr>
            <w:r>
              <w:rPr>
                <w:rFonts w:ascii="Calibri" w:hAnsi="Calibri"/>
                <w:sz w:val="19"/>
              </w:rPr>
            </w:r>
            <w:r>
              <w:rPr>
                <w:rFonts w:ascii="Calibri" w:hAnsi="Calibri"/>
                <w:sz w:val="19"/>
              </w:rPr>
              <w:t>8503/8103</w:t>
            </w:r>
          </w:p>
        </w:tc>
        <w:tc>
          <w:tcPr>
            <w:tcW w:type="dxa" w:w="2340"/>
            <w:shd w:fill="F5F5F5"/>
          </w:tcPr>
          <w:p>
            <w:pPr>
              <w:spacing w:after="40" w:before="40"/>
            </w:pPr>
            <w:r>
              <w:rPr>
                <w:rFonts w:ascii="Calibri" w:hAnsi="Calibri"/>
                <w:sz w:val="19"/>
              </w:rPr>
            </w:r>
            <w:r>
              <w:rPr>
                <w:rFonts w:ascii="Calibri" w:hAnsi="Calibri"/>
                <w:sz w:val="19"/>
              </w:rPr>
              <w:t>Tumor genomics, therapy selection</w:t>
            </w:r>
          </w:p>
        </w:tc>
      </w:tr>
      <w:tr>
        <w:tc>
          <w:tcPr>
            <w:tcW w:type="dxa" w:w="2340"/>
          </w:tcPr>
          <w:p>
            <w:pPr>
              <w:spacing w:after="40" w:before="40"/>
            </w:pPr>
            <w:r>
              <w:rPr>
                <w:rFonts w:ascii="Calibri" w:hAnsi="Calibri"/>
                <w:sz w:val="19"/>
              </w:rPr>
            </w:r>
            <w:r>
              <w:rPr>
                <w:rFonts w:ascii="Calibri" w:hAnsi="Calibri"/>
                <w:sz w:val="19"/>
              </w:rPr>
              <w:t>CAR-T Intelligence</w:t>
            </w:r>
          </w:p>
        </w:tc>
        <w:tc>
          <w:tcPr>
            <w:tcW w:type="dxa" w:w="2340"/>
          </w:tcPr>
          <w:p>
            <w:pPr>
              <w:spacing w:after="40" w:before="40"/>
            </w:pPr>
            <w:r>
              <w:rPr>
                <w:rFonts w:ascii="Calibri" w:hAnsi="Calibri"/>
                <w:sz w:val="19"/>
              </w:rPr>
            </w:r>
            <w:r>
              <w:rPr>
                <w:rFonts w:ascii="Calibri" w:hAnsi="Calibri"/>
                <w:sz w:val="19"/>
              </w:rPr>
              <w:t>10 + shared</w:t>
            </w:r>
          </w:p>
        </w:tc>
        <w:tc>
          <w:tcPr>
            <w:tcW w:type="dxa" w:w="2340"/>
          </w:tcPr>
          <w:p>
            <w:pPr>
              <w:spacing w:after="40" w:before="40"/>
            </w:pPr>
            <w:r>
              <w:rPr>
                <w:rFonts w:ascii="Calibri" w:hAnsi="Calibri"/>
                <w:sz w:val="19"/>
              </w:rPr>
            </w:r>
            <w:r>
              <w:rPr>
                <w:rFonts w:ascii="Calibri" w:hAnsi="Calibri"/>
                <w:sz w:val="19"/>
              </w:rPr>
              <w:t>8504/8104</w:t>
            </w:r>
          </w:p>
        </w:tc>
        <w:tc>
          <w:tcPr>
            <w:tcW w:type="dxa" w:w="2340"/>
          </w:tcPr>
          <w:p>
            <w:pPr>
              <w:spacing w:after="40" w:before="40"/>
            </w:pPr>
            <w:r>
              <w:rPr>
                <w:rFonts w:ascii="Calibri" w:hAnsi="Calibri"/>
                <w:sz w:val="19"/>
              </w:rPr>
            </w:r>
            <w:r>
              <w:rPr>
                <w:rFonts w:ascii="Calibri" w:hAnsi="Calibri"/>
                <w:sz w:val="19"/>
              </w:rPr>
              <w:t>CAR-T construct design, manufacturing</w:t>
            </w:r>
          </w:p>
        </w:tc>
      </w:tr>
      <w:tr>
        <w:tc>
          <w:tcPr>
            <w:tcW w:type="dxa" w:w="2340"/>
            <w:shd w:fill="F5F5F5"/>
          </w:tcPr>
          <w:p>
            <w:pPr>
              <w:spacing w:after="40" w:before="40"/>
            </w:pPr>
            <w:r>
              <w:rPr>
                <w:rFonts w:ascii="Calibri" w:hAnsi="Calibri"/>
                <w:sz w:val="19"/>
              </w:rPr>
            </w:r>
            <w:r>
              <w:rPr>
                <w:rFonts w:ascii="Calibri" w:hAnsi="Calibri"/>
                <w:sz w:val="19"/>
              </w:rPr>
              <w:t>Imaging Intelligence</w:t>
            </w:r>
          </w:p>
        </w:tc>
        <w:tc>
          <w:tcPr>
            <w:tcW w:type="dxa" w:w="2340"/>
            <w:shd w:fill="F5F5F5"/>
          </w:tcPr>
          <w:p>
            <w:pPr>
              <w:spacing w:after="40" w:before="40"/>
            </w:pPr>
            <w:r>
              <w:rPr>
                <w:rFonts w:ascii="Calibri" w:hAnsi="Calibri"/>
                <w:sz w:val="19"/>
              </w:rPr>
            </w:r>
            <w:r>
              <w:rPr>
                <w:rFonts w:ascii="Calibri" w:hAnsi="Calibri"/>
                <w:sz w:val="19"/>
              </w:rPr>
              <w:t>10 + shared</w:t>
            </w:r>
          </w:p>
        </w:tc>
        <w:tc>
          <w:tcPr>
            <w:tcW w:type="dxa" w:w="2340"/>
            <w:shd w:fill="F5F5F5"/>
          </w:tcPr>
          <w:p>
            <w:pPr>
              <w:spacing w:after="40" w:before="40"/>
            </w:pPr>
            <w:r>
              <w:rPr>
                <w:rFonts w:ascii="Calibri" w:hAnsi="Calibri"/>
                <w:sz w:val="19"/>
              </w:rPr>
            </w:r>
            <w:r>
              <w:rPr>
                <w:rFonts w:ascii="Calibri" w:hAnsi="Calibri"/>
                <w:sz w:val="19"/>
              </w:rPr>
              <w:t>8505/8105</w:t>
            </w:r>
          </w:p>
        </w:tc>
        <w:tc>
          <w:tcPr>
            <w:tcW w:type="dxa" w:w="2340"/>
            <w:shd w:fill="F5F5F5"/>
          </w:tcPr>
          <w:p>
            <w:pPr>
              <w:spacing w:after="40" w:before="40"/>
            </w:pPr>
            <w:r>
              <w:rPr>
                <w:rFonts w:ascii="Calibri" w:hAnsi="Calibri"/>
                <w:sz w:val="19"/>
              </w:rPr>
            </w:r>
            <w:r>
              <w:rPr>
                <w:rFonts w:ascii="Calibri" w:hAnsi="Calibri"/>
                <w:sz w:val="19"/>
              </w:rPr>
              <w:t>Medical imaging AI, radiology CDS</w:t>
            </w:r>
          </w:p>
        </w:tc>
      </w:tr>
      <w:tr>
        <w:tc>
          <w:tcPr>
            <w:tcW w:type="dxa" w:w="2340"/>
          </w:tcPr>
          <w:p>
            <w:pPr>
              <w:spacing w:after="40" w:before="40"/>
            </w:pPr>
            <w:r>
              <w:rPr>
                <w:rFonts w:ascii="Calibri" w:hAnsi="Calibri"/>
                <w:sz w:val="19"/>
              </w:rPr>
            </w:r>
            <w:r>
              <w:rPr>
                <w:rFonts w:ascii="Calibri" w:hAnsi="Calibri"/>
                <w:sz w:val="19"/>
              </w:rPr>
              <w:t>Precision Autoimmune</w:t>
            </w:r>
          </w:p>
        </w:tc>
        <w:tc>
          <w:tcPr>
            <w:tcW w:type="dxa" w:w="2340"/>
          </w:tcPr>
          <w:p>
            <w:pPr>
              <w:spacing w:after="40" w:before="40"/>
            </w:pPr>
            <w:r>
              <w:rPr>
                <w:rFonts w:ascii="Calibri" w:hAnsi="Calibri"/>
                <w:sz w:val="19"/>
              </w:rPr>
            </w:r>
            <w:r>
              <w:rPr>
                <w:rFonts w:ascii="Calibri" w:hAnsi="Calibri"/>
                <w:sz w:val="19"/>
              </w:rPr>
              <w:t>14 + shared</w:t>
            </w:r>
          </w:p>
        </w:tc>
        <w:tc>
          <w:tcPr>
            <w:tcW w:type="dxa" w:w="2340"/>
          </w:tcPr>
          <w:p>
            <w:pPr>
              <w:spacing w:after="40" w:before="40"/>
            </w:pPr>
            <w:r>
              <w:rPr>
                <w:rFonts w:ascii="Calibri" w:hAnsi="Calibri"/>
                <w:sz w:val="19"/>
              </w:rPr>
            </w:r>
            <w:r>
              <w:rPr>
                <w:rFonts w:ascii="Calibri" w:hAnsi="Calibri"/>
                <w:sz w:val="19"/>
              </w:rPr>
              <w:t>8506/8106</w:t>
            </w:r>
          </w:p>
        </w:tc>
        <w:tc>
          <w:tcPr>
            <w:tcW w:type="dxa" w:w="2340"/>
          </w:tcPr>
          <w:p>
            <w:pPr>
              <w:spacing w:after="40" w:before="40"/>
            </w:pPr>
            <w:r>
              <w:rPr>
                <w:rFonts w:ascii="Calibri" w:hAnsi="Calibri"/>
                <w:sz w:val="19"/>
              </w:rPr>
            </w:r>
            <w:r>
              <w:rPr>
                <w:rFonts w:ascii="Calibri" w:hAnsi="Calibri"/>
                <w:sz w:val="19"/>
              </w:rPr>
              <w:t>Diagnostic odyssey acceleration, clinical document intelligence</w:t>
            </w:r>
          </w:p>
        </w:tc>
      </w:tr>
      <w:tr>
        <w:tc>
          <w:tcPr>
            <w:tcW w:type="dxa" w:w="2340"/>
            <w:shd w:fill="F5F5F5"/>
          </w:tcPr>
          <w:p>
            <w:pPr>
              <w:spacing w:after="40" w:before="40"/>
            </w:pPr>
            <w:r>
              <w:rPr>
                <w:rFonts w:ascii="Calibri" w:hAnsi="Calibri"/>
                <w:sz w:val="19"/>
              </w:rPr>
            </w:r>
            <w:r>
              <w:rPr>
                <w:rFonts w:ascii="Calibri" w:hAnsi="Calibri"/>
                <w:sz w:val="19"/>
              </w:rPr>
              <w:t>Cardiology Intelligence</w:t>
            </w:r>
          </w:p>
        </w:tc>
        <w:tc>
          <w:tcPr>
            <w:tcW w:type="dxa" w:w="2340"/>
            <w:shd w:fill="F5F5F5"/>
          </w:tcPr>
          <w:p>
            <w:pPr>
              <w:spacing w:after="40" w:before="40"/>
            </w:pPr>
            <w:r>
              <w:rPr>
                <w:rFonts w:ascii="Calibri" w:hAnsi="Calibri"/>
                <w:sz w:val="19"/>
              </w:rPr>
            </w:r>
            <w:r>
              <w:rPr>
                <w:rFonts w:ascii="Calibri" w:hAnsi="Calibri"/>
                <w:sz w:val="19"/>
              </w:rPr>
              <w:t>12 + shared</w:t>
            </w:r>
          </w:p>
        </w:tc>
        <w:tc>
          <w:tcPr>
            <w:tcW w:type="dxa" w:w="2340"/>
            <w:shd w:fill="F5F5F5"/>
          </w:tcPr>
          <w:p>
            <w:pPr>
              <w:spacing w:after="40" w:before="40"/>
            </w:pPr>
            <w:r>
              <w:rPr>
                <w:rFonts w:ascii="Calibri" w:hAnsi="Calibri"/>
                <w:sz w:val="19"/>
              </w:rPr>
            </w:r>
            <w:r>
              <w:rPr>
                <w:rFonts w:ascii="Calibri" w:hAnsi="Calibri"/>
                <w:sz w:val="19"/>
              </w:rPr>
              <w:t>8526/8527</w:t>
            </w:r>
          </w:p>
        </w:tc>
        <w:tc>
          <w:tcPr>
            <w:tcW w:type="dxa" w:w="2340"/>
            <w:shd w:fill="F5F5F5"/>
          </w:tcPr>
          <w:p>
            <w:pPr>
              <w:spacing w:after="40" w:before="40"/>
            </w:pPr>
            <w:r>
              <w:rPr>
                <w:rFonts w:ascii="Calibri" w:hAnsi="Calibri"/>
                <w:sz w:val="19"/>
              </w:rPr>
            </w:r>
            <w:r>
              <w:rPr>
                <w:rFonts w:ascii="Calibri" w:hAnsi="Calibri"/>
                <w:sz w:val="19"/>
              </w:rPr>
              <w:t>Cardiac risk, ECG/imaging interpretation</w:t>
            </w:r>
          </w:p>
        </w:tc>
      </w:tr>
    </w:tbl>
    <w:p/>
    <w:p>
      <w:r>
        <w:t xml:space="preserve">The Pharmacogenomics Intelligence Agent will be assigned ports </w:t>
      </w:r>
      <w:r>
        <w:rPr>
          <w:b/>
        </w:rPr>
        <w:t>8507 (Streamlit UI)</w:t>
      </w:r>
      <w:r>
        <w:t xml:space="preserve"> and </w:t>
      </w:r>
      <w:r>
        <w:rPr>
          <w:b/>
        </w:rPr>
        <w:t>8107 (FastAPI API)</w:t>
      </w:r>
      <w:r>
        <w:t>.</w:t>
      </w:r>
    </w:p>
    <w:p>
      <w:pPr>
        <w:pStyle w:val="Heading3"/>
      </w:pPr>
      <w:r>
        <w:t>4.3 Relationship to Existing Biomarker Agent PGx Module</w:t>
      </w:r>
    </w:p>
    <w:p>
      <w:r>
        <w:t>The Precision Biomarker Agent already contains a substantial pharmacogenomics module (</w:t>
      </w:r>
      <w:r>
        <w:rPr>
          <w:rFonts w:ascii="Consolas" w:hAnsi="Consolas"/>
          <w:color w:val="C7254E"/>
          <w:sz w:val="19"/>
        </w:rPr>
        <w:t>src/pharmacogenomics.py</w:t>
      </w:r>
      <w:r>
        <w:t xml:space="preserve">, 71,246 bytes) implementing CPIC guidelines for 13 genes. The Pharmacogenomics Intelligence Agent is NOT a replacement -- it is a </w:t>
      </w:r>
      <w:r>
        <w:rPr>
          <w:b/>
        </w:rPr>
        <w:t>dedicated, deep-dive expansion</w:t>
      </w:r>
      <w:r>
        <w:t xml:space="preserve"> that provides: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spacing w:after="40" w:before="40"/>
            </w:pPr>
            <w:r/>
            <w:r>
              <w:rPr>
                <w:rFonts w:ascii="Calibri" w:hAnsi="Calibri"/>
                <w:b/>
                <w:color w:val="FFFFFF"/>
                <w:sz w:val="20"/>
              </w:rPr>
              <w:t>Capability</w:t>
            </w:r>
          </w:p>
        </w:tc>
        <w:tc>
          <w:tcPr>
            <w:tcW w:type="dxa" w:w="3120"/>
            <w:shd w:fill="1A1A2E"/>
          </w:tcPr>
          <w:p>
            <w:pPr>
              <w:spacing w:after="40" w:before="40"/>
            </w:pPr>
            <w:r/>
            <w:r>
              <w:rPr>
                <w:rFonts w:ascii="Calibri" w:hAnsi="Calibri"/>
                <w:b/>
                <w:color w:val="FFFFFF"/>
                <w:sz w:val="20"/>
              </w:rPr>
              <w:t>Biomarker Agent PGx Module</w:t>
            </w:r>
          </w:p>
        </w:tc>
        <w:tc>
          <w:tcPr>
            <w:tcW w:type="dxa" w:w="3120"/>
            <w:shd w:fill="1A1A2E"/>
          </w:tcPr>
          <w:p>
            <w:pPr>
              <w:spacing w:after="40" w:before="40"/>
            </w:pPr>
            <w:r/>
            <w:r>
              <w:rPr>
                <w:rFonts w:ascii="Calibri" w:hAnsi="Calibri"/>
                <w:b/>
                <w:color w:val="FFFFFF"/>
                <w:sz w:val="20"/>
              </w:rPr>
              <w:t>Pharmacogenomics Intelligence Agent</w:t>
            </w:r>
          </w:p>
        </w:tc>
      </w:tr>
      <w:tr>
        <w:tc>
          <w:tcPr>
            <w:tcW w:type="dxa" w:w="3120"/>
          </w:tcPr>
          <w:p>
            <w:pPr>
              <w:spacing w:after="40" w:before="40"/>
            </w:pPr>
            <w:r>
              <w:rPr>
                <w:rFonts w:ascii="Calibri" w:hAnsi="Calibri"/>
                <w:sz w:val="19"/>
              </w:rPr>
            </w:r>
            <w:r>
              <w:rPr>
                <w:rFonts w:ascii="Calibri" w:hAnsi="Calibri"/>
                <w:sz w:val="19"/>
              </w:rPr>
              <w:t>Genes covered</w:t>
            </w:r>
          </w:p>
        </w:tc>
        <w:tc>
          <w:tcPr>
            <w:tcW w:type="dxa" w:w="3120"/>
          </w:tcPr>
          <w:p>
            <w:pPr>
              <w:spacing w:after="40" w:before="40"/>
            </w:pPr>
            <w:r>
              <w:rPr>
                <w:rFonts w:ascii="Calibri" w:hAnsi="Calibri"/>
                <w:sz w:val="19"/>
              </w:rPr>
            </w:r>
            <w:r>
              <w:rPr>
                <w:rFonts w:ascii="Calibri" w:hAnsi="Calibri"/>
                <w:sz w:val="19"/>
              </w:rPr>
              <w:t>13 (CPIC Level 1A)</w:t>
            </w:r>
          </w:p>
        </w:tc>
        <w:tc>
          <w:tcPr>
            <w:tcW w:type="dxa" w:w="3120"/>
          </w:tcPr>
          <w:p>
            <w:pPr>
              <w:spacing w:after="40" w:before="40"/>
            </w:pPr>
            <w:r>
              <w:rPr>
                <w:rFonts w:ascii="Calibri" w:hAnsi="Calibri"/>
                <w:sz w:val="19"/>
              </w:rPr>
            </w:r>
            <w:r>
              <w:rPr>
                <w:rFonts w:ascii="Calibri" w:hAnsi="Calibri"/>
                <w:sz w:val="19"/>
              </w:rPr>
              <w:t>25+ (CPIC Level A, B, and C + DPWG + FDA)</w:t>
            </w:r>
          </w:p>
        </w:tc>
      </w:tr>
      <w:tr>
        <w:tc>
          <w:tcPr>
            <w:tcW w:type="dxa" w:w="3120"/>
            <w:shd w:fill="F5F5F5"/>
          </w:tcPr>
          <w:p>
            <w:pPr>
              <w:spacing w:after="40" w:before="40"/>
            </w:pPr>
            <w:r>
              <w:rPr>
                <w:rFonts w:ascii="Calibri" w:hAnsi="Calibri"/>
                <w:sz w:val="19"/>
              </w:rPr>
            </w:r>
            <w:r>
              <w:rPr>
                <w:rFonts w:ascii="Calibri" w:hAnsi="Calibri"/>
                <w:sz w:val="19"/>
              </w:rPr>
              <w:t>Drug-gene pairs</w:t>
            </w:r>
          </w:p>
        </w:tc>
        <w:tc>
          <w:tcPr>
            <w:tcW w:type="dxa" w:w="3120"/>
            <w:shd w:fill="F5F5F5"/>
          </w:tcPr>
          <w:p>
            <w:pPr>
              <w:spacing w:after="40" w:before="40"/>
            </w:pPr>
            <w:r>
              <w:rPr>
                <w:rFonts w:ascii="Calibri" w:hAnsi="Calibri"/>
                <w:sz w:val="19"/>
              </w:rPr>
            </w:r>
            <w:r>
              <w:rPr>
                <w:rFonts w:ascii="Calibri" w:hAnsi="Calibri"/>
                <w:sz w:val="19"/>
              </w:rPr>
              <w:t>~80</w:t>
            </w:r>
          </w:p>
        </w:tc>
        <w:tc>
          <w:tcPr>
            <w:tcW w:type="dxa" w:w="3120"/>
            <w:shd w:fill="F5F5F5"/>
          </w:tcPr>
          <w:p>
            <w:pPr>
              <w:spacing w:after="40" w:before="40"/>
            </w:pPr>
            <w:r>
              <w:rPr>
                <w:rFonts w:ascii="Calibri" w:hAnsi="Calibri"/>
                <w:sz w:val="19"/>
              </w:rPr>
            </w:r>
            <w:r>
              <w:rPr>
                <w:rFonts w:ascii="Calibri" w:hAnsi="Calibri"/>
                <w:sz w:val="19"/>
              </w:rPr>
              <w:t>400+</w:t>
            </w:r>
          </w:p>
        </w:tc>
      </w:tr>
      <w:tr>
        <w:tc>
          <w:tcPr>
            <w:tcW w:type="dxa" w:w="3120"/>
          </w:tcPr>
          <w:p>
            <w:pPr>
              <w:spacing w:after="40" w:before="40"/>
            </w:pPr>
            <w:r>
              <w:rPr>
                <w:rFonts w:ascii="Calibri" w:hAnsi="Calibri"/>
                <w:sz w:val="19"/>
              </w:rPr>
            </w:r>
            <w:r>
              <w:rPr>
                <w:rFonts w:ascii="Calibri" w:hAnsi="Calibri"/>
                <w:sz w:val="19"/>
              </w:rPr>
              <w:t>Multi-gene interactions</w:t>
            </w:r>
          </w:p>
        </w:tc>
        <w:tc>
          <w:tcPr>
            <w:tcW w:type="dxa" w:w="3120"/>
          </w:tcPr>
          <w:p>
            <w:pPr>
              <w:spacing w:after="40" w:before="40"/>
            </w:pPr>
            <w:r>
              <w:rPr>
                <w:rFonts w:ascii="Calibri" w:hAnsi="Calibri"/>
                <w:sz w:val="19"/>
              </w:rPr>
            </w:r>
            <w:r>
              <w:rPr>
                <w:rFonts w:ascii="Calibri" w:hAnsi="Calibri"/>
                <w:sz w:val="19"/>
              </w:rPr>
              <w:t>None</w:t>
            </w:r>
          </w:p>
        </w:tc>
        <w:tc>
          <w:tcPr>
            <w:tcW w:type="dxa" w:w="3120"/>
          </w:tcPr>
          <w:p>
            <w:pPr>
              <w:spacing w:after="40" w:before="40"/>
            </w:pPr>
            <w:r>
              <w:rPr>
                <w:rFonts w:ascii="Calibri" w:hAnsi="Calibri"/>
                <w:sz w:val="19"/>
              </w:rPr>
            </w:r>
            <w:r>
              <w:rPr>
                <w:rFonts w:ascii="Calibri" w:hAnsi="Calibri"/>
                <w:sz w:val="19"/>
              </w:rPr>
              <w:t>Full modeling (e.g., CYP2C9+VKORC1+CYP4F2 for warfarin)</w:t>
            </w:r>
          </w:p>
        </w:tc>
      </w:tr>
      <w:tr>
        <w:tc>
          <w:tcPr>
            <w:tcW w:type="dxa" w:w="3120"/>
            <w:shd w:fill="F5F5F5"/>
          </w:tcPr>
          <w:p>
            <w:pPr>
              <w:spacing w:after="40" w:before="40"/>
            </w:pPr>
            <w:r>
              <w:rPr>
                <w:rFonts w:ascii="Calibri" w:hAnsi="Calibri"/>
                <w:sz w:val="19"/>
              </w:rPr>
            </w:r>
            <w:r>
              <w:rPr>
                <w:rFonts w:ascii="Calibri" w:hAnsi="Calibri"/>
                <w:sz w:val="19"/>
              </w:rPr>
              <w:t>Phenoconversion</w:t>
            </w:r>
          </w:p>
        </w:tc>
        <w:tc>
          <w:tcPr>
            <w:tcW w:type="dxa" w:w="3120"/>
            <w:shd w:fill="F5F5F5"/>
          </w:tcPr>
          <w:p>
            <w:pPr>
              <w:spacing w:after="40" w:before="40"/>
            </w:pPr>
            <w:r>
              <w:rPr>
                <w:rFonts w:ascii="Calibri" w:hAnsi="Calibri"/>
                <w:sz w:val="19"/>
              </w:rPr>
            </w:r>
            <w:r>
              <w:rPr>
                <w:rFonts w:ascii="Calibri" w:hAnsi="Calibri"/>
                <w:sz w:val="19"/>
              </w:rPr>
              <w:t>None</w:t>
            </w:r>
          </w:p>
        </w:tc>
        <w:tc>
          <w:tcPr>
            <w:tcW w:type="dxa" w:w="3120"/>
            <w:shd w:fill="F5F5F5"/>
          </w:tcPr>
          <w:p>
            <w:pPr>
              <w:spacing w:after="40" w:before="40"/>
            </w:pPr>
            <w:r>
              <w:rPr>
                <w:rFonts w:ascii="Calibri" w:hAnsi="Calibri"/>
                <w:sz w:val="19"/>
              </w:rPr>
            </w:r>
            <w:r>
              <w:rPr>
                <w:rFonts w:ascii="Calibri" w:hAnsi="Calibri"/>
                <w:sz w:val="19"/>
              </w:rPr>
              <w:t>Drug-drug-gene interaction detection</w:t>
            </w:r>
          </w:p>
        </w:tc>
      </w:tr>
      <w:tr>
        <w:tc>
          <w:tcPr>
            <w:tcW w:type="dxa" w:w="3120"/>
          </w:tcPr>
          <w:p>
            <w:pPr>
              <w:spacing w:after="40" w:before="40"/>
            </w:pPr>
            <w:r>
              <w:rPr>
                <w:rFonts w:ascii="Calibri" w:hAnsi="Calibri"/>
                <w:sz w:val="19"/>
              </w:rPr>
            </w:r>
            <w:r>
              <w:rPr>
                <w:rFonts w:ascii="Calibri" w:hAnsi="Calibri"/>
                <w:sz w:val="19"/>
              </w:rPr>
              <w:t>HLA screening</w:t>
            </w:r>
          </w:p>
        </w:tc>
        <w:tc>
          <w:tcPr>
            <w:tcW w:type="dxa" w:w="3120"/>
          </w:tcPr>
          <w:p>
            <w:pPr>
              <w:spacing w:after="40" w:before="40"/>
            </w:pPr>
            <w:r>
              <w:rPr>
                <w:rFonts w:ascii="Calibri" w:hAnsi="Calibri"/>
                <w:sz w:val="19"/>
              </w:rPr>
            </w:r>
            <w:r>
              <w:rPr>
                <w:rFonts w:ascii="Calibri" w:hAnsi="Calibri"/>
                <w:sz w:val="19"/>
              </w:rPr>
              <w:t>3 alleles</w:t>
            </w:r>
          </w:p>
        </w:tc>
        <w:tc>
          <w:tcPr>
            <w:tcW w:type="dxa" w:w="3120"/>
          </w:tcPr>
          <w:p>
            <w:pPr>
              <w:spacing w:after="40" w:before="40"/>
            </w:pPr>
            <w:r>
              <w:rPr>
                <w:rFonts w:ascii="Calibri" w:hAnsi="Calibri"/>
                <w:sz w:val="19"/>
              </w:rPr>
            </w:r>
            <w:r>
              <w:rPr>
                <w:rFonts w:ascii="Calibri" w:hAnsi="Calibri"/>
                <w:sz w:val="19"/>
              </w:rPr>
              <w:t>12+ alleles with population-specific frequencies</w:t>
            </w:r>
          </w:p>
        </w:tc>
      </w:tr>
      <w:tr>
        <w:tc>
          <w:tcPr>
            <w:tcW w:type="dxa" w:w="3120"/>
            <w:shd w:fill="F5F5F5"/>
          </w:tcPr>
          <w:p>
            <w:pPr>
              <w:spacing w:after="40" w:before="40"/>
            </w:pPr>
            <w:r>
              <w:rPr>
                <w:rFonts w:ascii="Calibri" w:hAnsi="Calibri"/>
                <w:sz w:val="19"/>
              </w:rPr>
            </w:r>
            <w:r>
              <w:rPr>
                <w:rFonts w:ascii="Calibri" w:hAnsi="Calibri"/>
                <w:sz w:val="19"/>
              </w:rPr>
              <w:t>Star allele calling</w:t>
            </w:r>
          </w:p>
        </w:tc>
        <w:tc>
          <w:tcPr>
            <w:tcW w:type="dxa" w:w="3120"/>
            <w:shd w:fill="F5F5F5"/>
          </w:tcPr>
          <w:p>
            <w:pPr>
              <w:spacing w:after="40" w:before="40"/>
            </w:pPr>
            <w:r>
              <w:rPr>
                <w:rFonts w:ascii="Calibri" w:hAnsi="Calibri"/>
                <w:sz w:val="19"/>
              </w:rPr>
            </w:r>
            <w:r>
              <w:rPr>
                <w:rFonts w:ascii="Calibri" w:hAnsi="Calibri"/>
                <w:sz w:val="19"/>
              </w:rPr>
              <w:t>Pre-computed lookup</w:t>
            </w:r>
          </w:p>
        </w:tc>
        <w:tc>
          <w:tcPr>
            <w:tcW w:type="dxa" w:w="3120"/>
            <w:shd w:fill="F5F5F5"/>
          </w:tcPr>
          <w:p>
            <w:pPr>
              <w:spacing w:after="40" w:before="40"/>
            </w:pPr>
            <w:r>
              <w:rPr>
                <w:rFonts w:ascii="Calibri" w:hAnsi="Calibri"/>
                <w:sz w:val="19"/>
              </w:rPr>
            </w:r>
            <w:r>
              <w:rPr>
                <w:rFonts w:ascii="Calibri" w:hAnsi="Calibri"/>
                <w:sz w:val="19"/>
              </w:rPr>
              <w:t>VCF-to-star-allele pipeline</w:t>
            </w:r>
          </w:p>
        </w:tc>
      </w:tr>
      <w:tr>
        <w:tc>
          <w:tcPr>
            <w:tcW w:type="dxa" w:w="3120"/>
          </w:tcPr>
          <w:p>
            <w:pPr>
              <w:spacing w:after="40" w:before="40"/>
            </w:pPr>
            <w:r>
              <w:rPr>
                <w:rFonts w:ascii="Calibri" w:hAnsi="Calibri"/>
                <w:sz w:val="19"/>
              </w:rPr>
            </w:r>
            <w:r>
              <w:rPr>
                <w:rFonts w:ascii="Calibri" w:hAnsi="Calibri"/>
                <w:sz w:val="19"/>
              </w:rPr>
              <w:t>Population adjustments</w:t>
            </w:r>
          </w:p>
        </w:tc>
        <w:tc>
          <w:tcPr>
            <w:tcW w:type="dxa" w:w="3120"/>
          </w:tcPr>
          <w:p>
            <w:pPr>
              <w:spacing w:after="40" w:before="40"/>
            </w:pPr>
            <w:r>
              <w:rPr>
                <w:rFonts w:ascii="Calibri" w:hAnsi="Calibri"/>
                <w:sz w:val="19"/>
              </w:rPr>
            </w:r>
            <w:r>
              <w:rPr>
                <w:rFonts w:ascii="Calibri" w:hAnsi="Calibri"/>
                <w:sz w:val="19"/>
              </w:rPr>
              <w:t>None</w:t>
            </w:r>
          </w:p>
        </w:tc>
        <w:tc>
          <w:tcPr>
            <w:tcW w:type="dxa" w:w="3120"/>
          </w:tcPr>
          <w:p>
            <w:pPr>
              <w:spacing w:after="40" w:before="40"/>
            </w:pPr>
            <w:r>
              <w:rPr>
                <w:rFonts w:ascii="Calibri" w:hAnsi="Calibri"/>
                <w:sz w:val="19"/>
              </w:rPr>
            </w:r>
            <w:r>
              <w:rPr>
                <w:rFonts w:ascii="Calibri" w:hAnsi="Calibri"/>
                <w:sz w:val="19"/>
              </w:rPr>
              <w:t>Ethnicity-adjusted allele frequencies and dosing</w:t>
            </w:r>
          </w:p>
        </w:tc>
      </w:tr>
      <w:tr>
        <w:tc>
          <w:tcPr>
            <w:tcW w:type="dxa" w:w="3120"/>
            <w:shd w:fill="F5F5F5"/>
          </w:tcPr>
          <w:p>
            <w:pPr>
              <w:spacing w:after="40" w:before="40"/>
            </w:pPr>
            <w:r>
              <w:rPr>
                <w:rFonts w:ascii="Calibri" w:hAnsi="Calibri"/>
                <w:sz w:val="19"/>
              </w:rPr>
            </w:r>
            <w:r>
              <w:rPr>
                <w:rFonts w:ascii="Calibri" w:hAnsi="Calibri"/>
                <w:sz w:val="19"/>
              </w:rPr>
              <w:t>Milvus collections</w:t>
            </w:r>
          </w:p>
        </w:tc>
        <w:tc>
          <w:tcPr>
            <w:tcW w:type="dxa" w:w="3120"/>
            <w:shd w:fill="F5F5F5"/>
          </w:tcPr>
          <w:p>
            <w:pPr>
              <w:spacing w:after="40" w:before="40"/>
            </w:pPr>
            <w:r>
              <w:rPr>
                <w:rFonts w:ascii="Calibri" w:hAnsi="Calibri"/>
                <w:sz w:val="19"/>
              </w:rPr>
            </w:r>
            <w:r>
              <w:rPr>
                <w:rFonts w:ascii="Calibri" w:hAnsi="Calibri"/>
                <w:sz w:val="19"/>
              </w:rPr>
              <w:t>1 (pgx_rules)</w:t>
            </w:r>
          </w:p>
        </w:tc>
        <w:tc>
          <w:tcPr>
            <w:tcW w:type="dxa" w:w="3120"/>
            <w:shd w:fill="F5F5F5"/>
          </w:tcPr>
          <w:p>
            <w:pPr>
              <w:spacing w:after="40" w:before="40"/>
            </w:pPr>
            <w:r>
              <w:rPr>
                <w:rFonts w:ascii="Calibri" w:hAnsi="Calibri"/>
                <w:sz w:val="19"/>
              </w:rPr>
            </w:r>
            <w:r>
              <w:rPr>
                <w:rFonts w:ascii="Calibri" w:hAnsi="Calibri"/>
                <w:sz w:val="19"/>
              </w:rPr>
              <w:t>14 specialized collections</w:t>
            </w:r>
          </w:p>
        </w:tc>
      </w:tr>
      <w:tr>
        <w:tc>
          <w:tcPr>
            <w:tcW w:type="dxa" w:w="3120"/>
          </w:tcPr>
          <w:p>
            <w:pPr>
              <w:spacing w:after="40" w:before="40"/>
            </w:pPr>
            <w:r>
              <w:rPr>
                <w:rFonts w:ascii="Calibri" w:hAnsi="Calibri"/>
                <w:sz w:val="19"/>
              </w:rPr>
            </w:r>
            <w:r>
              <w:rPr>
                <w:rFonts w:ascii="Calibri" w:hAnsi="Calibri"/>
                <w:sz w:val="19"/>
              </w:rPr>
              <w:t>Clinical workflows</w:t>
            </w:r>
          </w:p>
        </w:tc>
        <w:tc>
          <w:tcPr>
            <w:tcW w:type="dxa" w:w="3120"/>
          </w:tcPr>
          <w:p>
            <w:pPr>
              <w:spacing w:after="40" w:before="40"/>
            </w:pPr>
            <w:r>
              <w:rPr>
                <w:rFonts w:ascii="Calibri" w:hAnsi="Calibri"/>
                <w:sz w:val="19"/>
              </w:rPr>
            </w:r>
            <w:r>
              <w:rPr>
                <w:rFonts w:ascii="Calibri" w:hAnsi="Calibri"/>
                <w:sz w:val="19"/>
              </w:rPr>
              <w:t>1 (basic PGx query)</w:t>
            </w:r>
          </w:p>
        </w:tc>
        <w:tc>
          <w:tcPr>
            <w:tcW w:type="dxa" w:w="3120"/>
          </w:tcPr>
          <w:p>
            <w:pPr>
              <w:spacing w:after="40" w:before="40"/>
            </w:pPr>
            <w:r>
              <w:rPr>
                <w:rFonts w:ascii="Calibri" w:hAnsi="Calibri"/>
                <w:sz w:val="19"/>
              </w:rPr>
            </w:r>
            <w:r>
              <w:rPr>
                <w:rFonts w:ascii="Calibri" w:hAnsi="Calibri"/>
                <w:sz w:val="19"/>
              </w:rPr>
              <w:t>8 comprehensive workflows</w:t>
            </w:r>
          </w:p>
        </w:tc>
      </w:tr>
      <w:tr>
        <w:tc>
          <w:tcPr>
            <w:tcW w:type="dxa" w:w="3120"/>
            <w:shd w:fill="F5F5F5"/>
          </w:tcPr>
          <w:p>
            <w:pPr>
              <w:spacing w:after="40" w:before="40"/>
            </w:pPr>
            <w:r>
              <w:rPr>
                <w:rFonts w:ascii="Calibri" w:hAnsi="Calibri"/>
                <w:sz w:val="19"/>
              </w:rPr>
            </w:r>
            <w:r>
              <w:rPr>
                <w:rFonts w:ascii="Calibri" w:hAnsi="Calibri"/>
                <w:sz w:val="19"/>
              </w:rPr>
              <w:t>Dosing calculators</w:t>
            </w:r>
          </w:p>
        </w:tc>
        <w:tc>
          <w:tcPr>
            <w:tcW w:type="dxa" w:w="3120"/>
            <w:shd w:fill="F5F5F5"/>
          </w:tcPr>
          <w:p>
            <w:pPr>
              <w:spacing w:after="40" w:before="40"/>
            </w:pPr>
            <w:r>
              <w:rPr>
                <w:rFonts w:ascii="Calibri" w:hAnsi="Calibri"/>
                <w:sz w:val="19"/>
              </w:rPr>
            </w:r>
            <w:r>
              <w:rPr>
                <w:rFonts w:ascii="Calibri" w:hAnsi="Calibri"/>
                <w:sz w:val="19"/>
              </w:rPr>
              <w:t>None</w:t>
            </w:r>
          </w:p>
        </w:tc>
        <w:tc>
          <w:tcPr>
            <w:tcW w:type="dxa" w:w="3120"/>
            <w:shd w:fill="F5F5F5"/>
          </w:tcPr>
          <w:p>
            <w:pPr>
              <w:spacing w:after="40" w:before="40"/>
            </w:pPr>
            <w:r>
              <w:rPr>
                <w:rFonts w:ascii="Calibri" w:hAnsi="Calibri"/>
                <w:sz w:val="19"/>
              </w:rPr>
            </w:r>
            <w:r>
              <w:rPr>
                <w:rFonts w:ascii="Calibri" w:hAnsi="Calibri"/>
                <w:sz w:val="19"/>
              </w:rPr>
              <w:t>Warfarin dosing algorithm, tacrolimus dosing, 5-FU dose adjustment</w:t>
            </w:r>
          </w:p>
        </w:tc>
      </w:tr>
    </w:tbl>
    <w:p/>
    <w:p>
      <w:r>
        <w:t>The two agents complement each other: the Biomarker Agent provides quick PGx screening as part of a broader biomarker analysis, while the Pharmacogenomics Agent provides deep clinical pharmacogenomic consultation when detailed PGx guidance is needed.</w:t>
      </w:r>
    </w:p>
    <w:p>
      <w:pPr>
        <w:spacing w:before="160" w:after="160"/>
        <w:jc w:val="center"/>
      </w:pPr>
      <w:r>
        <w:rPr>
          <w:color w:val="76B900"/>
          <w:sz w:val="16"/>
        </w:rPr>
        <w:t>━━━━━━━━━━━━━━━━━━━━━━━━━━━━━━━━━━━━━━━━━━━━━━━━━━━━━━━━━━━━</w:t>
      </w:r>
    </w:p>
    <w:p>
      <w:r>
        <w:br w:type="page"/>
      </w:r>
    </w:p>
    <w:p>
      <w:pPr>
        <w:pStyle w:val="Heading2"/>
      </w:pPr>
      <w:r>
        <w:t>5. Pharmacogenomics Agent Architecture</w:t>
      </w:r>
    </w:p>
    <w:p>
      <w:pPr>
        <w:pStyle w:val="Heading3"/>
      </w:pPr>
      <w:r>
        <w:t>5.1 System Design</w:t>
      </w:r>
    </w:p>
    <w:p>
      <w:pPr>
        <w:spacing w:before="120" w:after="120"/>
        <w:ind w:left="567"/>
      </w:pPr>
      <w:r>
        <w:rPr>
          <w:rFonts w:ascii="Consolas" w:hAnsi="Consolas"/>
          <w:color w:val="333333"/>
          <w:sz w:val="17"/>
        </w:rPr>
        <w:t>┌─────────────────────────────────────────────────────────┐</w:t>
        <w:br/>
        <w:t>│                    PHARMACOGENOMICS                       │</w:t>
        <w:br/>
        <w:t>│                  INTELLIGENCE AGENT                       │</w:t>
        <w:br/>
        <w:t>│                                                           │</w:t>
        <w:br/>
        <w:t>│  ┌──────────┐  ┌──────────────┐  ┌────────────────────┐ │</w:t>
        <w:br/>
        <w:t>│  │ Streamlit │  │ FastAPI      │  │ VCF-to-PGx         │ │</w:t>
        <w:br/>
        <w:t>│  │ UI :8507  │  │ API :8107    │  │ Pipeline           │ │</w:t>
        <w:br/>
        <w:t>│  └────┬─────┘  └──────┬───────┘  └────────┬───────────┘ │</w:t>
        <w:br/>
        <w:t>│       │               │                    │             │</w:t>
        <w:br/>
        <w:t>│  ┌────▼───────────────▼────────────────────▼──────────┐ │</w:t>
        <w:br/>
        <w:t>│  │              PGx Intelligence Core                   │ │</w:t>
        <w:br/>
        <w:t>│  │                                                       │ │</w:t>
        <w:br/>
        <w:t>│  │  ┌─────────────┐ ┌──────────────┐ ┌──────────────┐  │ │</w:t>
        <w:br/>
        <w:t>│  │  │ Star Allele  │ │ Phenotype    │ │ Drug-Gene    │  │ │</w:t>
        <w:br/>
        <w:t>│  │  │ Caller       │ │ Translator   │ │ Matcher      │  │ │</w:t>
        <w:br/>
        <w:t>│  │  └──────┬──────┘ └──────┬───────┘ └──────┬───────┘  │ │</w:t>
        <w:br/>
        <w:t>│  │         │               │                │           │ │</w:t>
        <w:br/>
        <w:t>│  │  ┌──────▼──────┐ ┌──────▼───────┐ ┌──────▼───────┐  │ │</w:t>
        <w:br/>
        <w:t>│  │  │ Multi-Gene   │ │ Phenoconv.   │ │ HLA          │  │ │</w:t>
        <w:br/>
        <w:t>│  │  │ Interaction  │ │ Detector     │ │ Screener     │  │ │</w:t>
        <w:br/>
        <w:t>│  │  └──────┬──────┘ └──────┬───────┘ └──────┬───────┘  │ │</w:t>
        <w:br/>
        <w:t>│  │         └───────────────┼────────────────┘           │ │</w:t>
        <w:br/>
        <w:t>│  │                         │                             │ │</w:t>
        <w:br/>
        <w:t>│  │  ┌──────────────────────▼────────────────────────┐   │ │</w:t>
        <w:br/>
        <w:t>│  │  │         Multi-Collection RAG Engine            │   │ │</w:t>
        <w:br/>
        <w:t>│  │  │    (14 PGx collections + shared genomic)       │   │ │</w:t>
        <w:br/>
        <w:t>│  │  └──────────────────────┬────────────────────────┘   │ │</w:t>
        <w:br/>
        <w:t>│  │                         │                             │ │</w:t>
        <w:br/>
        <w:t>│  │  ┌──────────────────────▼────────────────────────┐   │ │</w:t>
        <w:br/>
        <w:t>│  │  │      Claude Sonnet 4.6 Synthesis Engine        │   │ │</w:t>
        <w:br/>
        <w:t>│  │  │  (Grounded PGx recommendations with evidence)  │   │ │</w:t>
        <w:br/>
        <w:t>│  │  └────────────────────────────────────────────────┘   │ │</w:t>
        <w:br/>
        <w:t>│  └───────────────────────────────────────────────────────┘ │</w:t>
        <w:br/>
        <w:t>│                                                           │</w:t>
        <w:br/>
        <w:t>│  ┌───────────────────────────────────────────────────────┐ │</w:t>
        <w:br/>
        <w:t>│  │                  Milvus (19530)                        │ │</w:t>
        <w:br/>
        <w:t>│  │  14 PGx collections + shared genomic_evidence         │ │</w:t>
        <w:br/>
        <w:t>│  └───────────────────────────────────────────────────────┘ │</w:t>
        <w:br/>
        <w:t>└─────────────────────────────────────────────────────────┘</w:t>
      </w:r>
    </w:p>
    <w:p>
      <w:pPr>
        <w:pStyle w:val="Heading3"/>
      </w:pPr>
      <w:r>
        <w:t>5.2 Core Processing Modules</w:t>
      </w:r>
    </w:p>
    <w:p>
      <w:r>
        <w:t>The agent contains six core processing modules:</w:t>
      </w:r>
    </w:p>
    <w:p>
      <w:r>
        <w:rPr>
          <w:b/>
        </w:rPr>
        <w:t>1. Star Allele Caller</w:t>
      </w:r>
    </w:p>
    <w:p>
      <w:r>
        <w:t>Extracts pharmacogenomic variants from VCF files and resolves them to star allele nomenclature. Uses PharmVar-defined haplotype tables for each gene. Handles:</w:t>
      </w:r>
    </w:p>
    <w:p>
      <w:pPr>
        <w:pStyle w:val="ListBullet"/>
        <w:spacing w:after="60"/>
      </w:pPr>
      <w:r>
        <w:t xml:space="preserve">SNV-based star alleles (e.g., CYP2D6 </w:t>
      </w:r>
      <w:r>
        <w:t>*</w:t>
      </w:r>
      <w:r>
        <w:t>4 = 1846G&gt;A)</w:t>
      </w:r>
    </w:p>
    <w:p>
      <w:pPr>
        <w:pStyle w:val="ListBullet"/>
        <w:spacing w:after="60"/>
      </w:pPr>
      <w:r>
        <w:t xml:space="preserve">Structural variants (CYP2D6 gene deletion </w:t>
      </w:r>
      <w:r>
        <w:rPr>
          <w:i/>
        </w:rPr>
        <w:t xml:space="preserve">5, gene duplication </w:t>
      </w:r>
      <w:r>
        <w:t xml:space="preserve">1xN, </w:t>
      </w:r>
      <w:r>
        <w:t>*</w:t>
      </w:r>
      <w:r>
        <w:t>2xN)</w:t>
      </w:r>
    </w:p>
    <w:p>
      <w:pPr>
        <w:pStyle w:val="ListBullet"/>
        <w:spacing w:after="60"/>
      </w:pPr>
      <w:r>
        <w:t xml:space="preserve">Hybrid alleles (CYP2D6/CYP2D7 hybrids like </w:t>
      </w:r>
      <w:r>
        <w:rPr>
          <w:i/>
        </w:rPr>
        <w:t xml:space="preserve">36, </w:t>
      </w:r>
      <w:r>
        <w:t>13)</w:t>
      </w:r>
    </w:p>
    <w:p>
      <w:pPr>
        <w:pStyle w:val="ListBullet"/>
        <w:spacing w:after="60"/>
      </w:pPr>
      <w:r>
        <w:t xml:space="preserve">Suballeles (CYP2D6 </w:t>
      </w:r>
      <w:r>
        <w:rPr>
          <w:i/>
        </w:rPr>
        <w:t xml:space="preserve">4.001 vs. </w:t>
      </w:r>
      <w:r>
        <w:t>4.002)</w:t>
      </w:r>
    </w:p>
    <w:p>
      <w:r>
        <w:rPr>
          <w:b/>
        </w:rPr>
        <w:t>2. Phenotype Translator</w:t>
      </w:r>
    </w:p>
    <w:p>
      <w:r>
        <w:t>Converts diplotypes to standardized phenotype terms using CPIC's activity score system:</w:t>
      </w:r>
    </w:p>
    <w:p>
      <w:pPr>
        <w:pStyle w:val="ListBullet"/>
        <w:spacing w:after="60"/>
      </w:pPr>
      <w:r>
        <w:t>CYP enzymes: Ultra-rapid, Rapid, Normal, Intermediate, Poor Metabolizer</w:t>
      </w:r>
    </w:p>
    <w:p>
      <w:pPr>
        <w:pStyle w:val="ListBullet"/>
        <w:spacing w:after="60"/>
      </w:pPr>
      <w:r>
        <w:t>Transporters: Increased, Normal, Decreased, Poor Function</w:t>
      </w:r>
    </w:p>
    <w:p>
      <w:pPr>
        <w:pStyle w:val="ListBullet"/>
        <w:spacing w:after="60"/>
      </w:pPr>
      <w:r>
        <w:t>HLA: Positive (carrier) vs. Negative</w:t>
      </w:r>
    </w:p>
    <w:p>
      <w:pPr>
        <w:pStyle w:val="ListBullet"/>
        <w:spacing w:after="60"/>
      </w:pPr>
      <w:r>
        <w:t>Enzyme deficiency: Normal, Intermediate, Deficient (G6PD, DPYD, TPMT)</w:t>
      </w:r>
    </w:p>
    <w:p>
      <w:r>
        <w:rPr>
          <w:b/>
        </w:rPr>
        <w:t>3. Drug-Gene Matcher</w:t>
      </w:r>
    </w:p>
    <w:p>
      <w:r>
        <w:t>Cross-references the patient's phenotype profile against their current medication list. For each drug-gene interaction, returns:</w:t>
      </w:r>
    </w:p>
    <w:p>
      <w:pPr>
        <w:pStyle w:val="ListBullet"/>
        <w:spacing w:after="60"/>
      </w:pPr>
      <w:r>
        <w:t>CPIC recommendation level (A, B, C, D)</w:t>
      </w:r>
    </w:p>
    <w:p>
      <w:pPr>
        <w:pStyle w:val="ListBullet"/>
        <w:spacing w:after="60"/>
      </w:pPr>
      <w:r>
        <w:t>Clinical action (standard dosing, dose adjustment, alternative drug, avoid, contraindicated)</w:t>
      </w:r>
    </w:p>
    <w:p>
      <w:pPr>
        <w:pStyle w:val="ListBullet"/>
        <w:spacing w:after="60"/>
      </w:pPr>
      <w:r>
        <w:t>Alert level (INFO, WARNING, CRITICAL)</w:t>
      </w:r>
    </w:p>
    <w:p>
      <w:pPr>
        <w:pStyle w:val="ListBullet"/>
        <w:spacing w:after="60"/>
      </w:pPr>
      <w:r>
        <w:t>Alternative drug suggestions with rationale</w:t>
      </w:r>
    </w:p>
    <w:p>
      <w:r>
        <w:rPr>
          <w:b/>
        </w:rPr>
        <w:t>4. Multi-Gene Interaction Engine</w:t>
      </w:r>
    </w:p>
    <w:p>
      <w:r>
        <w:t>Models complex scenarios where multiple pharmacogenes affect a single drug or therapeutic area:</w:t>
      </w:r>
    </w:p>
    <w:p>
      <w:pPr>
        <w:pStyle w:val="ListBullet"/>
        <w:spacing w:after="60"/>
      </w:pPr>
      <w:r>
        <w:t>Warfarin: CYP2C9 + VKORC1 + CYP4F2 → personalized dose calculator</w:t>
      </w:r>
    </w:p>
    <w:p>
      <w:pPr>
        <w:pStyle w:val="ListBullet"/>
        <w:spacing w:after="60"/>
      </w:pPr>
      <w:r>
        <w:t>Psychiatric medications: CYP2D6 + CYP2C19 + CYP1A2 + CYP3A4 → comprehensive metabolizer profile</w:t>
      </w:r>
    </w:p>
    <w:p>
      <w:pPr>
        <w:pStyle w:val="ListBullet"/>
        <w:spacing w:after="60"/>
      </w:pPr>
      <w:r>
        <w:t>Immunosuppressants: CYP3A5 + CYP3A4 + ABCB1 → tacrolimus dosing</w:t>
      </w:r>
    </w:p>
    <w:p>
      <w:r>
        <w:rPr>
          <w:b/>
        </w:rPr>
        <w:t>5. Phenoconversion Detector</w:t>
      </w:r>
    </w:p>
    <w:p>
      <w:r>
        <w:t>Identifies when a patient's medication list contains CYP inhibitors or inducers that change their effective metabolizer status:</w:t>
      </w:r>
    </w:p>
    <w:p>
      <w:pPr>
        <w:pStyle w:val="ListBullet"/>
        <w:spacing w:after="60"/>
      </w:pPr>
      <w:r>
        <w:t>Example: A CYP2D6 normal metabolizer taking fluoxetine (strong CYP2D6 inhibitor) is phenoconverted to a CYP2D6 poor metabolizer. If codeine is then prescribed, it will be ineffective despite a "normal" genotype.</w:t>
      </w:r>
    </w:p>
    <w:p>
      <w:pPr>
        <w:pStyle w:val="ListBullet"/>
        <w:spacing w:after="60"/>
      </w:pPr>
      <w:r>
        <w:t>Example: A CYP3A4 normal metabolizer taking carbamazepine (strong CYP3A4 inducer) metabolizes cyclosporine too rapidly, potentially causing organ rejection.</w:t>
      </w:r>
    </w:p>
    <w:p>
      <w:r>
        <w:rPr>
          <w:b/>
        </w:rPr>
        <w:t>6. HLA Screener</w:t>
      </w:r>
    </w:p>
    <w:p>
      <w:r>
        <w:t>Screens for HLA alleles associated with drug hypersensitivity reactions: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1A2E"/>
          </w:tcPr>
          <w:p>
            <w:pPr>
              <w:spacing w:after="40" w:before="40"/>
            </w:pPr>
            <w:r/>
            <w:r>
              <w:rPr>
                <w:rFonts w:ascii="Calibri" w:hAnsi="Calibri"/>
                <w:b/>
                <w:color w:val="FFFFFF"/>
                <w:sz w:val="20"/>
              </w:rPr>
              <w:t>HLA Allele</w:t>
            </w:r>
          </w:p>
        </w:tc>
        <w:tc>
          <w:tcPr>
            <w:tcW w:type="dxa" w:w="1872"/>
            <w:shd w:fill="1A1A2E"/>
          </w:tcPr>
          <w:p>
            <w:pPr>
              <w:spacing w:after="40" w:before="40"/>
            </w:pPr>
            <w:r/>
            <w:r>
              <w:rPr>
                <w:rFonts w:ascii="Calibri" w:hAnsi="Calibri"/>
                <w:b/>
                <w:color w:val="FFFFFF"/>
                <w:sz w:val="20"/>
              </w:rPr>
              <w:t>Drug</w:t>
            </w:r>
          </w:p>
        </w:tc>
        <w:tc>
          <w:tcPr>
            <w:tcW w:type="dxa" w:w="1872"/>
            <w:shd w:fill="1A1A2E"/>
          </w:tcPr>
          <w:p>
            <w:pPr>
              <w:spacing w:after="40" w:before="40"/>
            </w:pPr>
            <w:r/>
            <w:r>
              <w:rPr>
                <w:rFonts w:ascii="Calibri" w:hAnsi="Calibri"/>
                <w:b/>
                <w:color w:val="FFFFFF"/>
                <w:sz w:val="20"/>
              </w:rPr>
              <w:t>Reaction</w:t>
            </w:r>
          </w:p>
        </w:tc>
        <w:tc>
          <w:tcPr>
            <w:tcW w:type="dxa" w:w="1872"/>
            <w:shd w:fill="1A1A2E"/>
          </w:tcPr>
          <w:p>
            <w:pPr>
              <w:spacing w:after="40" w:before="40"/>
            </w:pPr>
            <w:r/>
            <w:r>
              <w:rPr>
                <w:rFonts w:ascii="Calibri" w:hAnsi="Calibri"/>
                <w:b/>
                <w:color w:val="FFFFFF"/>
                <w:sz w:val="20"/>
              </w:rPr>
              <w:t>Risk if Positive</w:t>
            </w:r>
          </w:p>
        </w:tc>
        <w:tc>
          <w:tcPr>
            <w:tcW w:type="dxa" w:w="1872"/>
            <w:shd w:fill="1A1A2E"/>
          </w:tcPr>
          <w:p>
            <w:pPr>
              <w:spacing w:after="40" w:before="40"/>
            </w:pPr>
            <w:r/>
            <w:r>
              <w:rPr>
                <w:rFonts w:ascii="Calibri" w:hAnsi="Calibri"/>
                <w:b/>
                <w:color w:val="FFFFFF"/>
                <w:sz w:val="20"/>
              </w:rPr>
              <w:t>CPIC Level</w:t>
            </w:r>
          </w:p>
        </w:tc>
      </w:tr>
      <w:tr>
        <w:tc>
          <w:tcPr>
            <w:tcW w:type="dxa" w:w="1872"/>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57:01</w:t>
            </w:r>
          </w:p>
        </w:tc>
        <w:tc>
          <w:tcPr>
            <w:tcW w:type="dxa" w:w="1872"/>
          </w:tcPr>
          <w:p>
            <w:pPr>
              <w:spacing w:after="40" w:before="40"/>
            </w:pPr>
            <w:r>
              <w:rPr>
                <w:rFonts w:ascii="Calibri" w:hAnsi="Calibri"/>
                <w:sz w:val="19"/>
              </w:rPr>
            </w:r>
            <w:r>
              <w:rPr>
                <w:rFonts w:ascii="Calibri" w:hAnsi="Calibri"/>
                <w:sz w:val="19"/>
              </w:rPr>
              <w:t>Abacavir</w:t>
            </w:r>
          </w:p>
        </w:tc>
        <w:tc>
          <w:tcPr>
            <w:tcW w:type="dxa" w:w="1872"/>
          </w:tcPr>
          <w:p>
            <w:pPr>
              <w:spacing w:after="40" w:before="40"/>
            </w:pPr>
            <w:r>
              <w:rPr>
                <w:rFonts w:ascii="Calibri" w:hAnsi="Calibri"/>
                <w:sz w:val="19"/>
              </w:rPr>
            </w:r>
            <w:r>
              <w:rPr>
                <w:rFonts w:ascii="Calibri" w:hAnsi="Calibri"/>
                <w:sz w:val="19"/>
              </w:rPr>
              <w:t>Hypersensitivity syndrome</w:t>
            </w:r>
          </w:p>
        </w:tc>
        <w:tc>
          <w:tcPr>
            <w:tcW w:type="dxa" w:w="1872"/>
          </w:tcPr>
          <w:p>
            <w:pPr>
              <w:spacing w:after="40" w:before="40"/>
            </w:pPr>
            <w:r>
              <w:rPr>
                <w:rFonts w:ascii="Calibri" w:hAnsi="Calibri"/>
                <w:sz w:val="19"/>
              </w:rPr>
            </w:r>
            <w:r>
              <w:rPr>
                <w:rFonts w:ascii="Calibri" w:hAnsi="Calibri"/>
                <w:sz w:val="19"/>
              </w:rPr>
              <w:t>~50%</w:t>
            </w:r>
          </w:p>
        </w:tc>
        <w:tc>
          <w:tcPr>
            <w:tcW w:type="dxa" w:w="1872"/>
          </w:tcPr>
          <w:p>
            <w:pPr>
              <w:spacing w:after="40" w:before="40"/>
            </w:pPr>
            <w:r>
              <w:rPr>
                <w:rFonts w:ascii="Calibri" w:hAnsi="Calibri"/>
                <w:sz w:val="19"/>
              </w:rPr>
            </w:r>
            <w:r>
              <w:rPr>
                <w:rFonts w:ascii="Calibri" w:hAnsi="Calibri"/>
                <w:sz w:val="19"/>
              </w:rPr>
              <w:t>A (mandatory screening)</w:t>
            </w:r>
          </w:p>
        </w:tc>
      </w:tr>
      <w:tr>
        <w:tc>
          <w:tcPr>
            <w:tcW w:type="dxa" w:w="1872"/>
            <w:shd w:fill="F5F5F5"/>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58:01</w:t>
            </w:r>
          </w:p>
        </w:tc>
        <w:tc>
          <w:tcPr>
            <w:tcW w:type="dxa" w:w="1872"/>
            <w:shd w:fill="F5F5F5"/>
          </w:tcPr>
          <w:p>
            <w:pPr>
              <w:spacing w:after="40" w:before="40"/>
            </w:pPr>
            <w:r>
              <w:rPr>
                <w:rFonts w:ascii="Calibri" w:hAnsi="Calibri"/>
                <w:sz w:val="19"/>
              </w:rPr>
            </w:r>
            <w:r>
              <w:rPr>
                <w:rFonts w:ascii="Calibri" w:hAnsi="Calibri"/>
                <w:sz w:val="19"/>
              </w:rPr>
              <w:t>Allopurinol</w:t>
            </w:r>
          </w:p>
        </w:tc>
        <w:tc>
          <w:tcPr>
            <w:tcW w:type="dxa" w:w="1872"/>
            <w:shd w:fill="F5F5F5"/>
          </w:tcPr>
          <w:p>
            <w:pPr>
              <w:spacing w:after="40" w:before="40"/>
            </w:pPr>
            <w:r>
              <w:rPr>
                <w:rFonts w:ascii="Calibri" w:hAnsi="Calibri"/>
                <w:sz w:val="19"/>
              </w:rPr>
            </w:r>
            <w:r>
              <w:rPr>
                <w:rFonts w:ascii="Calibri" w:hAnsi="Calibri"/>
                <w:sz w:val="19"/>
              </w:rPr>
              <w:t>SJS/TEN</w:t>
            </w:r>
          </w:p>
        </w:tc>
        <w:tc>
          <w:tcPr>
            <w:tcW w:type="dxa" w:w="1872"/>
            <w:shd w:fill="F5F5F5"/>
          </w:tcPr>
          <w:p>
            <w:pPr>
              <w:spacing w:after="40" w:before="40"/>
            </w:pPr>
            <w:r>
              <w:rPr>
                <w:rFonts w:ascii="Calibri" w:hAnsi="Calibri"/>
                <w:sz w:val="19"/>
              </w:rPr>
            </w:r>
            <w:r>
              <w:rPr>
                <w:rFonts w:ascii="Calibri" w:hAnsi="Calibri"/>
                <w:sz w:val="19"/>
              </w:rPr>
              <w:t>OR 80-580</w:t>
            </w:r>
          </w:p>
        </w:tc>
        <w:tc>
          <w:tcPr>
            <w:tcW w:type="dxa" w:w="1872"/>
            <w:shd w:fill="F5F5F5"/>
          </w:tcPr>
          <w:p>
            <w:pPr>
              <w:spacing w:after="40" w:before="40"/>
            </w:pPr>
            <w:r>
              <w:rPr>
                <w:rFonts w:ascii="Calibri" w:hAnsi="Calibri"/>
                <w:sz w:val="19"/>
              </w:rPr>
            </w:r>
            <w:r>
              <w:rPr>
                <w:rFonts w:ascii="Calibri" w:hAnsi="Calibri"/>
                <w:sz w:val="19"/>
              </w:rPr>
              <w:t>A</w:t>
            </w:r>
          </w:p>
        </w:tc>
      </w:tr>
      <w:tr>
        <w:tc>
          <w:tcPr>
            <w:tcW w:type="dxa" w:w="1872"/>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15:02</w:t>
            </w:r>
          </w:p>
        </w:tc>
        <w:tc>
          <w:tcPr>
            <w:tcW w:type="dxa" w:w="1872"/>
          </w:tcPr>
          <w:p>
            <w:pPr>
              <w:spacing w:after="40" w:before="40"/>
            </w:pPr>
            <w:r>
              <w:rPr>
                <w:rFonts w:ascii="Calibri" w:hAnsi="Calibri"/>
                <w:sz w:val="19"/>
              </w:rPr>
            </w:r>
            <w:r>
              <w:rPr>
                <w:rFonts w:ascii="Calibri" w:hAnsi="Calibri"/>
                <w:sz w:val="19"/>
              </w:rPr>
              <w:t>Carbamazepine</w:t>
            </w:r>
          </w:p>
        </w:tc>
        <w:tc>
          <w:tcPr>
            <w:tcW w:type="dxa" w:w="1872"/>
          </w:tcPr>
          <w:p>
            <w:pPr>
              <w:spacing w:after="40" w:before="40"/>
            </w:pPr>
            <w:r>
              <w:rPr>
                <w:rFonts w:ascii="Calibri" w:hAnsi="Calibri"/>
                <w:sz w:val="19"/>
              </w:rPr>
            </w:r>
            <w:r>
              <w:rPr>
                <w:rFonts w:ascii="Calibri" w:hAnsi="Calibri"/>
                <w:sz w:val="19"/>
              </w:rPr>
              <w:t>SJS/TEN</w:t>
            </w:r>
          </w:p>
        </w:tc>
        <w:tc>
          <w:tcPr>
            <w:tcW w:type="dxa" w:w="1872"/>
          </w:tcPr>
          <w:p>
            <w:pPr>
              <w:spacing w:after="40" w:before="40"/>
            </w:pPr>
            <w:r>
              <w:rPr>
                <w:rFonts w:ascii="Calibri" w:hAnsi="Calibri"/>
                <w:sz w:val="19"/>
              </w:rPr>
            </w:r>
            <w:r>
              <w:rPr>
                <w:rFonts w:ascii="Calibri" w:hAnsi="Calibri"/>
                <w:sz w:val="19"/>
              </w:rPr>
              <w:t>OR 1,357</w:t>
            </w:r>
          </w:p>
        </w:tc>
        <w:tc>
          <w:tcPr>
            <w:tcW w:type="dxa" w:w="1872"/>
          </w:tcPr>
          <w:p>
            <w:pPr>
              <w:spacing w:after="40" w:before="40"/>
            </w:pPr>
            <w:r>
              <w:rPr>
                <w:rFonts w:ascii="Calibri" w:hAnsi="Calibri"/>
                <w:sz w:val="19"/>
              </w:rPr>
            </w:r>
            <w:r>
              <w:rPr>
                <w:rFonts w:ascii="Calibri" w:hAnsi="Calibri"/>
                <w:sz w:val="19"/>
              </w:rPr>
              <w:t>A</w:t>
            </w:r>
          </w:p>
        </w:tc>
      </w:tr>
      <w:tr>
        <w:tc>
          <w:tcPr>
            <w:tcW w:type="dxa" w:w="1872"/>
            <w:shd w:fill="F5F5F5"/>
          </w:tcPr>
          <w:p>
            <w:pPr>
              <w:spacing w:after="40" w:before="40"/>
            </w:pPr>
            <w:r>
              <w:rPr>
                <w:rFonts w:ascii="Calibri" w:hAnsi="Calibri"/>
                <w:sz w:val="19"/>
              </w:rPr>
            </w:r>
            <w:r>
              <w:rPr>
                <w:rFonts w:ascii="Calibri" w:hAnsi="Calibri"/>
                <w:sz w:val="19"/>
              </w:rPr>
              <w:t>HLA-A</w:t>
            </w:r>
            <w:r>
              <w:rPr>
                <w:rFonts w:ascii="Calibri" w:hAnsi="Calibri"/>
                <w:sz w:val="19"/>
              </w:rPr>
              <w:t>*</w:t>
            </w:r>
            <w:r>
              <w:rPr>
                <w:rFonts w:ascii="Calibri" w:hAnsi="Calibri"/>
                <w:sz w:val="19"/>
              </w:rPr>
              <w:t>31:01</w:t>
            </w:r>
          </w:p>
        </w:tc>
        <w:tc>
          <w:tcPr>
            <w:tcW w:type="dxa" w:w="1872"/>
            <w:shd w:fill="F5F5F5"/>
          </w:tcPr>
          <w:p>
            <w:pPr>
              <w:spacing w:after="40" w:before="40"/>
            </w:pPr>
            <w:r>
              <w:rPr>
                <w:rFonts w:ascii="Calibri" w:hAnsi="Calibri"/>
                <w:sz w:val="19"/>
              </w:rPr>
            </w:r>
            <w:r>
              <w:rPr>
                <w:rFonts w:ascii="Calibri" w:hAnsi="Calibri"/>
                <w:sz w:val="19"/>
              </w:rPr>
              <w:t>Carbamazepine</w:t>
            </w:r>
          </w:p>
        </w:tc>
        <w:tc>
          <w:tcPr>
            <w:tcW w:type="dxa" w:w="1872"/>
            <w:shd w:fill="F5F5F5"/>
          </w:tcPr>
          <w:p>
            <w:pPr>
              <w:spacing w:after="40" w:before="40"/>
            </w:pPr>
            <w:r>
              <w:rPr>
                <w:rFonts w:ascii="Calibri" w:hAnsi="Calibri"/>
                <w:sz w:val="19"/>
              </w:rPr>
            </w:r>
            <w:r>
              <w:rPr>
                <w:rFonts w:ascii="Calibri" w:hAnsi="Calibri"/>
                <w:sz w:val="19"/>
              </w:rPr>
              <w:t>DRESS/maculopapular</w:t>
            </w:r>
          </w:p>
        </w:tc>
        <w:tc>
          <w:tcPr>
            <w:tcW w:type="dxa" w:w="1872"/>
            <w:shd w:fill="F5F5F5"/>
          </w:tcPr>
          <w:p>
            <w:pPr>
              <w:spacing w:after="40" w:before="40"/>
            </w:pPr>
            <w:r>
              <w:rPr>
                <w:rFonts w:ascii="Calibri" w:hAnsi="Calibri"/>
                <w:sz w:val="19"/>
              </w:rPr>
            </w:r>
            <w:r>
              <w:rPr>
                <w:rFonts w:ascii="Calibri" w:hAnsi="Calibri"/>
                <w:sz w:val="19"/>
              </w:rPr>
              <w:t>OR 25.9</w:t>
            </w:r>
          </w:p>
        </w:tc>
        <w:tc>
          <w:tcPr>
            <w:tcW w:type="dxa" w:w="1872"/>
            <w:shd w:fill="F5F5F5"/>
          </w:tcPr>
          <w:p>
            <w:pPr>
              <w:spacing w:after="40" w:before="40"/>
            </w:pPr>
            <w:r>
              <w:rPr>
                <w:rFonts w:ascii="Calibri" w:hAnsi="Calibri"/>
                <w:sz w:val="19"/>
              </w:rPr>
            </w:r>
            <w:r>
              <w:rPr>
                <w:rFonts w:ascii="Calibri" w:hAnsi="Calibri"/>
                <w:sz w:val="19"/>
              </w:rPr>
              <w:t>A</w:t>
            </w:r>
          </w:p>
        </w:tc>
      </w:tr>
      <w:tr>
        <w:tc>
          <w:tcPr>
            <w:tcW w:type="dxa" w:w="1872"/>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15:02</w:t>
            </w:r>
          </w:p>
        </w:tc>
        <w:tc>
          <w:tcPr>
            <w:tcW w:type="dxa" w:w="1872"/>
          </w:tcPr>
          <w:p>
            <w:pPr>
              <w:spacing w:after="40" w:before="40"/>
            </w:pPr>
            <w:r>
              <w:rPr>
                <w:rFonts w:ascii="Calibri" w:hAnsi="Calibri"/>
                <w:sz w:val="19"/>
              </w:rPr>
            </w:r>
            <w:r>
              <w:rPr>
                <w:rFonts w:ascii="Calibri" w:hAnsi="Calibri"/>
                <w:sz w:val="19"/>
              </w:rPr>
              <w:t>Phenytoin</w:t>
            </w:r>
          </w:p>
        </w:tc>
        <w:tc>
          <w:tcPr>
            <w:tcW w:type="dxa" w:w="1872"/>
          </w:tcPr>
          <w:p>
            <w:pPr>
              <w:spacing w:after="40" w:before="40"/>
            </w:pPr>
            <w:r>
              <w:rPr>
                <w:rFonts w:ascii="Calibri" w:hAnsi="Calibri"/>
                <w:sz w:val="19"/>
              </w:rPr>
            </w:r>
            <w:r>
              <w:rPr>
                <w:rFonts w:ascii="Calibri" w:hAnsi="Calibri"/>
                <w:sz w:val="19"/>
              </w:rPr>
              <w:t>SJS/TEN</w:t>
            </w:r>
          </w:p>
        </w:tc>
        <w:tc>
          <w:tcPr>
            <w:tcW w:type="dxa" w:w="1872"/>
          </w:tcPr>
          <w:p>
            <w:pPr>
              <w:spacing w:after="40" w:before="40"/>
            </w:pPr>
            <w:r>
              <w:rPr>
                <w:rFonts w:ascii="Calibri" w:hAnsi="Calibri"/>
                <w:sz w:val="19"/>
              </w:rPr>
            </w:r>
            <w:r>
              <w:rPr>
                <w:rFonts w:ascii="Calibri" w:hAnsi="Calibri"/>
                <w:sz w:val="19"/>
              </w:rPr>
              <w:t>OR 6.7</w:t>
            </w:r>
          </w:p>
        </w:tc>
        <w:tc>
          <w:tcPr>
            <w:tcW w:type="dxa" w:w="1872"/>
          </w:tcPr>
          <w:p>
            <w:pPr>
              <w:spacing w:after="40" w:before="40"/>
            </w:pPr>
            <w:r>
              <w:rPr>
                <w:rFonts w:ascii="Calibri" w:hAnsi="Calibri"/>
                <w:sz w:val="19"/>
              </w:rPr>
            </w:r>
            <w:r>
              <w:rPr>
                <w:rFonts w:ascii="Calibri" w:hAnsi="Calibri"/>
                <w:sz w:val="19"/>
              </w:rPr>
              <w:t>A</w:t>
            </w:r>
          </w:p>
        </w:tc>
      </w:tr>
      <w:tr>
        <w:tc>
          <w:tcPr>
            <w:tcW w:type="dxa" w:w="1872"/>
            <w:shd w:fill="F5F5F5"/>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15:02</w:t>
            </w:r>
          </w:p>
        </w:tc>
        <w:tc>
          <w:tcPr>
            <w:tcW w:type="dxa" w:w="1872"/>
            <w:shd w:fill="F5F5F5"/>
          </w:tcPr>
          <w:p>
            <w:pPr>
              <w:spacing w:after="40" w:before="40"/>
            </w:pPr>
            <w:r>
              <w:rPr>
                <w:rFonts w:ascii="Calibri" w:hAnsi="Calibri"/>
                <w:sz w:val="19"/>
              </w:rPr>
            </w:r>
            <w:r>
              <w:rPr>
                <w:rFonts w:ascii="Calibri" w:hAnsi="Calibri"/>
                <w:sz w:val="19"/>
              </w:rPr>
              <w:t>Oxcarbazepine</w:t>
            </w:r>
          </w:p>
        </w:tc>
        <w:tc>
          <w:tcPr>
            <w:tcW w:type="dxa" w:w="1872"/>
            <w:shd w:fill="F5F5F5"/>
          </w:tcPr>
          <w:p>
            <w:pPr>
              <w:spacing w:after="40" w:before="40"/>
            </w:pPr>
            <w:r>
              <w:rPr>
                <w:rFonts w:ascii="Calibri" w:hAnsi="Calibri"/>
                <w:sz w:val="19"/>
              </w:rPr>
            </w:r>
            <w:r>
              <w:rPr>
                <w:rFonts w:ascii="Calibri" w:hAnsi="Calibri"/>
                <w:sz w:val="19"/>
              </w:rPr>
              <w:t>SJS/TEN</w:t>
            </w:r>
          </w:p>
        </w:tc>
        <w:tc>
          <w:tcPr>
            <w:tcW w:type="dxa" w:w="1872"/>
            <w:shd w:fill="F5F5F5"/>
          </w:tcPr>
          <w:p>
            <w:pPr>
              <w:spacing w:after="40" w:before="40"/>
            </w:pPr>
            <w:r>
              <w:rPr>
                <w:rFonts w:ascii="Calibri" w:hAnsi="Calibri"/>
                <w:sz w:val="19"/>
              </w:rPr>
            </w:r>
            <w:r>
              <w:rPr>
                <w:rFonts w:ascii="Calibri" w:hAnsi="Calibri"/>
                <w:sz w:val="19"/>
              </w:rPr>
              <w:t>OR 27.9</w:t>
            </w:r>
          </w:p>
        </w:tc>
        <w:tc>
          <w:tcPr>
            <w:tcW w:type="dxa" w:w="1872"/>
            <w:shd w:fill="F5F5F5"/>
          </w:tcPr>
          <w:p>
            <w:pPr>
              <w:spacing w:after="40" w:before="40"/>
            </w:pPr>
            <w:r>
              <w:rPr>
                <w:rFonts w:ascii="Calibri" w:hAnsi="Calibri"/>
                <w:sz w:val="19"/>
              </w:rPr>
            </w:r>
            <w:r>
              <w:rPr>
                <w:rFonts w:ascii="Calibri" w:hAnsi="Calibri"/>
                <w:sz w:val="19"/>
              </w:rPr>
              <w:t>B</w:t>
            </w:r>
          </w:p>
        </w:tc>
      </w:tr>
      <w:tr>
        <w:tc>
          <w:tcPr>
            <w:tcW w:type="dxa" w:w="1872"/>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13:01</w:t>
            </w:r>
          </w:p>
        </w:tc>
        <w:tc>
          <w:tcPr>
            <w:tcW w:type="dxa" w:w="1872"/>
          </w:tcPr>
          <w:p>
            <w:pPr>
              <w:spacing w:after="40" w:before="40"/>
            </w:pPr>
            <w:r>
              <w:rPr>
                <w:rFonts w:ascii="Calibri" w:hAnsi="Calibri"/>
                <w:sz w:val="19"/>
              </w:rPr>
            </w:r>
            <w:r>
              <w:rPr>
                <w:rFonts w:ascii="Calibri" w:hAnsi="Calibri"/>
                <w:sz w:val="19"/>
              </w:rPr>
              <w:t>Dapsone</w:t>
            </w:r>
          </w:p>
        </w:tc>
        <w:tc>
          <w:tcPr>
            <w:tcW w:type="dxa" w:w="1872"/>
          </w:tcPr>
          <w:p>
            <w:pPr>
              <w:spacing w:after="40" w:before="40"/>
            </w:pPr>
            <w:r>
              <w:rPr>
                <w:rFonts w:ascii="Calibri" w:hAnsi="Calibri"/>
                <w:sz w:val="19"/>
              </w:rPr>
            </w:r>
            <w:r>
              <w:rPr>
                <w:rFonts w:ascii="Calibri" w:hAnsi="Calibri"/>
                <w:sz w:val="19"/>
              </w:rPr>
              <w:t>Hypersensitivity</w:t>
            </w:r>
          </w:p>
        </w:tc>
        <w:tc>
          <w:tcPr>
            <w:tcW w:type="dxa" w:w="1872"/>
          </w:tcPr>
          <w:p>
            <w:pPr>
              <w:spacing w:after="40" w:before="40"/>
            </w:pPr>
            <w:r>
              <w:rPr>
                <w:rFonts w:ascii="Calibri" w:hAnsi="Calibri"/>
                <w:sz w:val="19"/>
              </w:rPr>
            </w:r>
            <w:r>
              <w:rPr>
                <w:rFonts w:ascii="Calibri" w:hAnsi="Calibri"/>
                <w:sz w:val="19"/>
              </w:rPr>
              <w:t>OR 20.5</w:t>
            </w:r>
          </w:p>
        </w:tc>
        <w:tc>
          <w:tcPr>
            <w:tcW w:type="dxa" w:w="1872"/>
          </w:tcPr>
          <w:p>
            <w:pPr>
              <w:spacing w:after="40" w:before="40"/>
            </w:pPr>
            <w:r>
              <w:rPr>
                <w:rFonts w:ascii="Calibri" w:hAnsi="Calibri"/>
                <w:sz w:val="19"/>
              </w:rPr>
            </w:r>
            <w:r>
              <w:rPr>
                <w:rFonts w:ascii="Calibri" w:hAnsi="Calibri"/>
                <w:sz w:val="19"/>
              </w:rPr>
              <w:t>B</w:t>
            </w:r>
          </w:p>
        </w:tc>
      </w:tr>
      <w:tr>
        <w:tc>
          <w:tcPr>
            <w:tcW w:type="dxa" w:w="1872"/>
            <w:shd w:fill="F5F5F5"/>
          </w:tcPr>
          <w:p>
            <w:pPr>
              <w:spacing w:after="40" w:before="40"/>
            </w:pPr>
            <w:r>
              <w:rPr>
                <w:rFonts w:ascii="Calibri" w:hAnsi="Calibri"/>
                <w:sz w:val="19"/>
              </w:rPr>
            </w:r>
            <w:r>
              <w:rPr>
                <w:rFonts w:ascii="Calibri" w:hAnsi="Calibri"/>
                <w:sz w:val="19"/>
              </w:rPr>
              <w:t>HLA-A</w:t>
            </w:r>
            <w:r>
              <w:rPr>
                <w:rFonts w:ascii="Calibri" w:hAnsi="Calibri"/>
                <w:sz w:val="19"/>
              </w:rPr>
              <w:t>*</w:t>
            </w:r>
            <w:r>
              <w:rPr>
                <w:rFonts w:ascii="Calibri" w:hAnsi="Calibri"/>
                <w:sz w:val="19"/>
              </w:rPr>
              <w:t>33:03</w:t>
            </w:r>
          </w:p>
        </w:tc>
        <w:tc>
          <w:tcPr>
            <w:tcW w:type="dxa" w:w="1872"/>
            <w:shd w:fill="F5F5F5"/>
          </w:tcPr>
          <w:p>
            <w:pPr>
              <w:spacing w:after="40" w:before="40"/>
            </w:pPr>
            <w:r>
              <w:rPr>
                <w:rFonts w:ascii="Calibri" w:hAnsi="Calibri"/>
                <w:sz w:val="19"/>
              </w:rPr>
            </w:r>
            <w:r>
              <w:rPr>
                <w:rFonts w:ascii="Calibri" w:hAnsi="Calibri"/>
                <w:sz w:val="19"/>
              </w:rPr>
              <w:t>Ticlopidine</w:t>
            </w:r>
          </w:p>
        </w:tc>
        <w:tc>
          <w:tcPr>
            <w:tcW w:type="dxa" w:w="1872"/>
            <w:shd w:fill="F5F5F5"/>
          </w:tcPr>
          <w:p>
            <w:pPr>
              <w:spacing w:after="40" w:before="40"/>
            </w:pPr>
            <w:r>
              <w:rPr>
                <w:rFonts w:ascii="Calibri" w:hAnsi="Calibri"/>
                <w:sz w:val="19"/>
              </w:rPr>
            </w:r>
            <w:r>
              <w:rPr>
                <w:rFonts w:ascii="Calibri" w:hAnsi="Calibri"/>
                <w:sz w:val="19"/>
              </w:rPr>
              <w:t>Hepatotoxicity</w:t>
            </w:r>
          </w:p>
        </w:tc>
        <w:tc>
          <w:tcPr>
            <w:tcW w:type="dxa" w:w="1872"/>
            <w:shd w:fill="F5F5F5"/>
          </w:tcPr>
          <w:p>
            <w:pPr>
              <w:spacing w:after="40" w:before="40"/>
            </w:pPr>
            <w:r>
              <w:rPr>
                <w:rFonts w:ascii="Calibri" w:hAnsi="Calibri"/>
                <w:sz w:val="19"/>
              </w:rPr>
            </w:r>
            <w:r>
              <w:rPr>
                <w:rFonts w:ascii="Calibri" w:hAnsi="Calibri"/>
                <w:sz w:val="19"/>
              </w:rPr>
              <w:t>OR 13</w:t>
            </w:r>
          </w:p>
        </w:tc>
        <w:tc>
          <w:tcPr>
            <w:tcW w:type="dxa" w:w="1872"/>
            <w:shd w:fill="F5F5F5"/>
          </w:tcPr>
          <w:p>
            <w:pPr>
              <w:spacing w:after="40" w:before="40"/>
            </w:pPr>
            <w:r>
              <w:rPr>
                <w:rFonts w:ascii="Calibri" w:hAnsi="Calibri"/>
                <w:sz w:val="19"/>
              </w:rPr>
            </w:r>
            <w:r>
              <w:rPr>
                <w:rFonts w:ascii="Calibri" w:hAnsi="Calibri"/>
                <w:sz w:val="19"/>
              </w:rPr>
              <w:t>B</w:t>
            </w:r>
          </w:p>
        </w:tc>
      </w:tr>
      <w:tr>
        <w:tc>
          <w:tcPr>
            <w:tcW w:type="dxa" w:w="1872"/>
          </w:tcPr>
          <w:p>
            <w:pPr>
              <w:spacing w:after="40" w:before="40"/>
            </w:pPr>
            <w:r>
              <w:rPr>
                <w:rFonts w:ascii="Calibri" w:hAnsi="Calibri"/>
                <w:sz w:val="19"/>
              </w:rPr>
            </w:r>
            <w:r>
              <w:rPr>
                <w:rFonts w:ascii="Calibri" w:hAnsi="Calibri"/>
                <w:sz w:val="19"/>
              </w:rPr>
              <w:t>HLA-DRB1</w:t>
            </w:r>
            <w:r>
              <w:rPr>
                <w:rFonts w:ascii="Calibri" w:hAnsi="Calibri"/>
                <w:sz w:val="19"/>
              </w:rPr>
              <w:t>*</w:t>
            </w:r>
            <w:r>
              <w:rPr>
                <w:rFonts w:ascii="Calibri" w:hAnsi="Calibri"/>
                <w:sz w:val="19"/>
              </w:rPr>
              <w:t>07:01</w:t>
            </w:r>
          </w:p>
        </w:tc>
        <w:tc>
          <w:tcPr>
            <w:tcW w:type="dxa" w:w="1872"/>
          </w:tcPr>
          <w:p>
            <w:pPr>
              <w:spacing w:after="40" w:before="40"/>
            </w:pPr>
            <w:r>
              <w:rPr>
                <w:rFonts w:ascii="Calibri" w:hAnsi="Calibri"/>
                <w:sz w:val="19"/>
              </w:rPr>
            </w:r>
            <w:r>
              <w:rPr>
                <w:rFonts w:ascii="Calibri" w:hAnsi="Calibri"/>
                <w:sz w:val="19"/>
              </w:rPr>
              <w:t>Lapatinib</w:t>
            </w:r>
          </w:p>
        </w:tc>
        <w:tc>
          <w:tcPr>
            <w:tcW w:type="dxa" w:w="1872"/>
          </w:tcPr>
          <w:p>
            <w:pPr>
              <w:spacing w:after="40" w:before="40"/>
            </w:pPr>
            <w:r>
              <w:rPr>
                <w:rFonts w:ascii="Calibri" w:hAnsi="Calibri"/>
                <w:sz w:val="19"/>
              </w:rPr>
            </w:r>
            <w:r>
              <w:rPr>
                <w:rFonts w:ascii="Calibri" w:hAnsi="Calibri"/>
                <w:sz w:val="19"/>
              </w:rPr>
              <w:t>Hepatotoxicity</w:t>
            </w:r>
          </w:p>
        </w:tc>
        <w:tc>
          <w:tcPr>
            <w:tcW w:type="dxa" w:w="1872"/>
          </w:tcPr>
          <w:p>
            <w:pPr>
              <w:spacing w:after="40" w:before="40"/>
            </w:pPr>
            <w:r>
              <w:rPr>
                <w:rFonts w:ascii="Calibri" w:hAnsi="Calibri"/>
                <w:sz w:val="19"/>
              </w:rPr>
            </w:r>
            <w:r>
              <w:rPr>
                <w:rFonts w:ascii="Calibri" w:hAnsi="Calibri"/>
                <w:sz w:val="19"/>
              </w:rPr>
              <w:t>OR 2.5</w:t>
            </w:r>
          </w:p>
        </w:tc>
        <w:tc>
          <w:tcPr>
            <w:tcW w:type="dxa" w:w="1872"/>
          </w:tcPr>
          <w:p>
            <w:pPr>
              <w:spacing w:after="40" w:before="40"/>
            </w:pPr>
            <w:r>
              <w:rPr>
                <w:rFonts w:ascii="Calibri" w:hAnsi="Calibri"/>
                <w:sz w:val="19"/>
              </w:rPr>
            </w:r>
            <w:r>
              <w:rPr>
                <w:rFonts w:ascii="Calibri" w:hAnsi="Calibri"/>
                <w:sz w:val="19"/>
              </w:rPr>
              <w:t>B</w:t>
            </w:r>
          </w:p>
        </w:tc>
      </w:tr>
      <w:tr>
        <w:tc>
          <w:tcPr>
            <w:tcW w:type="dxa" w:w="1872"/>
            <w:shd w:fill="F5F5F5"/>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35:01</w:t>
            </w:r>
          </w:p>
        </w:tc>
        <w:tc>
          <w:tcPr>
            <w:tcW w:type="dxa" w:w="1872"/>
            <w:shd w:fill="F5F5F5"/>
          </w:tcPr>
          <w:p>
            <w:pPr>
              <w:spacing w:after="40" w:before="40"/>
            </w:pPr>
            <w:r>
              <w:rPr>
                <w:rFonts w:ascii="Calibri" w:hAnsi="Calibri"/>
                <w:sz w:val="19"/>
              </w:rPr>
            </w:r>
            <w:r>
              <w:rPr>
                <w:rFonts w:ascii="Calibri" w:hAnsi="Calibri"/>
                <w:sz w:val="19"/>
              </w:rPr>
              <w:t>Minocycline</w:t>
            </w:r>
          </w:p>
        </w:tc>
        <w:tc>
          <w:tcPr>
            <w:tcW w:type="dxa" w:w="1872"/>
            <w:shd w:fill="F5F5F5"/>
          </w:tcPr>
          <w:p>
            <w:pPr>
              <w:spacing w:after="40" w:before="40"/>
            </w:pPr>
            <w:r>
              <w:rPr>
                <w:rFonts w:ascii="Calibri" w:hAnsi="Calibri"/>
                <w:sz w:val="19"/>
              </w:rPr>
            </w:r>
            <w:r>
              <w:rPr>
                <w:rFonts w:ascii="Calibri" w:hAnsi="Calibri"/>
                <w:sz w:val="19"/>
              </w:rPr>
              <w:t>DRESS</w:t>
            </w:r>
          </w:p>
        </w:tc>
        <w:tc>
          <w:tcPr>
            <w:tcW w:type="dxa" w:w="1872"/>
            <w:shd w:fill="F5F5F5"/>
          </w:tcPr>
          <w:p>
            <w:pPr>
              <w:spacing w:after="40" w:before="40"/>
            </w:pPr>
            <w:r>
              <w:rPr>
                <w:rFonts w:ascii="Calibri" w:hAnsi="Calibri"/>
                <w:sz w:val="19"/>
              </w:rPr>
            </w:r>
            <w:r>
              <w:rPr>
                <w:rFonts w:ascii="Calibri" w:hAnsi="Calibri"/>
                <w:sz w:val="19"/>
              </w:rPr>
              <w:t>Under study</w:t>
            </w:r>
          </w:p>
        </w:tc>
        <w:tc>
          <w:tcPr>
            <w:tcW w:type="dxa" w:w="1872"/>
            <w:shd w:fill="F5F5F5"/>
          </w:tcPr>
          <w:p>
            <w:pPr>
              <w:spacing w:after="40" w:before="40"/>
            </w:pPr>
            <w:r>
              <w:rPr>
                <w:rFonts w:ascii="Calibri" w:hAnsi="Calibri"/>
                <w:sz w:val="19"/>
              </w:rPr>
            </w:r>
            <w:r>
              <w:rPr>
                <w:rFonts w:ascii="Calibri" w:hAnsi="Calibri"/>
                <w:sz w:val="19"/>
              </w:rPr>
              <w:t>C</w:t>
            </w:r>
          </w:p>
        </w:tc>
      </w:tr>
      <w:tr>
        <w:tc>
          <w:tcPr>
            <w:tcW w:type="dxa" w:w="1872"/>
          </w:tcPr>
          <w:p>
            <w:pPr>
              <w:spacing w:after="40" w:before="40"/>
            </w:pPr>
            <w:r>
              <w:rPr>
                <w:rFonts w:ascii="Calibri" w:hAnsi="Calibri"/>
                <w:sz w:val="19"/>
              </w:rPr>
            </w:r>
            <w:r>
              <w:rPr>
                <w:rFonts w:ascii="Calibri" w:hAnsi="Calibri"/>
                <w:sz w:val="19"/>
              </w:rPr>
              <w:t>HLA-B</w:t>
            </w:r>
            <w:r>
              <w:rPr>
                <w:rFonts w:ascii="Calibri" w:hAnsi="Calibri"/>
                <w:sz w:val="19"/>
              </w:rPr>
              <w:t>*</w:t>
            </w:r>
            <w:r>
              <w:rPr>
                <w:rFonts w:ascii="Calibri" w:hAnsi="Calibri"/>
                <w:sz w:val="19"/>
              </w:rPr>
              <w:t>38:02</w:t>
            </w:r>
          </w:p>
        </w:tc>
        <w:tc>
          <w:tcPr>
            <w:tcW w:type="dxa" w:w="1872"/>
          </w:tcPr>
          <w:p>
            <w:pPr>
              <w:spacing w:after="40" w:before="40"/>
            </w:pPr>
            <w:r>
              <w:rPr>
                <w:rFonts w:ascii="Calibri" w:hAnsi="Calibri"/>
                <w:sz w:val="19"/>
              </w:rPr>
            </w:r>
            <w:r>
              <w:rPr>
                <w:rFonts w:ascii="Calibri" w:hAnsi="Calibri"/>
                <w:sz w:val="19"/>
              </w:rPr>
              <w:t>Sulfasalazine</w:t>
            </w:r>
          </w:p>
        </w:tc>
        <w:tc>
          <w:tcPr>
            <w:tcW w:type="dxa" w:w="1872"/>
          </w:tcPr>
          <w:p>
            <w:pPr>
              <w:spacing w:after="40" w:before="40"/>
            </w:pPr>
            <w:r>
              <w:rPr>
                <w:rFonts w:ascii="Calibri" w:hAnsi="Calibri"/>
                <w:sz w:val="19"/>
              </w:rPr>
            </w:r>
            <w:r>
              <w:rPr>
                <w:rFonts w:ascii="Calibri" w:hAnsi="Calibri"/>
                <w:sz w:val="19"/>
              </w:rPr>
              <w:t>DRESS</w:t>
            </w:r>
          </w:p>
        </w:tc>
        <w:tc>
          <w:tcPr>
            <w:tcW w:type="dxa" w:w="1872"/>
          </w:tcPr>
          <w:p>
            <w:pPr>
              <w:spacing w:after="40" w:before="40"/>
            </w:pPr>
            <w:r>
              <w:rPr>
                <w:rFonts w:ascii="Calibri" w:hAnsi="Calibri"/>
                <w:sz w:val="19"/>
              </w:rPr>
            </w:r>
            <w:r>
              <w:rPr>
                <w:rFonts w:ascii="Calibri" w:hAnsi="Calibri"/>
                <w:sz w:val="19"/>
              </w:rPr>
              <w:t>Under study</w:t>
            </w:r>
          </w:p>
        </w:tc>
        <w:tc>
          <w:tcPr>
            <w:tcW w:type="dxa" w:w="1872"/>
          </w:tcPr>
          <w:p>
            <w:pPr>
              <w:spacing w:after="40" w:before="40"/>
            </w:pPr>
            <w:r>
              <w:rPr>
                <w:rFonts w:ascii="Calibri" w:hAnsi="Calibri"/>
                <w:sz w:val="19"/>
              </w:rPr>
            </w:r>
            <w:r>
              <w:rPr>
                <w:rFonts w:ascii="Calibri" w:hAnsi="Calibri"/>
                <w:sz w:val="19"/>
              </w:rPr>
              <w:t>C</w:t>
            </w:r>
          </w:p>
        </w:tc>
      </w:tr>
      <w:tr>
        <w:tc>
          <w:tcPr>
            <w:tcW w:type="dxa" w:w="1872"/>
            <w:shd w:fill="F5F5F5"/>
          </w:tcPr>
          <w:p>
            <w:pPr>
              <w:spacing w:after="40" w:before="40"/>
            </w:pPr>
            <w:r>
              <w:rPr>
                <w:rFonts w:ascii="Calibri" w:hAnsi="Calibri"/>
                <w:sz w:val="19"/>
              </w:rPr>
            </w:r>
            <w:r>
              <w:rPr>
                <w:rFonts w:ascii="Calibri" w:hAnsi="Calibri"/>
                <w:sz w:val="19"/>
              </w:rPr>
              <w:t>HLA-DPB1</w:t>
            </w:r>
            <w:r>
              <w:rPr>
                <w:rFonts w:ascii="Calibri" w:hAnsi="Calibri"/>
                <w:sz w:val="19"/>
              </w:rPr>
              <w:t>*</w:t>
            </w:r>
            <w:r>
              <w:rPr>
                <w:rFonts w:ascii="Calibri" w:hAnsi="Calibri"/>
                <w:sz w:val="19"/>
              </w:rPr>
              <w:t>03:01</w:t>
            </w:r>
          </w:p>
        </w:tc>
        <w:tc>
          <w:tcPr>
            <w:tcW w:type="dxa" w:w="1872"/>
            <w:shd w:fill="F5F5F5"/>
          </w:tcPr>
          <w:p>
            <w:pPr>
              <w:spacing w:after="40" w:before="40"/>
            </w:pPr>
            <w:r>
              <w:rPr>
                <w:rFonts w:ascii="Calibri" w:hAnsi="Calibri"/>
                <w:sz w:val="19"/>
              </w:rPr>
            </w:r>
            <w:r>
              <w:rPr>
                <w:rFonts w:ascii="Calibri" w:hAnsi="Calibri"/>
                <w:sz w:val="19"/>
              </w:rPr>
              <w:t>Aspirin</w:t>
            </w:r>
          </w:p>
        </w:tc>
        <w:tc>
          <w:tcPr>
            <w:tcW w:type="dxa" w:w="1872"/>
            <w:shd w:fill="F5F5F5"/>
          </w:tcPr>
          <w:p>
            <w:pPr>
              <w:spacing w:after="40" w:before="40"/>
            </w:pPr>
            <w:r>
              <w:rPr>
                <w:rFonts w:ascii="Calibri" w:hAnsi="Calibri"/>
                <w:sz w:val="19"/>
              </w:rPr>
            </w:r>
            <w:r>
              <w:rPr>
                <w:rFonts w:ascii="Calibri" w:hAnsi="Calibri"/>
                <w:sz w:val="19"/>
              </w:rPr>
              <w:t>AERD</w:t>
            </w:r>
          </w:p>
        </w:tc>
        <w:tc>
          <w:tcPr>
            <w:tcW w:type="dxa" w:w="1872"/>
            <w:shd w:fill="F5F5F5"/>
          </w:tcPr>
          <w:p>
            <w:pPr>
              <w:spacing w:after="40" w:before="40"/>
            </w:pPr>
            <w:r>
              <w:rPr>
                <w:rFonts w:ascii="Calibri" w:hAnsi="Calibri"/>
                <w:sz w:val="19"/>
              </w:rPr>
            </w:r>
            <w:r>
              <w:rPr>
                <w:rFonts w:ascii="Calibri" w:hAnsi="Calibri"/>
                <w:sz w:val="19"/>
              </w:rPr>
              <w:t>Under study</w:t>
            </w:r>
          </w:p>
        </w:tc>
        <w:tc>
          <w:tcPr>
            <w:tcW w:type="dxa" w:w="1872"/>
            <w:shd w:fill="F5F5F5"/>
          </w:tcPr>
          <w:p>
            <w:pPr>
              <w:spacing w:after="40" w:before="40"/>
            </w:pPr>
            <w:r>
              <w:rPr>
                <w:rFonts w:ascii="Calibri" w:hAnsi="Calibri"/>
                <w:sz w:val="19"/>
              </w:rPr>
            </w:r>
            <w:r>
              <w:rPr>
                <w:rFonts w:ascii="Calibri" w:hAnsi="Calibri"/>
                <w:sz w:val="19"/>
              </w:rPr>
              <w:t>C</w:t>
            </w:r>
          </w:p>
        </w:tc>
      </w:tr>
    </w:tbl>
    <w:p/>
    <w:p>
      <w:pPr>
        <w:spacing w:before="160" w:after="160"/>
        <w:jc w:val="center"/>
      </w:pPr>
      <w:r>
        <w:rPr>
          <w:color w:val="76B900"/>
          <w:sz w:val="16"/>
        </w:rPr>
        <w:t>━━━━━━━━━━━━━━━━━━━━━━━━━━━━━━━━━━━━━━━━━━━━━━━━━━━━━━━━━━━━</w:t>
      </w:r>
    </w:p>
    <w:p>
      <w:r>
        <w:br w:type="page"/>
      </w:r>
    </w:p>
    <w:p>
      <w:pPr>
        <w:pStyle w:val="Heading2"/>
      </w:pPr>
      <w:r>
        <w:t>6. Genomic Variant-to-Drug Mapping Pipeline</w:t>
      </w:r>
    </w:p>
    <w:p>
      <w:pPr>
        <w:pStyle w:val="Heading3"/>
      </w:pPr>
      <w:r>
        <w:t>6.1 Pipeline Overview</w:t>
      </w:r>
    </w:p>
    <w:p>
      <w:pPr>
        <w:spacing w:before="120" w:after="120"/>
        <w:ind w:left="567"/>
      </w:pPr>
      <w:r>
        <w:rPr>
          <w:rFonts w:ascii="Consolas" w:hAnsi="Consolas"/>
          <w:color w:val="333333"/>
          <w:sz w:val="17"/>
        </w:rPr>
        <w:t>VCF File (11.7M variants)</w:t>
        <w:br/>
        <w:t xml:space="preserve">    │</w:t>
        <w:br/>
        <w:t xml:space="preserve">    ▼</w:t>
        <w:br/>
        <w:t>┌──────────────────────────┐</w:t>
        <w:br/>
        <w:t>│ 1. PGx Variant Extraction │</w:t>
        <w:br/>
        <w:t>│    Filter to ~2,500 PGx   │</w:t>
        <w:br/>
        <w:t>│    relevant positions      │</w:t>
        <w:br/>
        <w:t>└─────────┬────────────────┘</w:t>
        <w:br/>
        <w:t xml:space="preserve">          │</w:t>
        <w:br/>
        <w:t xml:space="preserve">          ▼</w:t>
        <w:br/>
        <w:t>┌──────────────────────────┐</w:t>
        <w:br/>
        <w:t>│ 2. Star Allele Resolution │</w:t>
        <w:br/>
        <w:t>│    PharmVar haplotype      │</w:t>
        <w:br/>
        <w:t>│    tables for each gene    │</w:t>
        <w:br/>
        <w:t>└─────────┬────────────────┘</w:t>
        <w:br/>
        <w:t xml:space="preserve">          │</w:t>
        <w:br/>
        <w:t xml:space="preserve">          ▼</w:t>
        <w:br/>
        <w:t>┌──────────────────────────┐</w:t>
        <w:br/>
        <w:t>│ 3. Diplotype Assembly     │</w:t>
        <w:br/>
        <w:t>│    Phase-aware diplotype   │</w:t>
        <w:br/>
        <w:t>│    determination           │</w:t>
        <w:br/>
        <w:t>└─────────┬────────────────┘</w:t>
        <w:br/>
        <w:t xml:space="preserve">          │</w:t>
        <w:br/>
        <w:t xml:space="preserve">          ▼</w:t>
        <w:br/>
        <w:t>┌──────────────────────────┐</w:t>
        <w:br/>
        <w:t>│ 4. Phenotype Translation  │</w:t>
        <w:br/>
        <w:t>│    CPIC activity scores    │</w:t>
        <w:br/>
        <w:t>│    → standardized terms    │</w:t>
        <w:br/>
        <w:t>└─────────┬────────────────┘</w:t>
        <w:br/>
        <w:t xml:space="preserve">          │</w:t>
        <w:br/>
        <w:t xml:space="preserve">          ▼</w:t>
        <w:br/>
        <w:t>┌──────────────────────────┐</w:t>
        <w:br/>
        <w:t>│ 5. Drug Matching          │</w:t>
        <w:br/>
        <w:t>│    Cross-reference med     │</w:t>
        <w:br/>
        <w:t>│    list → recommendations  │</w:t>
        <w:br/>
        <w:t>└─────────┬────────────────┘</w:t>
        <w:br/>
        <w:t xml:space="preserve">          │</w:t>
        <w:br/>
        <w:t xml:space="preserve">          ▼</w:t>
        <w:br/>
        <w:t>┌──────────────────────────┐</w:t>
        <w:br/>
        <w:t>│ 6. Report Generation      │</w:t>
        <w:br/>
        <w:t>│    Clinical action items   │</w:t>
        <w:br/>
        <w:t>│    with evidence grading   │</w:t>
        <w:br/>
        <w:t>└──────────────────────────┘</w:t>
      </w:r>
    </w:p>
    <w:p>
      <w:pPr>
        <w:pStyle w:val="Heading3"/>
      </w:pPr>
      <w:r>
        <w:t>6.2 Variant Extraction Detail</w:t>
      </w:r>
    </w:p>
    <w:p>
      <w:r>
        <w:t>From a typical whole-genome VCF with 11.7 million variants, the pipeline extracts approximately 2,500 pharmacogenomically relevant positions across 25+ genes. Extraction uses a curated BED file of PGx-relevant coordinates derived from:</w:t>
      </w:r>
    </w:p>
    <w:p>
      <w:pPr>
        <w:pStyle w:val="ListBullet"/>
        <w:spacing w:after="60"/>
      </w:pPr>
      <w:r>
        <w:t>PharmVar database (all defined star allele positions)</w:t>
      </w:r>
    </w:p>
    <w:p>
      <w:pPr>
        <w:pStyle w:val="ListBullet"/>
        <w:spacing w:after="60"/>
      </w:pPr>
      <w:r>
        <w:t>CPIC gene-specific tables (defining variants for each guideline)</w:t>
      </w:r>
    </w:p>
    <w:p>
      <w:pPr>
        <w:pStyle w:val="ListBullet"/>
        <w:spacing w:after="60"/>
      </w:pPr>
      <w:r>
        <w:t>ClinVar PGx-classified variants</w:t>
      </w:r>
    </w:p>
    <w:p>
      <w:pPr>
        <w:pStyle w:val="ListBullet"/>
        <w:spacing w:after="60"/>
      </w:pPr>
      <w:r>
        <w:t>PharmGKB high-confidence variant annotations</w:t>
      </w:r>
    </w:p>
    <w:p>
      <w:pPr>
        <w:pStyle w:val="Heading3"/>
      </w:pPr>
      <w:r>
        <w:t>6.3 Star Allele Calling Algorithm</w:t>
      </w:r>
    </w:p>
    <w:p>
      <w:r>
        <w:t>Star allele calling is the most complex step and varies by gene:</w:t>
      </w:r>
    </w:p>
    <w:p>
      <w:r>
        <w:rPr>
          <w:b/>
        </w:rPr>
        <w:t>Simple genes (SNV-only):</w:t>
      </w:r>
      <w:r>
        <w:t xml:space="preserve"> CYP2C19, CYP2C9, VKORC1, DPYD, TPMT, NUDT15</w:t>
      </w:r>
    </w:p>
    <w:p>
      <w:pPr>
        <w:pStyle w:val="ListBullet"/>
        <w:spacing w:after="60"/>
      </w:pPr>
      <w:r>
        <w:t>Haplotype matching against PharmVar-defined allele tables</w:t>
      </w:r>
    </w:p>
    <w:p>
      <w:pPr>
        <w:pStyle w:val="ListBullet"/>
        <w:spacing w:after="60"/>
      </w:pPr>
      <w:r>
        <w:t>Each star allele defined by 1-5 SNVs</w:t>
      </w:r>
    </w:p>
    <w:p>
      <w:pPr>
        <w:pStyle w:val="ListBullet"/>
        <w:spacing w:after="60"/>
      </w:pPr>
      <w:r>
        <w:t>Diplotype by standard phasing (statistical or read-backed)</w:t>
      </w:r>
    </w:p>
    <w:p>
      <w:r>
        <w:rPr>
          <w:b/>
        </w:rPr>
        <w:t>Complex genes (SNV + structural):</w:t>
      </w:r>
      <w:r>
        <w:t xml:space="preserve"> CYP2D6</w:t>
      </w:r>
    </w:p>
    <w:p>
      <w:pPr>
        <w:pStyle w:val="ListBullet"/>
        <w:spacing w:after="60"/>
      </w:pPr>
      <w:r>
        <w:t>CYP2D6 is the most pharmacogenomically important and most difficult gene to genotype</w:t>
      </w:r>
    </w:p>
    <w:p>
      <w:pPr>
        <w:pStyle w:val="ListBullet"/>
        <w:spacing w:after="60"/>
      </w:pPr>
      <w:r>
        <w:t xml:space="preserve">Requires: SNV calling, copy number determination (gene deletions </w:t>
      </w:r>
      <w:r>
        <w:rPr>
          <w:i/>
        </w:rPr>
        <w:t xml:space="preserve">5, duplications </w:t>
      </w:r>
      <w:r>
        <w:t xml:space="preserve">1xN, </w:t>
      </w:r>
      <w:r>
        <w:t>*</w:t>
      </w:r>
      <w:r>
        <w:t>2xN), hybrid allele detection (CYP2D6/CYP2D7 fusions)</w:t>
      </w:r>
    </w:p>
    <w:p>
      <w:pPr>
        <w:pStyle w:val="ListBullet"/>
        <w:spacing w:after="60"/>
      </w:pPr>
      <w:r>
        <w:t>The agent implements a tiered approach:</w:t>
      </w:r>
    </w:p>
    <w:p>
      <w:pPr>
        <w:pStyle w:val="ListBullet"/>
        <w:spacing w:after="60"/>
        <w:ind w:left="1440"/>
      </w:pPr>
      <w:r>
        <w:t>Tier 1: SNV-based star allele assignment from VCF</w:t>
      </w:r>
    </w:p>
    <w:p>
      <w:pPr>
        <w:pStyle w:val="ListBullet"/>
        <w:spacing w:after="60"/>
        <w:ind w:left="1440"/>
      </w:pPr>
      <w:r>
        <w:t>Tier 2: Read depth analysis for copy number (requires BAM)</w:t>
      </w:r>
    </w:p>
    <w:p>
      <w:pPr>
        <w:pStyle w:val="ListBullet"/>
        <w:spacing w:after="60"/>
        <w:ind w:left="1440"/>
      </w:pPr>
      <w:r>
        <w:t>Tier 3: Hybrid allele detection (requires specialized alignment)</w:t>
      </w:r>
    </w:p>
    <w:p>
      <w:pPr>
        <w:pStyle w:val="ListBullet"/>
        <w:spacing w:after="60"/>
      </w:pPr>
      <w:r>
        <w:t>When structural variant data is unavailable, the agent flags this limitation and provides recommendations based on SNV data alone with appropriate caveats</w:t>
      </w:r>
    </w:p>
    <w:p>
      <w:r>
        <w:rPr>
          <w:b/>
        </w:rPr>
        <w:t>HLA genes:</w:t>
      </w:r>
      <w:r>
        <w:t xml:space="preserve"> HLA-A, HLA-B, HLA-DRB1, HLA-DPB1</w:t>
      </w:r>
    </w:p>
    <w:p>
      <w:pPr>
        <w:pStyle w:val="ListBullet"/>
        <w:spacing w:after="60"/>
      </w:pPr>
      <w:r>
        <w:t>HLA typing from WGS data using established tools (OptiType, HLA-HD)</w:t>
      </w:r>
    </w:p>
    <w:p>
      <w:pPr>
        <w:pStyle w:val="ListBullet"/>
        <w:spacing w:after="60"/>
      </w:pPr>
      <w:r>
        <w:t>Four-digit resolution sufficient for most PGx associations</w:t>
      </w:r>
    </w:p>
    <w:p>
      <w:pPr>
        <w:pStyle w:val="ListBullet"/>
        <w:spacing w:after="60"/>
      </w:pPr>
      <w:r>
        <w:t>Population-specific frequency annotations</w:t>
      </w:r>
    </w:p>
    <w:p>
      <w:pPr>
        <w:pStyle w:val="Heading3"/>
      </w:pPr>
      <w:r>
        <w:t>6.4 Activity Score System</w:t>
      </w:r>
    </w:p>
    <w:p>
      <w:r>
        <w:t>CPIC uses activity scores to standardize phenotype assignment across genes. Example for CYP2D6: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spacing w:after="40" w:before="40"/>
            </w:pPr>
            <w:r/>
            <w:r>
              <w:rPr>
                <w:rFonts w:ascii="Calibri" w:hAnsi="Calibri"/>
                <w:b/>
                <w:color w:val="FFFFFF"/>
                <w:sz w:val="20"/>
              </w:rPr>
              <w:t>Allele</w:t>
            </w:r>
          </w:p>
        </w:tc>
        <w:tc>
          <w:tcPr>
            <w:tcW w:type="dxa" w:w="3120"/>
            <w:shd w:fill="1A1A2E"/>
          </w:tcPr>
          <w:p>
            <w:pPr>
              <w:spacing w:after="40" w:before="40"/>
            </w:pPr>
            <w:r/>
            <w:r>
              <w:rPr>
                <w:rFonts w:ascii="Calibri" w:hAnsi="Calibri"/>
                <w:b/>
                <w:color w:val="FFFFFF"/>
                <w:sz w:val="20"/>
              </w:rPr>
              <w:t>Activity Score</w:t>
            </w:r>
          </w:p>
        </w:tc>
        <w:tc>
          <w:tcPr>
            <w:tcW w:type="dxa" w:w="3120"/>
            <w:shd w:fill="1A1A2E"/>
          </w:tcPr>
          <w:p>
            <w:pPr>
              <w:spacing w:after="40" w:before="40"/>
            </w:pPr>
            <w:r/>
            <w:r>
              <w:rPr>
                <w:rFonts w:ascii="Calibri" w:hAnsi="Calibri"/>
                <w:b/>
                <w:color w:val="FFFFFF"/>
                <w:sz w:val="20"/>
              </w:rPr>
              <w:t>Classification</w:t>
            </w:r>
          </w:p>
        </w:tc>
      </w:tr>
      <w:tr>
        <w:tc>
          <w:tcPr>
            <w:tcW w:type="dxa" w:w="3120"/>
          </w:tcPr>
          <w:p>
            <w:pPr>
              <w:spacing w:after="40" w:before="40"/>
            </w:pPr>
            <w:r>
              <w:rPr>
                <w:rFonts w:ascii="Calibri" w:hAnsi="Calibri"/>
                <w:sz w:val="19"/>
              </w:rPr>
            </w:r>
            <w:r>
              <w:rPr>
                <w:rFonts w:ascii="Calibri" w:hAnsi="Calibri"/>
                <w:sz w:val="19"/>
              </w:rPr>
              <w:t>*</w:t>
            </w:r>
            <w:r>
              <w:rPr>
                <w:rFonts w:ascii="Calibri" w:hAnsi="Calibri"/>
                <w:sz w:val="19"/>
              </w:rPr>
              <w:t>1 (normal function)</w:t>
            </w:r>
          </w:p>
        </w:tc>
        <w:tc>
          <w:tcPr>
            <w:tcW w:type="dxa" w:w="3120"/>
          </w:tcPr>
          <w:p>
            <w:pPr>
              <w:spacing w:after="40" w:before="40"/>
            </w:pPr>
            <w:r>
              <w:rPr>
                <w:rFonts w:ascii="Calibri" w:hAnsi="Calibri"/>
                <w:sz w:val="19"/>
              </w:rPr>
            </w:r>
            <w:r>
              <w:rPr>
                <w:rFonts w:ascii="Calibri" w:hAnsi="Calibri"/>
                <w:sz w:val="19"/>
              </w:rPr>
              <w:t>1.0</w:t>
            </w:r>
          </w:p>
        </w:tc>
        <w:tc>
          <w:tcPr>
            <w:tcW w:type="dxa" w:w="3120"/>
          </w:tcPr>
          <w:p>
            <w:pPr>
              <w:spacing w:after="40" w:before="40"/>
            </w:pPr>
            <w:r>
              <w:rPr>
                <w:rFonts w:ascii="Calibri" w:hAnsi="Calibri"/>
                <w:sz w:val="19"/>
              </w:rPr>
            </w:r>
            <w:r>
              <w:rPr>
                <w:rFonts w:ascii="Calibri" w:hAnsi="Calibri"/>
                <w:sz w:val="19"/>
              </w:rPr>
              <w:t>Functional</w:t>
            </w:r>
          </w:p>
        </w:tc>
      </w:tr>
      <w:tr>
        <w:tc>
          <w:tcPr>
            <w:tcW w:type="dxa" w:w="3120"/>
            <w:shd w:fill="F5F5F5"/>
          </w:tcPr>
          <w:p>
            <w:pPr>
              <w:spacing w:after="40" w:before="40"/>
            </w:pPr>
            <w:r>
              <w:rPr>
                <w:rFonts w:ascii="Calibri" w:hAnsi="Calibri"/>
                <w:sz w:val="19"/>
              </w:rPr>
            </w:r>
            <w:r>
              <w:rPr>
                <w:rFonts w:ascii="Calibri" w:hAnsi="Calibri"/>
                <w:sz w:val="19"/>
              </w:rPr>
              <w:t>*</w:t>
            </w:r>
            <w:r>
              <w:rPr>
                <w:rFonts w:ascii="Calibri" w:hAnsi="Calibri"/>
                <w:sz w:val="19"/>
              </w:rPr>
              <w:t>2 (normal function)</w:t>
            </w:r>
          </w:p>
        </w:tc>
        <w:tc>
          <w:tcPr>
            <w:tcW w:type="dxa" w:w="3120"/>
            <w:shd w:fill="F5F5F5"/>
          </w:tcPr>
          <w:p>
            <w:pPr>
              <w:spacing w:after="40" w:before="40"/>
            </w:pPr>
            <w:r>
              <w:rPr>
                <w:rFonts w:ascii="Calibri" w:hAnsi="Calibri"/>
                <w:sz w:val="19"/>
              </w:rPr>
            </w:r>
            <w:r>
              <w:rPr>
                <w:rFonts w:ascii="Calibri" w:hAnsi="Calibri"/>
                <w:sz w:val="19"/>
              </w:rPr>
              <w:t>1.0</w:t>
            </w:r>
          </w:p>
        </w:tc>
        <w:tc>
          <w:tcPr>
            <w:tcW w:type="dxa" w:w="3120"/>
            <w:shd w:fill="F5F5F5"/>
          </w:tcPr>
          <w:p>
            <w:pPr>
              <w:spacing w:after="40" w:before="40"/>
            </w:pPr>
            <w:r>
              <w:rPr>
                <w:rFonts w:ascii="Calibri" w:hAnsi="Calibri"/>
                <w:sz w:val="19"/>
              </w:rPr>
            </w:r>
            <w:r>
              <w:rPr>
                <w:rFonts w:ascii="Calibri" w:hAnsi="Calibri"/>
                <w:sz w:val="19"/>
              </w:rPr>
              <w:t>Functional</w:t>
            </w:r>
          </w:p>
        </w:tc>
      </w:tr>
      <w:tr>
        <w:tc>
          <w:tcPr>
            <w:tcW w:type="dxa" w:w="3120"/>
          </w:tcPr>
          <w:p>
            <w:pPr>
              <w:spacing w:after="40" w:before="40"/>
            </w:pPr>
            <w:r>
              <w:rPr>
                <w:rFonts w:ascii="Calibri" w:hAnsi="Calibri"/>
                <w:sz w:val="19"/>
              </w:rPr>
            </w:r>
            <w:r>
              <w:rPr>
                <w:rFonts w:ascii="Calibri" w:hAnsi="Calibri"/>
                <w:sz w:val="19"/>
              </w:rPr>
              <w:t>*</w:t>
            </w:r>
            <w:r>
              <w:rPr>
                <w:rFonts w:ascii="Calibri" w:hAnsi="Calibri"/>
                <w:sz w:val="19"/>
              </w:rPr>
              <w:t>9 (decreased function)</w:t>
            </w:r>
          </w:p>
        </w:tc>
        <w:tc>
          <w:tcPr>
            <w:tcW w:type="dxa" w:w="3120"/>
          </w:tcPr>
          <w:p>
            <w:pPr>
              <w:spacing w:after="40" w:before="40"/>
            </w:pPr>
            <w:r>
              <w:rPr>
                <w:rFonts w:ascii="Calibri" w:hAnsi="Calibri"/>
                <w:sz w:val="19"/>
              </w:rPr>
            </w:r>
            <w:r>
              <w:rPr>
                <w:rFonts w:ascii="Calibri" w:hAnsi="Calibri"/>
                <w:sz w:val="19"/>
              </w:rPr>
              <w:t>0.5</w:t>
            </w:r>
          </w:p>
        </w:tc>
        <w:tc>
          <w:tcPr>
            <w:tcW w:type="dxa" w:w="3120"/>
          </w:tcPr>
          <w:p>
            <w:pPr>
              <w:spacing w:after="40" w:before="40"/>
            </w:pPr>
            <w:r>
              <w:rPr>
                <w:rFonts w:ascii="Calibri" w:hAnsi="Calibri"/>
                <w:sz w:val="19"/>
              </w:rPr>
            </w:r>
            <w:r>
              <w:rPr>
                <w:rFonts w:ascii="Calibri" w:hAnsi="Calibri"/>
                <w:sz w:val="19"/>
              </w:rPr>
              <w:t>Reduced</w:t>
            </w:r>
          </w:p>
        </w:tc>
      </w:tr>
      <w:tr>
        <w:tc>
          <w:tcPr>
            <w:tcW w:type="dxa" w:w="3120"/>
            <w:shd w:fill="F5F5F5"/>
          </w:tcPr>
          <w:p>
            <w:pPr>
              <w:spacing w:after="40" w:before="40"/>
            </w:pPr>
            <w:r>
              <w:rPr>
                <w:rFonts w:ascii="Calibri" w:hAnsi="Calibri"/>
                <w:sz w:val="19"/>
              </w:rPr>
            </w:r>
            <w:r>
              <w:rPr>
                <w:rFonts w:ascii="Calibri" w:hAnsi="Calibri"/>
                <w:sz w:val="19"/>
              </w:rPr>
              <w:t>*</w:t>
            </w:r>
            <w:r>
              <w:rPr>
                <w:rFonts w:ascii="Calibri" w:hAnsi="Calibri"/>
                <w:sz w:val="19"/>
              </w:rPr>
              <w:t>10 (decreased function)</w:t>
            </w:r>
          </w:p>
        </w:tc>
        <w:tc>
          <w:tcPr>
            <w:tcW w:type="dxa" w:w="3120"/>
            <w:shd w:fill="F5F5F5"/>
          </w:tcPr>
          <w:p>
            <w:pPr>
              <w:spacing w:after="40" w:before="40"/>
            </w:pPr>
            <w:r>
              <w:rPr>
                <w:rFonts w:ascii="Calibri" w:hAnsi="Calibri"/>
                <w:sz w:val="19"/>
              </w:rPr>
            </w:r>
            <w:r>
              <w:rPr>
                <w:rFonts w:ascii="Calibri" w:hAnsi="Calibri"/>
                <w:sz w:val="19"/>
              </w:rPr>
              <w:t>0.25</w:t>
            </w:r>
          </w:p>
        </w:tc>
        <w:tc>
          <w:tcPr>
            <w:tcW w:type="dxa" w:w="3120"/>
            <w:shd w:fill="F5F5F5"/>
          </w:tcPr>
          <w:p>
            <w:pPr>
              <w:spacing w:after="40" w:before="40"/>
            </w:pPr>
            <w:r>
              <w:rPr>
                <w:rFonts w:ascii="Calibri" w:hAnsi="Calibri"/>
                <w:sz w:val="19"/>
              </w:rPr>
            </w:r>
            <w:r>
              <w:rPr>
                <w:rFonts w:ascii="Calibri" w:hAnsi="Calibri"/>
                <w:sz w:val="19"/>
              </w:rPr>
              <w:t>Reduced</w:t>
            </w:r>
          </w:p>
        </w:tc>
      </w:tr>
      <w:tr>
        <w:tc>
          <w:tcPr>
            <w:tcW w:type="dxa" w:w="3120"/>
          </w:tcPr>
          <w:p>
            <w:pPr>
              <w:spacing w:after="40" w:before="40"/>
            </w:pPr>
            <w:r>
              <w:rPr>
                <w:rFonts w:ascii="Calibri" w:hAnsi="Calibri"/>
                <w:sz w:val="19"/>
              </w:rPr>
            </w:r>
            <w:r>
              <w:rPr>
                <w:rFonts w:ascii="Calibri" w:hAnsi="Calibri"/>
                <w:sz w:val="19"/>
              </w:rPr>
              <w:t>*</w:t>
            </w:r>
            <w:r>
              <w:rPr>
                <w:rFonts w:ascii="Calibri" w:hAnsi="Calibri"/>
                <w:sz w:val="19"/>
              </w:rPr>
              <w:t>17 (decreased function)</w:t>
            </w:r>
          </w:p>
        </w:tc>
        <w:tc>
          <w:tcPr>
            <w:tcW w:type="dxa" w:w="3120"/>
          </w:tcPr>
          <w:p>
            <w:pPr>
              <w:spacing w:after="40" w:before="40"/>
            </w:pPr>
            <w:r>
              <w:rPr>
                <w:rFonts w:ascii="Calibri" w:hAnsi="Calibri"/>
                <w:sz w:val="19"/>
              </w:rPr>
            </w:r>
            <w:r>
              <w:rPr>
                <w:rFonts w:ascii="Calibri" w:hAnsi="Calibri"/>
                <w:sz w:val="19"/>
              </w:rPr>
              <w:t>0.5</w:t>
            </w:r>
          </w:p>
        </w:tc>
        <w:tc>
          <w:tcPr>
            <w:tcW w:type="dxa" w:w="3120"/>
          </w:tcPr>
          <w:p>
            <w:pPr>
              <w:spacing w:after="40" w:before="40"/>
            </w:pPr>
            <w:r>
              <w:rPr>
                <w:rFonts w:ascii="Calibri" w:hAnsi="Calibri"/>
                <w:sz w:val="19"/>
              </w:rPr>
            </w:r>
            <w:r>
              <w:rPr>
                <w:rFonts w:ascii="Calibri" w:hAnsi="Calibri"/>
                <w:sz w:val="19"/>
              </w:rPr>
              <w:t>Reduced</w:t>
            </w:r>
          </w:p>
        </w:tc>
      </w:tr>
      <w:tr>
        <w:tc>
          <w:tcPr>
            <w:tcW w:type="dxa" w:w="3120"/>
            <w:shd w:fill="F5F5F5"/>
          </w:tcPr>
          <w:p>
            <w:pPr>
              <w:spacing w:after="40" w:before="40"/>
            </w:pPr>
            <w:r>
              <w:rPr>
                <w:rFonts w:ascii="Calibri" w:hAnsi="Calibri"/>
                <w:sz w:val="19"/>
              </w:rPr>
            </w:r>
            <w:r>
              <w:rPr>
                <w:rFonts w:ascii="Calibri" w:hAnsi="Calibri"/>
                <w:sz w:val="19"/>
              </w:rPr>
              <w:t>*</w:t>
            </w:r>
            <w:r>
              <w:rPr>
                <w:rFonts w:ascii="Calibri" w:hAnsi="Calibri"/>
                <w:sz w:val="19"/>
              </w:rPr>
              <w:t>41 (decreased function)</w:t>
            </w:r>
          </w:p>
        </w:tc>
        <w:tc>
          <w:tcPr>
            <w:tcW w:type="dxa" w:w="3120"/>
            <w:shd w:fill="F5F5F5"/>
          </w:tcPr>
          <w:p>
            <w:pPr>
              <w:spacing w:after="40" w:before="40"/>
            </w:pPr>
            <w:r>
              <w:rPr>
                <w:rFonts w:ascii="Calibri" w:hAnsi="Calibri"/>
                <w:sz w:val="19"/>
              </w:rPr>
            </w:r>
            <w:r>
              <w:rPr>
                <w:rFonts w:ascii="Calibri" w:hAnsi="Calibri"/>
                <w:sz w:val="19"/>
              </w:rPr>
              <w:t>0.5</w:t>
            </w:r>
          </w:p>
        </w:tc>
        <w:tc>
          <w:tcPr>
            <w:tcW w:type="dxa" w:w="3120"/>
            <w:shd w:fill="F5F5F5"/>
          </w:tcPr>
          <w:p>
            <w:pPr>
              <w:spacing w:after="40" w:before="40"/>
            </w:pPr>
            <w:r>
              <w:rPr>
                <w:rFonts w:ascii="Calibri" w:hAnsi="Calibri"/>
                <w:sz w:val="19"/>
              </w:rPr>
            </w:r>
            <w:r>
              <w:rPr>
                <w:rFonts w:ascii="Calibri" w:hAnsi="Calibri"/>
                <w:sz w:val="19"/>
              </w:rPr>
              <w:t>Reduced</w:t>
            </w:r>
          </w:p>
        </w:tc>
      </w:tr>
      <w:tr>
        <w:tc>
          <w:tcPr>
            <w:tcW w:type="dxa" w:w="3120"/>
          </w:tcPr>
          <w:p>
            <w:pPr>
              <w:spacing w:after="40" w:before="40"/>
            </w:pPr>
            <w:r>
              <w:rPr>
                <w:rFonts w:ascii="Calibri" w:hAnsi="Calibri"/>
                <w:sz w:val="19"/>
              </w:rPr>
            </w:r>
            <w:r>
              <w:rPr>
                <w:rFonts w:ascii="Calibri" w:hAnsi="Calibri"/>
                <w:sz w:val="19"/>
              </w:rPr>
              <w:t>*</w:t>
            </w:r>
            <w:r>
              <w:rPr>
                <w:rFonts w:ascii="Calibri" w:hAnsi="Calibri"/>
                <w:sz w:val="19"/>
              </w:rPr>
              <w:t>4 (no function)</w:t>
            </w:r>
          </w:p>
        </w:tc>
        <w:tc>
          <w:tcPr>
            <w:tcW w:type="dxa" w:w="3120"/>
          </w:tcPr>
          <w:p>
            <w:pPr>
              <w:spacing w:after="40" w:before="40"/>
            </w:pPr>
            <w:r>
              <w:rPr>
                <w:rFonts w:ascii="Calibri" w:hAnsi="Calibri"/>
                <w:sz w:val="19"/>
              </w:rPr>
            </w:r>
            <w:r>
              <w:rPr>
                <w:rFonts w:ascii="Calibri" w:hAnsi="Calibri"/>
                <w:sz w:val="19"/>
              </w:rPr>
              <w:t>0</w:t>
            </w:r>
          </w:p>
        </w:tc>
        <w:tc>
          <w:tcPr>
            <w:tcW w:type="dxa" w:w="3120"/>
          </w:tcPr>
          <w:p>
            <w:pPr>
              <w:spacing w:after="40" w:before="40"/>
            </w:pPr>
            <w:r>
              <w:rPr>
                <w:rFonts w:ascii="Calibri" w:hAnsi="Calibri"/>
                <w:sz w:val="19"/>
              </w:rPr>
            </w:r>
            <w:r>
              <w:rPr>
                <w:rFonts w:ascii="Calibri" w:hAnsi="Calibri"/>
                <w:sz w:val="19"/>
              </w:rPr>
              <w:t>Non-functional</w:t>
            </w:r>
          </w:p>
        </w:tc>
      </w:tr>
      <w:tr>
        <w:tc>
          <w:tcPr>
            <w:tcW w:type="dxa" w:w="3120"/>
            <w:shd w:fill="F5F5F5"/>
          </w:tcPr>
          <w:p>
            <w:pPr>
              <w:spacing w:after="40" w:before="40"/>
            </w:pPr>
            <w:r>
              <w:rPr>
                <w:rFonts w:ascii="Calibri" w:hAnsi="Calibri"/>
                <w:sz w:val="19"/>
              </w:rPr>
            </w:r>
            <w:r>
              <w:rPr>
                <w:rFonts w:ascii="Calibri" w:hAnsi="Calibri"/>
                <w:sz w:val="19"/>
              </w:rPr>
              <w:t>*</w:t>
            </w:r>
            <w:r>
              <w:rPr>
                <w:rFonts w:ascii="Calibri" w:hAnsi="Calibri"/>
                <w:sz w:val="19"/>
              </w:rPr>
              <w:t>5 (gene deletion)</w:t>
            </w:r>
          </w:p>
        </w:tc>
        <w:tc>
          <w:tcPr>
            <w:tcW w:type="dxa" w:w="3120"/>
            <w:shd w:fill="F5F5F5"/>
          </w:tcPr>
          <w:p>
            <w:pPr>
              <w:spacing w:after="40" w:before="40"/>
            </w:pPr>
            <w:r>
              <w:rPr>
                <w:rFonts w:ascii="Calibri" w:hAnsi="Calibri"/>
                <w:sz w:val="19"/>
              </w:rPr>
            </w:r>
            <w:r>
              <w:rPr>
                <w:rFonts w:ascii="Calibri" w:hAnsi="Calibri"/>
                <w:sz w:val="19"/>
              </w:rPr>
              <w:t>0</w:t>
            </w:r>
          </w:p>
        </w:tc>
        <w:tc>
          <w:tcPr>
            <w:tcW w:type="dxa" w:w="3120"/>
            <w:shd w:fill="F5F5F5"/>
          </w:tcPr>
          <w:p>
            <w:pPr>
              <w:spacing w:after="40" w:before="40"/>
            </w:pPr>
            <w:r>
              <w:rPr>
                <w:rFonts w:ascii="Calibri" w:hAnsi="Calibri"/>
                <w:sz w:val="19"/>
              </w:rPr>
            </w:r>
            <w:r>
              <w:rPr>
                <w:rFonts w:ascii="Calibri" w:hAnsi="Calibri"/>
                <w:sz w:val="19"/>
              </w:rPr>
              <w:t>Non-functional</w:t>
            </w:r>
          </w:p>
        </w:tc>
      </w:tr>
      <w:tr>
        <w:tc>
          <w:tcPr>
            <w:tcW w:type="dxa" w:w="3120"/>
          </w:tcPr>
          <w:p>
            <w:pPr>
              <w:spacing w:after="40" w:before="40"/>
            </w:pPr>
            <w:r>
              <w:rPr>
                <w:rFonts w:ascii="Calibri" w:hAnsi="Calibri"/>
                <w:sz w:val="19"/>
              </w:rPr>
            </w:r>
            <w:r>
              <w:rPr>
                <w:rFonts w:ascii="Calibri" w:hAnsi="Calibri"/>
                <w:sz w:val="19"/>
              </w:rPr>
              <w:t>*</w:t>
            </w:r>
            <w:r>
              <w:rPr>
                <w:rFonts w:ascii="Calibri" w:hAnsi="Calibri"/>
                <w:sz w:val="19"/>
              </w:rPr>
              <w:t>6 (no function)</w:t>
            </w:r>
          </w:p>
        </w:tc>
        <w:tc>
          <w:tcPr>
            <w:tcW w:type="dxa" w:w="3120"/>
          </w:tcPr>
          <w:p>
            <w:pPr>
              <w:spacing w:after="40" w:before="40"/>
            </w:pPr>
            <w:r>
              <w:rPr>
                <w:rFonts w:ascii="Calibri" w:hAnsi="Calibri"/>
                <w:sz w:val="19"/>
              </w:rPr>
            </w:r>
            <w:r>
              <w:rPr>
                <w:rFonts w:ascii="Calibri" w:hAnsi="Calibri"/>
                <w:sz w:val="19"/>
              </w:rPr>
              <w:t>0</w:t>
            </w:r>
          </w:p>
        </w:tc>
        <w:tc>
          <w:tcPr>
            <w:tcW w:type="dxa" w:w="3120"/>
          </w:tcPr>
          <w:p>
            <w:pPr>
              <w:spacing w:after="40" w:before="40"/>
            </w:pPr>
            <w:r>
              <w:rPr>
                <w:rFonts w:ascii="Calibri" w:hAnsi="Calibri"/>
                <w:sz w:val="19"/>
              </w:rPr>
            </w:r>
            <w:r>
              <w:rPr>
                <w:rFonts w:ascii="Calibri" w:hAnsi="Calibri"/>
                <w:sz w:val="19"/>
              </w:rPr>
              <w:t>Non-functional</w:t>
            </w:r>
          </w:p>
        </w:tc>
      </w:tr>
    </w:tbl>
    <w:p/>
    <w:p>
      <w:r>
        <w:rPr>
          <w:b/>
        </w:rPr>
        <w:t>Diplotype to Phenotype:</w:t>
      </w:r>
    </w:p>
    <w:p>
      <w:pPr>
        <w:pStyle w:val="ListBullet"/>
        <w:spacing w:after="60"/>
      </w:pPr>
      <w:r>
        <w:t>Activity Score ≥2.25: Ultra-rapid Metabolizer (UM)</w:t>
      </w:r>
    </w:p>
    <w:p>
      <w:pPr>
        <w:pStyle w:val="ListBullet"/>
        <w:spacing w:after="60"/>
      </w:pPr>
      <w:r>
        <w:t>Activity Score 1.25-2.25: Normal Metabolizer (NM)</w:t>
      </w:r>
    </w:p>
    <w:p>
      <w:pPr>
        <w:pStyle w:val="ListBullet"/>
        <w:spacing w:after="60"/>
      </w:pPr>
      <w:r>
        <w:t>Activity Score 0.25-1.25: Intermediate Metabolizer (IM)</w:t>
      </w:r>
    </w:p>
    <w:p>
      <w:pPr>
        <w:pStyle w:val="ListBullet"/>
        <w:spacing w:after="60"/>
      </w:pPr>
      <w:r>
        <w:t>Activity Score 0: Poor Metabolizer (PM)</w:t>
      </w:r>
    </w:p>
    <w:p>
      <w:r>
        <w:t xml:space="preserve">Example: CYP2D6 </w:t>
      </w:r>
      <w:r>
        <w:rPr>
          <w:i/>
        </w:rPr>
        <w:t>4/</w:t>
      </w:r>
      <w:r>
        <w:t xml:space="preserve">41 → Activity Score 0 + 0.5 = 0.5 → </w:t>
      </w:r>
      <w:r>
        <w:rPr>
          <w:b/>
        </w:rPr>
        <w:t>Intermediate Metabolizer</w:t>
      </w:r>
    </w:p>
    <w:p>
      <w:pPr>
        <w:spacing w:before="160" w:after="160"/>
        <w:jc w:val="center"/>
      </w:pPr>
      <w:r>
        <w:rPr>
          <w:color w:val="76B900"/>
          <w:sz w:val="16"/>
        </w:rPr>
        <w:t>━━━━━━━━━━━━━━━━━━━━━━━━━━━━━━━━━━━━━━━━━━━━━━━━━━━━━━━━━━━━</w:t>
      </w:r>
    </w:p>
    <w:p>
      <w:r>
        <w:br w:type="page"/>
      </w:r>
    </w:p>
    <w:p>
      <w:pPr>
        <w:pStyle w:val="Heading2"/>
      </w:pPr>
      <w:r>
        <w:t>7. Milvus Collection Design</w:t>
      </w:r>
    </w:p>
    <w:p>
      <w:pPr>
        <w:pStyle w:val="Heading3"/>
      </w:pPr>
      <w:r>
        <w:t>7.1 Collection Overview</w:t>
      </w:r>
    </w:p>
    <w:p>
      <w:r>
        <w:t>The Pharmacogenomics Intelligence Agent maintains 14 specialized Milvus collections plus access to the shared genomic evidence collection: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w:t>
            </w:r>
          </w:p>
        </w:tc>
        <w:tc>
          <w:tcPr>
            <w:tcW w:type="dxa" w:w="2340"/>
            <w:shd w:fill="1A1A2E"/>
          </w:tcPr>
          <w:p>
            <w:pPr>
              <w:spacing w:after="40" w:before="40"/>
            </w:pPr>
            <w:r/>
            <w:r>
              <w:rPr>
                <w:rFonts w:ascii="Calibri" w:hAnsi="Calibri"/>
                <w:b/>
                <w:color w:val="FFFFFF"/>
                <w:sz w:val="20"/>
              </w:rPr>
              <w:t>Collection Name</w:t>
            </w:r>
          </w:p>
        </w:tc>
        <w:tc>
          <w:tcPr>
            <w:tcW w:type="dxa" w:w="2340"/>
            <w:shd w:fill="1A1A2E"/>
          </w:tcPr>
          <w:p>
            <w:pPr>
              <w:spacing w:after="40" w:before="40"/>
            </w:pPr>
            <w:r/>
            <w:r>
              <w:rPr>
                <w:rFonts w:ascii="Calibri" w:hAnsi="Calibri"/>
                <w:b/>
                <w:color w:val="FFFFFF"/>
                <w:sz w:val="20"/>
              </w:rPr>
              <w:t>Record Estimate</w:t>
            </w:r>
          </w:p>
        </w:tc>
        <w:tc>
          <w:tcPr>
            <w:tcW w:type="dxa" w:w="2340"/>
            <w:shd w:fill="1A1A2E"/>
          </w:tcPr>
          <w:p>
            <w:pPr>
              <w:spacing w:after="40" w:before="40"/>
            </w:pPr>
            <w:r/>
            <w:r>
              <w:rPr>
                <w:rFonts w:ascii="Calibri" w:hAnsi="Calibri"/>
                <w:b/>
                <w:color w:val="FFFFFF"/>
                <w:sz w:val="20"/>
              </w:rPr>
              <w:t>Purpose</w:t>
            </w:r>
          </w:p>
        </w:tc>
      </w:tr>
      <w:tr>
        <w:tc>
          <w:tcPr>
            <w:tcW w:type="dxa" w:w="2340"/>
          </w:tcPr>
          <w:p>
            <w:pPr>
              <w:spacing w:after="40" w:before="40"/>
            </w:pPr>
            <w:r>
              <w:rPr>
                <w:rFonts w:ascii="Calibri" w:hAnsi="Calibri"/>
                <w:sz w:val="19"/>
              </w:rPr>
            </w:r>
            <w:r>
              <w:rPr>
                <w:rFonts w:ascii="Calibri" w:hAnsi="Calibri"/>
                <w:sz w:val="19"/>
              </w:rPr>
              <w:t>1</w:t>
            </w:r>
          </w:p>
        </w:tc>
        <w:tc>
          <w:tcPr>
            <w:tcW w:type="dxa" w:w="2340"/>
          </w:tcPr>
          <w:p>
            <w:pPr>
              <w:spacing w:after="40" w:before="40"/>
            </w:pPr>
            <w:r>
              <w:rPr>
                <w:rFonts w:ascii="Calibri" w:hAnsi="Calibri"/>
                <w:sz w:val="19"/>
              </w:rPr>
            </w:r>
            <w:r>
              <w:rPr>
                <w:rFonts w:ascii="Consolas" w:hAnsi="Consolas"/>
                <w:color w:val="C7254E"/>
                <w:sz w:val="19"/>
              </w:rPr>
              <w:t>pgx_gene_reference</w:t>
            </w:r>
          </w:p>
        </w:tc>
        <w:tc>
          <w:tcPr>
            <w:tcW w:type="dxa" w:w="2340"/>
          </w:tcPr>
          <w:p>
            <w:pPr>
              <w:spacing w:after="40" w:before="40"/>
            </w:pPr>
            <w:r>
              <w:rPr>
                <w:rFonts w:ascii="Calibri" w:hAnsi="Calibri"/>
                <w:sz w:val="19"/>
              </w:rPr>
            </w:r>
            <w:r>
              <w:rPr>
                <w:rFonts w:ascii="Calibri" w:hAnsi="Calibri"/>
                <w:sz w:val="19"/>
              </w:rPr>
              <w:t>~5,000</w:t>
            </w:r>
          </w:p>
        </w:tc>
        <w:tc>
          <w:tcPr>
            <w:tcW w:type="dxa" w:w="2340"/>
          </w:tcPr>
          <w:p>
            <w:pPr>
              <w:spacing w:after="40" w:before="40"/>
            </w:pPr>
            <w:r>
              <w:rPr>
                <w:rFonts w:ascii="Calibri" w:hAnsi="Calibri"/>
                <w:sz w:val="19"/>
              </w:rPr>
            </w:r>
            <w:r>
              <w:rPr>
                <w:rFonts w:ascii="Calibri" w:hAnsi="Calibri"/>
                <w:sz w:val="19"/>
              </w:rPr>
              <w:t>Star allele definitions, activity scores, allele frequencies</w:t>
            </w:r>
          </w:p>
        </w:tc>
      </w:tr>
      <w:tr>
        <w:tc>
          <w:tcPr>
            <w:tcW w:type="dxa" w:w="2340"/>
            <w:shd w:fill="F5F5F5"/>
          </w:tcPr>
          <w:p>
            <w:pPr>
              <w:spacing w:after="40" w:before="40"/>
            </w:pPr>
            <w:r>
              <w:rPr>
                <w:rFonts w:ascii="Calibri" w:hAnsi="Calibri"/>
                <w:sz w:val="19"/>
              </w:rPr>
            </w:r>
            <w:r>
              <w:rPr>
                <w:rFonts w:ascii="Calibri" w:hAnsi="Calibri"/>
                <w:sz w:val="19"/>
              </w:rPr>
              <w:t>2</w:t>
            </w:r>
          </w:p>
        </w:tc>
        <w:tc>
          <w:tcPr>
            <w:tcW w:type="dxa" w:w="2340"/>
            <w:shd w:fill="F5F5F5"/>
          </w:tcPr>
          <w:p>
            <w:pPr>
              <w:spacing w:after="40" w:before="40"/>
            </w:pPr>
            <w:r>
              <w:rPr>
                <w:rFonts w:ascii="Calibri" w:hAnsi="Calibri"/>
                <w:sz w:val="19"/>
              </w:rPr>
            </w:r>
            <w:r>
              <w:rPr>
                <w:rFonts w:ascii="Consolas" w:hAnsi="Consolas"/>
                <w:color w:val="C7254E"/>
                <w:sz w:val="19"/>
              </w:rPr>
              <w:t>pgx_drug_guidelines</w:t>
            </w:r>
          </w:p>
        </w:tc>
        <w:tc>
          <w:tcPr>
            <w:tcW w:type="dxa" w:w="2340"/>
            <w:shd w:fill="F5F5F5"/>
          </w:tcPr>
          <w:p>
            <w:pPr>
              <w:spacing w:after="40" w:before="40"/>
            </w:pPr>
            <w:r>
              <w:rPr>
                <w:rFonts w:ascii="Calibri" w:hAnsi="Calibri"/>
                <w:sz w:val="19"/>
              </w:rPr>
            </w:r>
            <w:r>
              <w:rPr>
                <w:rFonts w:ascii="Calibri" w:hAnsi="Calibri"/>
                <w:sz w:val="19"/>
              </w:rPr>
              <w:t>~8,000</w:t>
            </w:r>
          </w:p>
        </w:tc>
        <w:tc>
          <w:tcPr>
            <w:tcW w:type="dxa" w:w="2340"/>
            <w:shd w:fill="F5F5F5"/>
          </w:tcPr>
          <w:p>
            <w:pPr>
              <w:spacing w:after="40" w:before="40"/>
            </w:pPr>
            <w:r>
              <w:rPr>
                <w:rFonts w:ascii="Calibri" w:hAnsi="Calibri"/>
                <w:sz w:val="19"/>
              </w:rPr>
            </w:r>
            <w:r>
              <w:rPr>
                <w:rFonts w:ascii="Calibri" w:hAnsi="Calibri"/>
                <w:sz w:val="19"/>
              </w:rPr>
              <w:t>CPIC/DPWG/FDA guideline recommendations</w:t>
            </w:r>
          </w:p>
        </w:tc>
      </w:tr>
      <w:tr>
        <w:tc>
          <w:tcPr>
            <w:tcW w:type="dxa" w:w="2340"/>
          </w:tcPr>
          <w:p>
            <w:pPr>
              <w:spacing w:after="40" w:before="40"/>
            </w:pPr>
            <w:r>
              <w:rPr>
                <w:rFonts w:ascii="Calibri" w:hAnsi="Calibri"/>
                <w:sz w:val="19"/>
              </w:rPr>
            </w:r>
            <w:r>
              <w:rPr>
                <w:rFonts w:ascii="Calibri" w:hAnsi="Calibri"/>
                <w:sz w:val="19"/>
              </w:rPr>
              <w:t>3</w:t>
            </w:r>
          </w:p>
        </w:tc>
        <w:tc>
          <w:tcPr>
            <w:tcW w:type="dxa" w:w="2340"/>
          </w:tcPr>
          <w:p>
            <w:pPr>
              <w:spacing w:after="40" w:before="40"/>
            </w:pPr>
            <w:r>
              <w:rPr>
                <w:rFonts w:ascii="Calibri" w:hAnsi="Calibri"/>
                <w:sz w:val="19"/>
              </w:rPr>
            </w:r>
            <w:r>
              <w:rPr>
                <w:rFonts w:ascii="Consolas" w:hAnsi="Consolas"/>
                <w:color w:val="C7254E"/>
                <w:sz w:val="19"/>
              </w:rPr>
              <w:t>pgx_drug_interactions</w:t>
            </w:r>
          </w:p>
        </w:tc>
        <w:tc>
          <w:tcPr>
            <w:tcW w:type="dxa" w:w="2340"/>
          </w:tcPr>
          <w:p>
            <w:pPr>
              <w:spacing w:after="40" w:before="40"/>
            </w:pPr>
            <w:r>
              <w:rPr>
                <w:rFonts w:ascii="Calibri" w:hAnsi="Calibri"/>
                <w:sz w:val="19"/>
              </w:rPr>
            </w:r>
            <w:r>
              <w:rPr>
                <w:rFonts w:ascii="Calibri" w:hAnsi="Calibri"/>
                <w:sz w:val="19"/>
              </w:rPr>
              <w:t>~12,000</w:t>
            </w:r>
          </w:p>
        </w:tc>
        <w:tc>
          <w:tcPr>
            <w:tcW w:type="dxa" w:w="2340"/>
          </w:tcPr>
          <w:p>
            <w:pPr>
              <w:spacing w:after="40" w:before="40"/>
            </w:pPr>
            <w:r>
              <w:rPr>
                <w:rFonts w:ascii="Calibri" w:hAnsi="Calibri"/>
                <w:sz w:val="19"/>
              </w:rPr>
            </w:r>
            <w:r>
              <w:rPr>
                <w:rFonts w:ascii="Calibri" w:hAnsi="Calibri"/>
                <w:sz w:val="19"/>
              </w:rPr>
              <w:t>Drug-gene interaction annotations (PharmGKB)</w:t>
            </w:r>
          </w:p>
        </w:tc>
      </w:tr>
      <w:tr>
        <w:tc>
          <w:tcPr>
            <w:tcW w:type="dxa" w:w="2340"/>
            <w:shd w:fill="F5F5F5"/>
          </w:tcPr>
          <w:p>
            <w:pPr>
              <w:spacing w:after="40" w:before="40"/>
            </w:pPr>
            <w:r>
              <w:rPr>
                <w:rFonts w:ascii="Calibri" w:hAnsi="Calibri"/>
                <w:sz w:val="19"/>
              </w:rPr>
            </w:r>
            <w:r>
              <w:rPr>
                <w:rFonts w:ascii="Calibri" w:hAnsi="Calibri"/>
                <w:sz w:val="19"/>
              </w:rPr>
              <w:t>4</w:t>
            </w:r>
          </w:p>
        </w:tc>
        <w:tc>
          <w:tcPr>
            <w:tcW w:type="dxa" w:w="2340"/>
            <w:shd w:fill="F5F5F5"/>
          </w:tcPr>
          <w:p>
            <w:pPr>
              <w:spacing w:after="40" w:before="40"/>
            </w:pPr>
            <w:r>
              <w:rPr>
                <w:rFonts w:ascii="Calibri" w:hAnsi="Calibri"/>
                <w:sz w:val="19"/>
              </w:rPr>
            </w:r>
            <w:r>
              <w:rPr>
                <w:rFonts w:ascii="Consolas" w:hAnsi="Consolas"/>
                <w:color w:val="C7254E"/>
                <w:sz w:val="19"/>
              </w:rPr>
              <w:t>pgx_hla_hypersensitivity</w:t>
            </w:r>
          </w:p>
        </w:tc>
        <w:tc>
          <w:tcPr>
            <w:tcW w:type="dxa" w:w="2340"/>
            <w:shd w:fill="F5F5F5"/>
          </w:tcPr>
          <w:p>
            <w:pPr>
              <w:spacing w:after="40" w:before="40"/>
            </w:pPr>
            <w:r>
              <w:rPr>
                <w:rFonts w:ascii="Calibri" w:hAnsi="Calibri"/>
                <w:sz w:val="19"/>
              </w:rPr>
            </w:r>
            <w:r>
              <w:rPr>
                <w:rFonts w:ascii="Calibri" w:hAnsi="Calibri"/>
                <w:sz w:val="19"/>
              </w:rPr>
              <w:t>~2,000</w:t>
            </w:r>
          </w:p>
        </w:tc>
        <w:tc>
          <w:tcPr>
            <w:tcW w:type="dxa" w:w="2340"/>
            <w:shd w:fill="F5F5F5"/>
          </w:tcPr>
          <w:p>
            <w:pPr>
              <w:spacing w:after="40" w:before="40"/>
            </w:pPr>
            <w:r>
              <w:rPr>
                <w:rFonts w:ascii="Calibri" w:hAnsi="Calibri"/>
                <w:sz w:val="19"/>
              </w:rPr>
            </w:r>
            <w:r>
              <w:rPr>
                <w:rFonts w:ascii="Calibri" w:hAnsi="Calibri"/>
                <w:sz w:val="19"/>
              </w:rPr>
              <w:t>HLA-drug hypersensitivity associations</w:t>
            </w:r>
          </w:p>
        </w:tc>
      </w:tr>
      <w:tr>
        <w:tc>
          <w:tcPr>
            <w:tcW w:type="dxa" w:w="2340"/>
          </w:tcPr>
          <w:p>
            <w:pPr>
              <w:spacing w:after="40" w:before="40"/>
            </w:pPr>
            <w:r>
              <w:rPr>
                <w:rFonts w:ascii="Calibri" w:hAnsi="Calibri"/>
                <w:sz w:val="19"/>
              </w:rPr>
            </w:r>
            <w:r>
              <w:rPr>
                <w:rFonts w:ascii="Calibri" w:hAnsi="Calibri"/>
                <w:sz w:val="19"/>
              </w:rPr>
              <w:t>5</w:t>
            </w:r>
          </w:p>
        </w:tc>
        <w:tc>
          <w:tcPr>
            <w:tcW w:type="dxa" w:w="2340"/>
          </w:tcPr>
          <w:p>
            <w:pPr>
              <w:spacing w:after="40" w:before="40"/>
            </w:pPr>
            <w:r>
              <w:rPr>
                <w:rFonts w:ascii="Calibri" w:hAnsi="Calibri"/>
                <w:sz w:val="19"/>
              </w:rPr>
            </w:r>
            <w:r>
              <w:rPr>
                <w:rFonts w:ascii="Consolas" w:hAnsi="Consolas"/>
                <w:color w:val="C7254E"/>
                <w:sz w:val="19"/>
              </w:rPr>
              <w:t>pgx_phenoconversion</w:t>
            </w:r>
          </w:p>
        </w:tc>
        <w:tc>
          <w:tcPr>
            <w:tcW w:type="dxa" w:w="2340"/>
          </w:tcPr>
          <w:p>
            <w:pPr>
              <w:spacing w:after="40" w:before="40"/>
            </w:pPr>
            <w:r>
              <w:rPr>
                <w:rFonts w:ascii="Calibri" w:hAnsi="Calibri"/>
                <w:sz w:val="19"/>
              </w:rPr>
            </w:r>
            <w:r>
              <w:rPr>
                <w:rFonts w:ascii="Calibri" w:hAnsi="Calibri"/>
                <w:sz w:val="19"/>
              </w:rPr>
              <w:t>~3,000</w:t>
            </w:r>
          </w:p>
        </w:tc>
        <w:tc>
          <w:tcPr>
            <w:tcW w:type="dxa" w:w="2340"/>
          </w:tcPr>
          <w:p>
            <w:pPr>
              <w:spacing w:after="40" w:before="40"/>
            </w:pPr>
            <w:r>
              <w:rPr>
                <w:rFonts w:ascii="Calibri" w:hAnsi="Calibri"/>
                <w:sz w:val="19"/>
              </w:rPr>
            </w:r>
            <w:r>
              <w:rPr>
                <w:rFonts w:ascii="Calibri" w:hAnsi="Calibri"/>
                <w:sz w:val="19"/>
              </w:rPr>
              <w:t>CYP inhibitor/inducer drug interactions</w:t>
            </w:r>
          </w:p>
        </w:tc>
      </w:tr>
      <w:tr>
        <w:tc>
          <w:tcPr>
            <w:tcW w:type="dxa" w:w="2340"/>
            <w:shd w:fill="F5F5F5"/>
          </w:tcPr>
          <w:p>
            <w:pPr>
              <w:spacing w:after="40" w:before="40"/>
            </w:pPr>
            <w:r>
              <w:rPr>
                <w:rFonts w:ascii="Calibri" w:hAnsi="Calibri"/>
                <w:sz w:val="19"/>
              </w:rPr>
            </w:r>
            <w:r>
              <w:rPr>
                <w:rFonts w:ascii="Calibri" w:hAnsi="Calibri"/>
                <w:sz w:val="19"/>
              </w:rPr>
              <w:t>6</w:t>
            </w:r>
          </w:p>
        </w:tc>
        <w:tc>
          <w:tcPr>
            <w:tcW w:type="dxa" w:w="2340"/>
            <w:shd w:fill="F5F5F5"/>
          </w:tcPr>
          <w:p>
            <w:pPr>
              <w:spacing w:after="40" w:before="40"/>
            </w:pPr>
            <w:r>
              <w:rPr>
                <w:rFonts w:ascii="Calibri" w:hAnsi="Calibri"/>
                <w:sz w:val="19"/>
              </w:rPr>
            </w:r>
            <w:r>
              <w:rPr>
                <w:rFonts w:ascii="Consolas" w:hAnsi="Consolas"/>
                <w:color w:val="C7254E"/>
                <w:sz w:val="19"/>
              </w:rPr>
              <w:t>pgx_dosing_algorithms</w:t>
            </w:r>
          </w:p>
        </w:tc>
        <w:tc>
          <w:tcPr>
            <w:tcW w:type="dxa" w:w="2340"/>
            <w:shd w:fill="F5F5F5"/>
          </w:tcPr>
          <w:p>
            <w:pPr>
              <w:spacing w:after="40" w:before="40"/>
            </w:pPr>
            <w:r>
              <w:rPr>
                <w:rFonts w:ascii="Calibri" w:hAnsi="Calibri"/>
                <w:sz w:val="19"/>
              </w:rPr>
            </w:r>
            <w:r>
              <w:rPr>
                <w:rFonts w:ascii="Calibri" w:hAnsi="Calibri"/>
                <w:sz w:val="19"/>
              </w:rPr>
              <w:t>~1,500</w:t>
            </w:r>
          </w:p>
        </w:tc>
        <w:tc>
          <w:tcPr>
            <w:tcW w:type="dxa" w:w="2340"/>
            <w:shd w:fill="F5F5F5"/>
          </w:tcPr>
          <w:p>
            <w:pPr>
              <w:spacing w:after="40" w:before="40"/>
            </w:pPr>
            <w:r>
              <w:rPr>
                <w:rFonts w:ascii="Calibri" w:hAnsi="Calibri"/>
                <w:sz w:val="19"/>
              </w:rPr>
            </w:r>
            <w:r>
              <w:rPr>
                <w:rFonts w:ascii="Calibri" w:hAnsi="Calibri"/>
                <w:sz w:val="19"/>
              </w:rPr>
              <w:t>Population PK models, dosing nomograms</w:t>
            </w:r>
          </w:p>
        </w:tc>
      </w:tr>
      <w:tr>
        <w:tc>
          <w:tcPr>
            <w:tcW w:type="dxa" w:w="2340"/>
          </w:tcPr>
          <w:p>
            <w:pPr>
              <w:spacing w:after="40" w:before="40"/>
            </w:pPr>
            <w:r>
              <w:rPr>
                <w:rFonts w:ascii="Calibri" w:hAnsi="Calibri"/>
                <w:sz w:val="19"/>
              </w:rPr>
            </w:r>
            <w:r>
              <w:rPr>
                <w:rFonts w:ascii="Calibri" w:hAnsi="Calibri"/>
                <w:sz w:val="19"/>
              </w:rPr>
              <w:t>7</w:t>
            </w:r>
          </w:p>
        </w:tc>
        <w:tc>
          <w:tcPr>
            <w:tcW w:type="dxa" w:w="2340"/>
          </w:tcPr>
          <w:p>
            <w:pPr>
              <w:spacing w:after="40" w:before="40"/>
            </w:pPr>
            <w:r>
              <w:rPr>
                <w:rFonts w:ascii="Calibri" w:hAnsi="Calibri"/>
                <w:sz w:val="19"/>
              </w:rPr>
            </w:r>
            <w:r>
              <w:rPr>
                <w:rFonts w:ascii="Consolas" w:hAnsi="Consolas"/>
                <w:color w:val="C7254E"/>
                <w:sz w:val="19"/>
              </w:rPr>
              <w:t>pgx_clinical_evidence</w:t>
            </w:r>
          </w:p>
        </w:tc>
        <w:tc>
          <w:tcPr>
            <w:tcW w:type="dxa" w:w="2340"/>
          </w:tcPr>
          <w:p>
            <w:pPr>
              <w:spacing w:after="40" w:before="40"/>
            </w:pPr>
            <w:r>
              <w:rPr>
                <w:rFonts w:ascii="Calibri" w:hAnsi="Calibri"/>
                <w:sz w:val="19"/>
              </w:rPr>
            </w:r>
            <w:r>
              <w:rPr>
                <w:rFonts w:ascii="Calibri" w:hAnsi="Calibri"/>
                <w:sz w:val="19"/>
              </w:rPr>
              <w:t>~15,000</w:t>
            </w:r>
          </w:p>
        </w:tc>
        <w:tc>
          <w:tcPr>
            <w:tcW w:type="dxa" w:w="2340"/>
          </w:tcPr>
          <w:p>
            <w:pPr>
              <w:spacing w:after="40" w:before="40"/>
            </w:pPr>
            <w:r>
              <w:rPr>
                <w:rFonts w:ascii="Calibri" w:hAnsi="Calibri"/>
                <w:sz w:val="19"/>
              </w:rPr>
            </w:r>
            <w:r>
              <w:rPr>
                <w:rFonts w:ascii="Calibri" w:hAnsi="Calibri"/>
                <w:sz w:val="19"/>
              </w:rPr>
              <w:t>Published PGx implementation studies, outcomes</w:t>
            </w:r>
          </w:p>
        </w:tc>
      </w:tr>
      <w:tr>
        <w:tc>
          <w:tcPr>
            <w:tcW w:type="dxa" w:w="2340"/>
            <w:shd w:fill="F5F5F5"/>
          </w:tcPr>
          <w:p>
            <w:pPr>
              <w:spacing w:after="40" w:before="40"/>
            </w:pPr>
            <w:r>
              <w:rPr>
                <w:rFonts w:ascii="Calibri" w:hAnsi="Calibri"/>
                <w:sz w:val="19"/>
              </w:rPr>
            </w:r>
            <w:r>
              <w:rPr>
                <w:rFonts w:ascii="Calibri" w:hAnsi="Calibri"/>
                <w:sz w:val="19"/>
              </w:rPr>
              <w:t>8</w:t>
            </w:r>
          </w:p>
        </w:tc>
        <w:tc>
          <w:tcPr>
            <w:tcW w:type="dxa" w:w="2340"/>
            <w:shd w:fill="F5F5F5"/>
          </w:tcPr>
          <w:p>
            <w:pPr>
              <w:spacing w:after="40" w:before="40"/>
            </w:pPr>
            <w:r>
              <w:rPr>
                <w:rFonts w:ascii="Calibri" w:hAnsi="Calibri"/>
                <w:sz w:val="19"/>
              </w:rPr>
            </w:r>
            <w:r>
              <w:rPr>
                <w:rFonts w:ascii="Consolas" w:hAnsi="Consolas"/>
                <w:color w:val="C7254E"/>
                <w:sz w:val="19"/>
              </w:rPr>
              <w:t>pgx_population_data</w:t>
            </w:r>
          </w:p>
        </w:tc>
        <w:tc>
          <w:tcPr>
            <w:tcW w:type="dxa" w:w="2340"/>
            <w:shd w:fill="F5F5F5"/>
          </w:tcPr>
          <w:p>
            <w:pPr>
              <w:spacing w:after="40" w:before="40"/>
            </w:pPr>
            <w:r>
              <w:rPr>
                <w:rFonts w:ascii="Calibri" w:hAnsi="Calibri"/>
                <w:sz w:val="19"/>
              </w:rPr>
            </w:r>
            <w:r>
              <w:rPr>
                <w:rFonts w:ascii="Calibri" w:hAnsi="Calibri"/>
                <w:sz w:val="19"/>
              </w:rPr>
              <w:t>~4,000</w:t>
            </w:r>
          </w:p>
        </w:tc>
        <w:tc>
          <w:tcPr>
            <w:tcW w:type="dxa" w:w="2340"/>
            <w:shd w:fill="F5F5F5"/>
          </w:tcPr>
          <w:p>
            <w:pPr>
              <w:spacing w:after="40" w:before="40"/>
            </w:pPr>
            <w:r>
              <w:rPr>
                <w:rFonts w:ascii="Calibri" w:hAnsi="Calibri"/>
                <w:sz w:val="19"/>
              </w:rPr>
            </w:r>
            <w:r>
              <w:rPr>
                <w:rFonts w:ascii="Calibri" w:hAnsi="Calibri"/>
                <w:sz w:val="19"/>
              </w:rPr>
              <w:t>Ethnicity-specific allele frequencies, dosing adjustments</w:t>
            </w:r>
          </w:p>
        </w:tc>
      </w:tr>
      <w:tr>
        <w:tc>
          <w:tcPr>
            <w:tcW w:type="dxa" w:w="2340"/>
          </w:tcPr>
          <w:p>
            <w:pPr>
              <w:spacing w:after="40" w:before="40"/>
            </w:pPr>
            <w:r>
              <w:rPr>
                <w:rFonts w:ascii="Calibri" w:hAnsi="Calibri"/>
                <w:sz w:val="19"/>
              </w:rPr>
            </w:r>
            <w:r>
              <w:rPr>
                <w:rFonts w:ascii="Calibri" w:hAnsi="Calibri"/>
                <w:sz w:val="19"/>
              </w:rPr>
              <w:t>9</w:t>
            </w:r>
          </w:p>
        </w:tc>
        <w:tc>
          <w:tcPr>
            <w:tcW w:type="dxa" w:w="2340"/>
          </w:tcPr>
          <w:p>
            <w:pPr>
              <w:spacing w:after="40" w:before="40"/>
            </w:pPr>
            <w:r>
              <w:rPr>
                <w:rFonts w:ascii="Calibri" w:hAnsi="Calibri"/>
                <w:sz w:val="19"/>
              </w:rPr>
            </w:r>
            <w:r>
              <w:rPr>
                <w:rFonts w:ascii="Consolas" w:hAnsi="Consolas"/>
                <w:color w:val="C7254E"/>
                <w:sz w:val="19"/>
              </w:rPr>
              <w:t>pgx_clinical_trials</w:t>
            </w:r>
          </w:p>
        </w:tc>
        <w:tc>
          <w:tcPr>
            <w:tcW w:type="dxa" w:w="2340"/>
          </w:tcPr>
          <w:p>
            <w:pPr>
              <w:spacing w:after="40" w:before="40"/>
            </w:pPr>
            <w:r>
              <w:rPr>
                <w:rFonts w:ascii="Calibri" w:hAnsi="Calibri"/>
                <w:sz w:val="19"/>
              </w:rPr>
            </w:r>
            <w:r>
              <w:rPr>
                <w:rFonts w:ascii="Calibri" w:hAnsi="Calibri"/>
                <w:sz w:val="19"/>
              </w:rPr>
              <w:t>~6,000</w:t>
            </w:r>
          </w:p>
        </w:tc>
        <w:tc>
          <w:tcPr>
            <w:tcW w:type="dxa" w:w="2340"/>
          </w:tcPr>
          <w:p>
            <w:pPr>
              <w:spacing w:after="40" w:before="40"/>
            </w:pPr>
            <w:r>
              <w:rPr>
                <w:rFonts w:ascii="Calibri" w:hAnsi="Calibri"/>
                <w:sz w:val="19"/>
              </w:rPr>
            </w:r>
            <w:r>
              <w:rPr>
                <w:rFonts w:ascii="Calibri" w:hAnsi="Calibri"/>
                <w:sz w:val="19"/>
              </w:rPr>
              <w:t>PGx-related clinical trial data</w:t>
            </w:r>
          </w:p>
        </w:tc>
      </w:tr>
      <w:tr>
        <w:tc>
          <w:tcPr>
            <w:tcW w:type="dxa" w:w="2340"/>
            <w:shd w:fill="F5F5F5"/>
          </w:tcPr>
          <w:p>
            <w:pPr>
              <w:spacing w:after="40" w:before="40"/>
            </w:pPr>
            <w:r>
              <w:rPr>
                <w:rFonts w:ascii="Calibri" w:hAnsi="Calibri"/>
                <w:sz w:val="19"/>
              </w:rPr>
            </w:r>
            <w:r>
              <w:rPr>
                <w:rFonts w:ascii="Calibri" w:hAnsi="Calibri"/>
                <w:sz w:val="19"/>
              </w:rPr>
              <w:t>10</w:t>
            </w:r>
          </w:p>
        </w:tc>
        <w:tc>
          <w:tcPr>
            <w:tcW w:type="dxa" w:w="2340"/>
            <w:shd w:fill="F5F5F5"/>
          </w:tcPr>
          <w:p>
            <w:pPr>
              <w:spacing w:after="40" w:before="40"/>
            </w:pPr>
            <w:r>
              <w:rPr>
                <w:rFonts w:ascii="Calibri" w:hAnsi="Calibri"/>
                <w:sz w:val="19"/>
              </w:rPr>
            </w:r>
            <w:r>
              <w:rPr>
                <w:rFonts w:ascii="Consolas" w:hAnsi="Consolas"/>
                <w:color w:val="C7254E"/>
                <w:sz w:val="19"/>
              </w:rPr>
              <w:t>pgx_fda_labels</w:t>
            </w:r>
          </w:p>
        </w:tc>
        <w:tc>
          <w:tcPr>
            <w:tcW w:type="dxa" w:w="2340"/>
            <w:shd w:fill="F5F5F5"/>
          </w:tcPr>
          <w:p>
            <w:pPr>
              <w:spacing w:after="40" w:before="40"/>
            </w:pPr>
            <w:r>
              <w:rPr>
                <w:rFonts w:ascii="Calibri" w:hAnsi="Calibri"/>
                <w:sz w:val="19"/>
              </w:rPr>
            </w:r>
            <w:r>
              <w:rPr>
                <w:rFonts w:ascii="Calibri" w:hAnsi="Calibri"/>
                <w:sz w:val="19"/>
              </w:rPr>
              <w:t>~3,500</w:t>
            </w:r>
          </w:p>
        </w:tc>
        <w:tc>
          <w:tcPr>
            <w:tcW w:type="dxa" w:w="2340"/>
            <w:shd w:fill="F5F5F5"/>
          </w:tcPr>
          <w:p>
            <w:pPr>
              <w:spacing w:after="40" w:before="40"/>
            </w:pPr>
            <w:r>
              <w:rPr>
                <w:rFonts w:ascii="Calibri" w:hAnsi="Calibri"/>
                <w:sz w:val="19"/>
              </w:rPr>
            </w:r>
            <w:r>
              <w:rPr>
                <w:rFonts w:ascii="Calibri" w:hAnsi="Calibri"/>
                <w:sz w:val="19"/>
              </w:rPr>
              <w:t>FDA pharmacogenomic labeling information</w:t>
            </w:r>
          </w:p>
        </w:tc>
      </w:tr>
      <w:tr>
        <w:tc>
          <w:tcPr>
            <w:tcW w:type="dxa" w:w="2340"/>
          </w:tcPr>
          <w:p>
            <w:pPr>
              <w:spacing w:after="40" w:before="40"/>
            </w:pPr>
            <w:r>
              <w:rPr>
                <w:rFonts w:ascii="Calibri" w:hAnsi="Calibri"/>
                <w:sz w:val="19"/>
              </w:rPr>
            </w:r>
            <w:r>
              <w:rPr>
                <w:rFonts w:ascii="Calibri" w:hAnsi="Calibri"/>
                <w:sz w:val="19"/>
              </w:rPr>
              <w:t>11</w:t>
            </w:r>
          </w:p>
        </w:tc>
        <w:tc>
          <w:tcPr>
            <w:tcW w:type="dxa" w:w="2340"/>
          </w:tcPr>
          <w:p>
            <w:pPr>
              <w:spacing w:after="40" w:before="40"/>
            </w:pPr>
            <w:r>
              <w:rPr>
                <w:rFonts w:ascii="Calibri" w:hAnsi="Calibri"/>
                <w:sz w:val="19"/>
              </w:rPr>
            </w:r>
            <w:r>
              <w:rPr>
                <w:rFonts w:ascii="Consolas" w:hAnsi="Consolas"/>
                <w:color w:val="C7254E"/>
                <w:sz w:val="19"/>
              </w:rPr>
              <w:t>pgx_drug_alternatives</w:t>
            </w:r>
          </w:p>
        </w:tc>
        <w:tc>
          <w:tcPr>
            <w:tcW w:type="dxa" w:w="2340"/>
          </w:tcPr>
          <w:p>
            <w:pPr>
              <w:spacing w:after="40" w:before="40"/>
            </w:pPr>
            <w:r>
              <w:rPr>
                <w:rFonts w:ascii="Calibri" w:hAnsi="Calibri"/>
                <w:sz w:val="19"/>
              </w:rPr>
            </w:r>
            <w:r>
              <w:rPr>
                <w:rFonts w:ascii="Calibri" w:hAnsi="Calibri"/>
                <w:sz w:val="19"/>
              </w:rPr>
              <w:t>~5,000</w:t>
            </w:r>
          </w:p>
        </w:tc>
        <w:tc>
          <w:tcPr>
            <w:tcW w:type="dxa" w:w="2340"/>
          </w:tcPr>
          <w:p>
            <w:pPr>
              <w:spacing w:after="40" w:before="40"/>
            </w:pPr>
            <w:r>
              <w:rPr>
                <w:rFonts w:ascii="Calibri" w:hAnsi="Calibri"/>
                <w:sz w:val="19"/>
              </w:rPr>
            </w:r>
            <w:r>
              <w:rPr>
                <w:rFonts w:ascii="Calibri" w:hAnsi="Calibri"/>
                <w:sz w:val="19"/>
              </w:rPr>
              <w:t>Alternative drug recommendations by metabolizer status</w:t>
            </w:r>
          </w:p>
        </w:tc>
      </w:tr>
      <w:tr>
        <w:tc>
          <w:tcPr>
            <w:tcW w:type="dxa" w:w="2340"/>
            <w:shd w:fill="F5F5F5"/>
          </w:tcPr>
          <w:p>
            <w:pPr>
              <w:spacing w:after="40" w:before="40"/>
            </w:pPr>
            <w:r>
              <w:rPr>
                <w:rFonts w:ascii="Calibri" w:hAnsi="Calibri"/>
                <w:sz w:val="19"/>
              </w:rPr>
            </w:r>
            <w:r>
              <w:rPr>
                <w:rFonts w:ascii="Calibri" w:hAnsi="Calibri"/>
                <w:sz w:val="19"/>
              </w:rPr>
              <w:t>12</w:t>
            </w:r>
          </w:p>
        </w:tc>
        <w:tc>
          <w:tcPr>
            <w:tcW w:type="dxa" w:w="2340"/>
            <w:shd w:fill="F5F5F5"/>
          </w:tcPr>
          <w:p>
            <w:pPr>
              <w:spacing w:after="40" w:before="40"/>
            </w:pPr>
            <w:r>
              <w:rPr>
                <w:rFonts w:ascii="Calibri" w:hAnsi="Calibri"/>
                <w:sz w:val="19"/>
              </w:rPr>
            </w:r>
            <w:r>
              <w:rPr>
                <w:rFonts w:ascii="Consolas" w:hAnsi="Consolas"/>
                <w:color w:val="C7254E"/>
                <w:sz w:val="19"/>
              </w:rPr>
              <w:t>pgx_patient_profiles</w:t>
            </w:r>
          </w:p>
        </w:tc>
        <w:tc>
          <w:tcPr>
            <w:tcW w:type="dxa" w:w="2340"/>
            <w:shd w:fill="F5F5F5"/>
          </w:tcPr>
          <w:p>
            <w:pPr>
              <w:spacing w:after="40" w:before="40"/>
            </w:pPr>
            <w:r>
              <w:rPr>
                <w:rFonts w:ascii="Calibri" w:hAnsi="Calibri"/>
                <w:sz w:val="19"/>
              </w:rPr>
            </w:r>
            <w:r>
              <w:rPr>
                <w:rFonts w:ascii="Calibri" w:hAnsi="Calibri"/>
                <w:sz w:val="19"/>
              </w:rPr>
              <w:t>Variable</w:t>
            </w:r>
          </w:p>
        </w:tc>
        <w:tc>
          <w:tcPr>
            <w:tcW w:type="dxa" w:w="2340"/>
            <w:shd w:fill="F5F5F5"/>
          </w:tcPr>
          <w:p>
            <w:pPr>
              <w:spacing w:after="40" w:before="40"/>
            </w:pPr>
            <w:r>
              <w:rPr>
                <w:rFonts w:ascii="Calibri" w:hAnsi="Calibri"/>
                <w:sz w:val="19"/>
              </w:rPr>
            </w:r>
            <w:r>
              <w:rPr>
                <w:rFonts w:ascii="Calibri" w:hAnsi="Calibri"/>
                <w:sz w:val="19"/>
              </w:rPr>
              <w:t>Patient-specific PGx profiles (per-patient)</w:t>
            </w:r>
          </w:p>
        </w:tc>
      </w:tr>
      <w:tr>
        <w:tc>
          <w:tcPr>
            <w:tcW w:type="dxa" w:w="2340"/>
          </w:tcPr>
          <w:p>
            <w:pPr>
              <w:spacing w:after="40" w:before="40"/>
            </w:pPr>
            <w:r>
              <w:rPr>
                <w:rFonts w:ascii="Calibri" w:hAnsi="Calibri"/>
                <w:sz w:val="19"/>
              </w:rPr>
            </w:r>
            <w:r>
              <w:rPr>
                <w:rFonts w:ascii="Calibri" w:hAnsi="Calibri"/>
                <w:sz w:val="19"/>
              </w:rPr>
              <w:t>13</w:t>
            </w:r>
          </w:p>
        </w:tc>
        <w:tc>
          <w:tcPr>
            <w:tcW w:type="dxa" w:w="2340"/>
          </w:tcPr>
          <w:p>
            <w:pPr>
              <w:spacing w:after="40" w:before="40"/>
            </w:pPr>
            <w:r>
              <w:rPr>
                <w:rFonts w:ascii="Calibri" w:hAnsi="Calibri"/>
                <w:sz w:val="19"/>
              </w:rPr>
            </w:r>
            <w:r>
              <w:rPr>
                <w:rFonts w:ascii="Consolas" w:hAnsi="Consolas"/>
                <w:color w:val="C7254E"/>
                <w:sz w:val="19"/>
              </w:rPr>
              <w:t>pgx_implementation</w:t>
            </w:r>
          </w:p>
        </w:tc>
        <w:tc>
          <w:tcPr>
            <w:tcW w:type="dxa" w:w="2340"/>
          </w:tcPr>
          <w:p>
            <w:pPr>
              <w:spacing w:after="40" w:before="40"/>
            </w:pPr>
            <w:r>
              <w:rPr>
                <w:rFonts w:ascii="Calibri" w:hAnsi="Calibri"/>
                <w:sz w:val="19"/>
              </w:rPr>
            </w:r>
            <w:r>
              <w:rPr>
                <w:rFonts w:ascii="Calibri" w:hAnsi="Calibri"/>
                <w:sz w:val="19"/>
              </w:rPr>
              <w:t>~4,000</w:t>
            </w:r>
          </w:p>
        </w:tc>
        <w:tc>
          <w:tcPr>
            <w:tcW w:type="dxa" w:w="2340"/>
          </w:tcPr>
          <w:p>
            <w:pPr>
              <w:spacing w:after="40" w:before="40"/>
            </w:pPr>
            <w:r>
              <w:rPr>
                <w:rFonts w:ascii="Calibri" w:hAnsi="Calibri"/>
                <w:sz w:val="19"/>
              </w:rPr>
            </w:r>
            <w:r>
              <w:rPr>
                <w:rFonts w:ascii="Calibri" w:hAnsi="Calibri"/>
                <w:sz w:val="19"/>
              </w:rPr>
              <w:t>Health system PGx implementation protocols</w:t>
            </w:r>
          </w:p>
        </w:tc>
      </w:tr>
      <w:tr>
        <w:tc>
          <w:tcPr>
            <w:tcW w:type="dxa" w:w="2340"/>
            <w:shd w:fill="F5F5F5"/>
          </w:tcPr>
          <w:p>
            <w:pPr>
              <w:spacing w:after="40" w:before="40"/>
            </w:pPr>
            <w:r>
              <w:rPr>
                <w:rFonts w:ascii="Calibri" w:hAnsi="Calibri"/>
                <w:sz w:val="19"/>
              </w:rPr>
            </w:r>
            <w:r>
              <w:rPr>
                <w:rFonts w:ascii="Calibri" w:hAnsi="Calibri"/>
                <w:sz w:val="19"/>
              </w:rPr>
              <w:t>14</w:t>
            </w:r>
          </w:p>
        </w:tc>
        <w:tc>
          <w:tcPr>
            <w:tcW w:type="dxa" w:w="2340"/>
            <w:shd w:fill="F5F5F5"/>
          </w:tcPr>
          <w:p>
            <w:pPr>
              <w:spacing w:after="40" w:before="40"/>
            </w:pPr>
            <w:r>
              <w:rPr>
                <w:rFonts w:ascii="Calibri" w:hAnsi="Calibri"/>
                <w:sz w:val="19"/>
              </w:rPr>
            </w:r>
            <w:r>
              <w:rPr>
                <w:rFonts w:ascii="Consolas" w:hAnsi="Consolas"/>
                <w:color w:val="C7254E"/>
                <w:sz w:val="19"/>
              </w:rPr>
              <w:t>pgx_education</w:t>
            </w:r>
          </w:p>
        </w:tc>
        <w:tc>
          <w:tcPr>
            <w:tcW w:type="dxa" w:w="2340"/>
            <w:shd w:fill="F5F5F5"/>
          </w:tcPr>
          <w:p>
            <w:pPr>
              <w:spacing w:after="40" w:before="40"/>
            </w:pPr>
            <w:r>
              <w:rPr>
                <w:rFonts w:ascii="Calibri" w:hAnsi="Calibri"/>
                <w:sz w:val="19"/>
              </w:rPr>
            </w:r>
            <w:r>
              <w:rPr>
                <w:rFonts w:ascii="Calibri" w:hAnsi="Calibri"/>
                <w:sz w:val="19"/>
              </w:rPr>
              <w:t>~2,500</w:t>
            </w:r>
          </w:p>
        </w:tc>
        <w:tc>
          <w:tcPr>
            <w:tcW w:type="dxa" w:w="2340"/>
            <w:shd w:fill="F5F5F5"/>
          </w:tcPr>
          <w:p>
            <w:pPr>
              <w:spacing w:after="40" w:before="40"/>
            </w:pPr>
            <w:r>
              <w:rPr>
                <w:rFonts w:ascii="Calibri" w:hAnsi="Calibri"/>
                <w:sz w:val="19"/>
              </w:rPr>
            </w:r>
            <w:r>
              <w:rPr>
                <w:rFonts w:ascii="Calibri" w:hAnsi="Calibri"/>
                <w:sz w:val="19"/>
              </w:rPr>
              <w:t>Clinician-facing PGx education materials</w:t>
            </w:r>
          </w:p>
        </w:tc>
      </w:tr>
      <w:tr>
        <w:tc>
          <w:tcPr>
            <w:tcW w:type="dxa" w:w="2340"/>
          </w:tcPr>
          <w:p>
            <w:pPr>
              <w:spacing w:after="40" w:before="40"/>
            </w:pPr>
            <w:r>
              <w:rPr>
                <w:rFonts w:ascii="Calibri" w:hAnsi="Calibri"/>
                <w:sz w:val="19"/>
              </w:rPr>
            </w:r>
            <w:r>
              <w:rPr>
                <w:rFonts w:ascii="Calibri" w:hAnsi="Calibri"/>
                <w:sz w:val="19"/>
              </w:rPr>
              <w:t>S</w:t>
            </w:r>
          </w:p>
        </w:tc>
        <w:tc>
          <w:tcPr>
            <w:tcW w:type="dxa" w:w="2340"/>
          </w:tcPr>
          <w:p>
            <w:pPr>
              <w:spacing w:after="40" w:before="40"/>
            </w:pPr>
            <w:r>
              <w:rPr>
                <w:rFonts w:ascii="Calibri" w:hAnsi="Calibri"/>
                <w:sz w:val="19"/>
              </w:rPr>
            </w:r>
            <w:r>
              <w:rPr>
                <w:rFonts w:ascii="Consolas" w:hAnsi="Consolas"/>
                <w:color w:val="C7254E"/>
                <w:sz w:val="19"/>
              </w:rPr>
              <w:t>genomic_evidence</w:t>
            </w:r>
          </w:p>
        </w:tc>
        <w:tc>
          <w:tcPr>
            <w:tcW w:type="dxa" w:w="2340"/>
          </w:tcPr>
          <w:p>
            <w:pPr>
              <w:spacing w:after="40" w:before="40"/>
            </w:pPr>
            <w:r>
              <w:rPr>
                <w:rFonts w:ascii="Calibri" w:hAnsi="Calibri"/>
                <w:sz w:val="19"/>
              </w:rPr>
            </w:r>
            <w:r>
              <w:rPr>
                <w:rFonts w:ascii="Calibri" w:hAnsi="Calibri"/>
                <w:sz w:val="19"/>
              </w:rPr>
              <w:t>3,500,000</w:t>
            </w:r>
          </w:p>
        </w:tc>
        <w:tc>
          <w:tcPr>
            <w:tcW w:type="dxa" w:w="2340"/>
          </w:tcPr>
          <w:p>
            <w:pPr>
              <w:spacing w:after="40" w:before="40"/>
            </w:pPr>
            <w:r>
              <w:rPr>
                <w:rFonts w:ascii="Calibri" w:hAnsi="Calibri"/>
                <w:sz w:val="19"/>
              </w:rPr>
            </w:r>
            <w:r>
              <w:rPr>
                <w:rFonts w:ascii="Calibri" w:hAnsi="Calibri"/>
                <w:sz w:val="19"/>
              </w:rPr>
              <w:t>Shared genomic variant evidence (read-only)</w:t>
            </w:r>
          </w:p>
        </w:tc>
      </w:tr>
    </w:tbl>
    <w:p/>
    <w:p>
      <w:pPr>
        <w:pStyle w:val="Heading3"/>
      </w:pPr>
      <w:r>
        <w:t>7.2 Collection Schemas</w:t>
      </w:r>
    </w:p>
    <w:p>
      <w:r>
        <w:rPr>
          <w:b/>
        </w:rPr>
        <w:t>Collection 1: `pgx_gene_reference`</w:t>
      </w:r>
    </w:p>
    <w:p>
      <w:r>
        <w:t>Core pharmacogene reference data including star allele definitions and allele function.</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FieldSchema(name="gene", dtype=VARCHAR, max_length=20)          # CYP2D6, SLCO1B1, etc.</w:t>
        <w:br/>
        <w:t>FieldSchema(name="star_allele", dtype=VARCHAR, max_length=30)    # *1, *4, *10, *41</w:t>
        <w:br/>
        <w:t>FieldSchema(name="defining_variants", dtype=VARCHAR, max_length=500)  # rs numbers</w:t>
        <w:br/>
        <w:t>FieldSchema(name="activity_score", dtype=FLOAT)                  # 0, 0.25, 0.5, 1.0</w:t>
        <w:br/>
        <w:t>FieldSchema(name="function_status", dtype=VARCHAR, max_length=30) # Normal, Decreased, No function</w:t>
        <w:br/>
        <w:t>FieldSchema(name="allele_frequency_global", dtype=FLOAT)</w:t>
        <w:br/>
        <w:t>FieldSchema(name="allele_frequency_european", dtype=FLOAT)</w:t>
        <w:br/>
        <w:t>FieldSchema(name="allele_frequency_african", dtype=FLOAT)</w:t>
        <w:br/>
        <w:t>FieldSchema(name="allele_frequency_east_asian", dtype=FLOAT)</w:t>
        <w:br/>
        <w:t>FieldSchema(name="allele_frequency_south_asian", dtype=FLOAT)</w:t>
        <w:br/>
        <w:t>FieldSchema(name="allele_frequency_latino", dtype=FLOAT)</w:t>
        <w:br/>
        <w:t>FieldSchema(name="pharmvar_id", dtype=VARCHAR, max_length=30)</w:t>
        <w:br/>
        <w:t>FieldSchema(name="text_chunk", dtype=VARCHAR, max_length=3000)</w:t>
        <w:br/>
        <w:t>FieldSchema(name="source", dtype=VARCHAR, max_length=100)</w:t>
      </w:r>
    </w:p>
    <w:p>
      <w:r>
        <w:rPr>
          <w:b/>
        </w:rPr>
        <w:t>Collection 2: `pgx_drug_guidelines`</w:t>
      </w:r>
    </w:p>
    <w:p>
      <w:r>
        <w:t>CPIC, DPWG, and FDA guideline recommendations for drug-gene pairs.</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FieldSchema(name="gene", dtype=VARCHAR, max_length=20)</w:t>
        <w:br/>
        <w:t>FieldSchema(name="drug", dtype=VARCHAR, max_length=50)</w:t>
        <w:br/>
        <w:t>FieldSchema(name="phenotype", dtype=VARCHAR, max_length=40)      # Poor Metabolizer, etc.</w:t>
        <w:br/>
        <w:t>FieldSchema(name="guideline_body", dtype=VARCHAR, max_length=10) # CPIC, DPWG, FDA</w:t>
        <w:br/>
        <w:t>FieldSchema(name="cpic_level", dtype=VARCHAR, max_length=5)      # A, A/B, B, C, D</w:t>
        <w:br/>
        <w:t>FieldSchema(name="recommendation", dtype=VARCHAR, max_length=1000)</w:t>
        <w:br/>
        <w:t>FieldSchema(name="clinical_action", dtype=VARCHAR, max_length=30) # STANDARD, DOSE_ADJUST, AVOID, etc.</w:t>
        <w:br/>
        <w:t>FieldSchema(name="alert_level", dtype=VARCHAR, max_length=10)    # INFO, WARNING, CRITICAL</w:t>
        <w:br/>
        <w:t>FieldSchema(name="alternative_drugs", dtype=VARCHAR, max_length=500)</w:t>
        <w:br/>
        <w:t>FieldSchema(name="dose_adjustment", dtype=VARCHAR, max_length=200)</w:t>
        <w:br/>
        <w:t>FieldSchema(name="evidence_pmids", dtype=VARCHAR, max_length=300)</w:t>
        <w:br/>
        <w:t>FieldSchema(name="guideline_version", dtype=VARCHAR, max_length=20)</w:t>
        <w:br/>
        <w:t>FieldSchema(name="last_updated", dtype=VARCHAR, max_length=10)</w:t>
        <w:br/>
        <w:t>FieldSchema(name="text_chunk", dtype=VARCHAR, max_length=3000)</w:t>
      </w:r>
    </w:p>
    <w:p>
      <w:r>
        <w:rPr>
          <w:b/>
        </w:rPr>
        <w:t>Collection 3: `pgx_drug_interactions`</w:t>
      </w:r>
    </w:p>
    <w:p>
      <w:r>
        <w:t>Comprehensive drug-gene interaction annotations from PharmGKB.</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FieldSchema(name="drug", dtype=VARCHAR, max_length=50)</w:t>
        <w:br/>
        <w:t>FieldSchema(name="gene", dtype=VARCHAR, max_length=20)</w:t>
        <w:br/>
        <w:t>FieldSchema(name="variant_rsid", dtype=VARCHAR, max_length=20)</w:t>
        <w:br/>
        <w:t>FieldSchema(name="interaction_type", dtype=VARCHAR, max_length=30) # PK, PD, efficacy, toxicity</w:t>
        <w:br/>
        <w:t>FieldSchema(name="effect_description", dtype=VARCHAR, max_length=500)</w:t>
        <w:br/>
        <w:t>FieldSchema(name="evidence_level", dtype=VARCHAR, max_length=5)  # 1A, 1B, 2A, 2B, 3, 4</w:t>
        <w:br/>
        <w:t>FieldSchema(name="clinical_significance", dtype=VARCHAR, max_length=20) # Actionable, Informative</w:t>
        <w:br/>
        <w:t>FieldSchema(name="pharmgkb_id", dtype=VARCHAR, max_length=30)</w:t>
        <w:br/>
        <w:t>FieldSchema(name="affected_phenotype", dtype=VARCHAR, max_length=100)</w:t>
        <w:br/>
        <w:t>FieldSchema(name="text_chunk", dtype=VARCHAR, max_length=3000)</w:t>
      </w:r>
    </w:p>
    <w:p>
      <w:r>
        <w:rPr>
          <w:b/>
        </w:rPr>
        <w:t>Collection 4: `pgx_hla_hypersensitivity`</w:t>
      </w:r>
    </w:p>
    <w:p>
      <w:r>
        <w:t>HLA-mediated drug hypersensitivity associations with population-specific risks.</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FieldSchema(name="hla_allele", dtype=VARCHAR, max_length=20)</w:t>
        <w:br/>
        <w:t>FieldSchema(name="drug", dtype=VARCHAR, max_length=50)</w:t>
        <w:br/>
        <w:t>FieldSchema(name="reaction_type", dtype=VARCHAR, max_length=50)  # SJS/TEN, DRESS, HSR, hepatotoxicity</w:t>
        <w:br/>
        <w:t>FieldSchema(name="risk_if_positive", dtype=VARCHAR, max_length=100) # OR, absolute risk %</w:t>
        <w:br/>
        <w:t>FieldSchema(name="severity", dtype=VARCHAR, max_length=20)       # Life-threatening, Severe, Moderate</w:t>
        <w:br/>
        <w:t>FieldSchema(name="cpic_level", dtype=VARCHAR, max_length=5)</w:t>
        <w:br/>
        <w:t>FieldSchema(name="recommendation", dtype=VARCHAR, max_length=500)</w:t>
        <w:br/>
        <w:t>FieldSchema(name="screening_mandatory", dtype=BOOL)</w:t>
        <w:br/>
        <w:t>FieldSchema(name="prevalence_european", dtype=FLOAT)</w:t>
        <w:br/>
        <w:t>FieldSchema(name="prevalence_african", dtype=FLOAT)</w:t>
        <w:br/>
        <w:t>FieldSchema(name="prevalence_east_asian", dtype=FLOAT)</w:t>
        <w:br/>
        <w:t>FieldSchema(name="prevalence_south_asian", dtype=FLOAT)</w:t>
        <w:br/>
        <w:t>FieldSchema(name="prevalence_latino", dtype=FLOAT)</w:t>
        <w:br/>
        <w:t>FieldSchema(name="alternative_drugs", dtype=VARCHAR, max_length=300)</w:t>
        <w:br/>
        <w:t>FieldSchema(name="text_chunk", dtype=VARCHAR, max_length=3000)</w:t>
      </w:r>
    </w:p>
    <w:p>
      <w:r>
        <w:rPr>
          <w:b/>
        </w:rPr>
        <w:t>Collection 5: `pgx_phenoconversion`</w:t>
      </w:r>
    </w:p>
    <w:p>
      <w:r>
        <w:t>Drug-drug-gene interactions where concomitant medications alter metabolizer phenotype.</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FieldSchema(name="affected_enzyme", dtype=VARCHAR, max_length=20)  # CYP2D6, CYP3A4, etc.</w:t>
        <w:br/>
        <w:t>FieldSchema(name="precipitant_drug", dtype=VARCHAR, max_length=50) # The inhibitor or inducer</w:t>
        <w:br/>
        <w:t>FieldSchema(name="interaction_type", dtype=VARCHAR, max_length=15) # Strong/Moderate/Weak inhibitor or inducer</w:t>
        <w:br/>
        <w:t>FieldSchema(name="effect_on_phenotype", dtype=VARCHAR, max_length=100) # "Converts NM to PM"</w:t>
        <w:br/>
        <w:t>FieldSchema(name="clinical_significance", dtype=VARCHAR, max_length=500)</w:t>
        <w:br/>
        <w:t>FieldSchema(name="affected_substrate_drugs", dtype=VARCHAR, max_length=500)</w:t>
        <w:br/>
        <w:t>FieldSchema(name="time_to_onset", dtype=VARCHAR, max_length=50)</w:t>
        <w:br/>
        <w:t>FieldSchema(name="reversibility", dtype=VARCHAR, max_length=50)</w:t>
        <w:br/>
        <w:t>FieldSchema(name="evidence_level", dtype=VARCHAR, max_length=5)</w:t>
        <w:br/>
        <w:t>FieldSchema(name="text_chunk", dtype=VARCHAR, max_length=3000)</w:t>
      </w:r>
    </w:p>
    <w:p>
      <w:r>
        <w:rPr>
          <w:b/>
        </w:rPr>
        <w:t>Collection 6: `pgx_dosing_algorithms`</w:t>
      </w:r>
    </w:p>
    <w:p>
      <w:r>
        <w:t>Pharmacokinetic models and dosing nomograms for dose-critical drugs.</w:t>
      </w:r>
    </w:p>
    <w:p>
      <w:pPr>
        <w:spacing w:before="120" w:after="120"/>
        <w:ind w:left="567"/>
      </w:pPr>
      <w:r>
        <w:rPr>
          <w:rFonts w:ascii="Consolas" w:hAnsi="Consolas"/>
          <w:color w:val="333333"/>
          <w:sz w:val="17"/>
        </w:rPr>
        <w:t>FieldSchema(name="id", dtype=VARCHAR, is_primary=True, max_length=100)</w:t>
        <w:br/>
        <w:t>FieldSchema(name="embedding", dtype=FLOAT_VECTOR, dim=384)</w:t>
        <w:br/>
        <w:t>FieldSchema(name="drug", dtype=VARCHAR, max_length=50)</w:t>
        <w:br/>
        <w:t>FieldSchema(name="genes_involved", dtype=VARCHAR, max_length=100)</w:t>
        <w:br/>
        <w:t>FieldSchema(name="algorithm_name", dtype=VARCHAR, max_length=100) # e.g., "IWPC Warfarin Dosing"</w:t>
        <w:br/>
        <w:t>FieldSchema(name="input_variables", dtype=VARCHAR, max_length=500)</w:t>
        <w:br/>
        <w:t>FieldSchema(name="formula_description", dtype=VARCHAR, max_length=1000)</w:t>
        <w:br/>
        <w:t>FieldSchema(name="validation_cohort", dtype=VARCHAR, max_length=200)</w:t>
        <w:br/>
        <w:t>FieldSchema(name="accuracy_metrics", dtype=VARCHAR, max_length=200) # R², MAE, etc.</w:t>
        <w:br/>
        <w:t>FieldSchema(name="clinical_context", dtype=VARCHAR, max_length=500)</w:t>
        <w:br/>
        <w:t>FieldSchema(name="text_chunk", dtype=VARCHAR, max_length=3000)</w:t>
      </w:r>
    </w:p>
    <w:p>
      <w:r>
        <w:rPr>
          <w:b/>
        </w:rPr>
        <w:t>Collections 7-14</w:t>
      </w:r>
      <w:r>
        <w:t xml:space="preserve"> follow similar patterns for clinical evidence, population data, clinical trials, FDA labels, drug alternatives, patient profiles, implementation protocols, and education materials. Each uses the standard 384-dimension BGE-small-en-v1.5 embedding with IVF_FLAT COSINE indexing.</w:t>
      </w:r>
    </w:p>
    <w:p>
      <w:pPr>
        <w:pStyle w:val="Heading3"/>
      </w:pPr>
      <w:r>
        <w:t>7.3 Collection Search Weights</w:t>
      </w:r>
    </w:p>
    <w:p>
      <w:pPr>
        <w:spacing w:before="120" w:after="120"/>
        <w:ind w:left="567"/>
      </w:pPr>
      <w:r>
        <w:rPr>
          <w:rFonts w:ascii="Consolas" w:hAnsi="Consolas"/>
          <w:color w:val="333333"/>
          <w:sz w:val="17"/>
        </w:rPr>
        <w:t>WEIGHT_GENE_REFERENCE = 0.10</w:t>
        <w:br/>
        <w:t>WEIGHT_DRUG_GUIDELINES = 0.14      # Highest -- clinical guidelines are primary</w:t>
        <w:br/>
        <w:t>WEIGHT_DRUG_INTERACTIONS = 0.12</w:t>
        <w:br/>
        <w:t>WEIGHT_HLA_HYPERSENSITIVITY = 0.10</w:t>
        <w:br/>
        <w:t>WEIGHT_PHENOCONVERSION = 0.08</w:t>
        <w:br/>
        <w:t>WEIGHT_DOSING_ALGORITHMS = 0.07</w:t>
        <w:br/>
        <w:t>WEIGHT_CLINICAL_EVIDENCE = 0.08</w:t>
        <w:br/>
        <w:t>WEIGHT_POPULATION_DATA = 0.06</w:t>
        <w:br/>
        <w:t>WEIGHT_CLINICAL_TRIALS = 0.04</w:t>
        <w:br/>
        <w:t>WEIGHT_FDA_LABELS = 0.06</w:t>
        <w:br/>
        <w:t>WEIGHT_DRUG_ALTERNATIVES = 0.05</w:t>
        <w:br/>
        <w:t>WEIGHT_PATIENT_PROFILES = 0.03</w:t>
        <w:br/>
        <w:t>WEIGHT_IMPLEMENTATION = 0.02</w:t>
        <w:br/>
        <w:t>WEIGHT_EDUCATION = 0.02</w:t>
        <w:br/>
        <w:t>WEIGHT_GENOMIC_EVIDENCE = 0.03</w:t>
      </w:r>
    </w:p>
    <w:p>
      <w:pPr>
        <w:spacing w:before="160" w:after="160"/>
        <w:jc w:val="center"/>
      </w:pPr>
      <w:r>
        <w:rPr>
          <w:color w:val="76B900"/>
          <w:sz w:val="16"/>
        </w:rPr>
        <w:t>━━━━━━━━━━━━━━━━━━━━━━━━━━━━━━━━━━━━━━━━━━━━━━━━━━━━━━━━━━━━</w:t>
      </w:r>
    </w:p>
    <w:p>
      <w:r>
        <w:br w:type="page"/>
      </w:r>
    </w:p>
    <w:p>
      <w:pPr>
        <w:pStyle w:val="Heading2"/>
      </w:pPr>
      <w:r>
        <w:t>8. Clinical Workflows</w:t>
      </w:r>
    </w:p>
    <w:p>
      <w:pPr>
        <w:pStyle w:val="Heading3"/>
      </w:pPr>
      <w:r>
        <w:t>8.1 Workflow 1: Pre-emptive PGx Panel Interpretation</w:t>
      </w:r>
    </w:p>
    <w:p>
      <w:r>
        <w:rPr>
          <w:b/>
        </w:rPr>
        <w:t>Trigger:</w:t>
      </w:r>
      <w:r>
        <w:t xml:space="preserve"> New patient genome processed through HCLS AI Factory genomics pipeline.</w:t>
      </w:r>
    </w:p>
    <w:p>
      <w:r>
        <w:rPr>
          <w:b/>
        </w:rPr>
        <w:t>Process:</w:t>
      </w:r>
    </w:p>
    <w:p>
      <w:pPr>
        <w:pStyle w:val="ListNumber"/>
        <w:spacing w:after="60"/>
      </w:pPr>
      <w:r>
        <w:t>VCF file ingested by PGx variant extraction module</w:t>
      </w:r>
    </w:p>
    <w:p>
      <w:pPr>
        <w:pStyle w:val="ListNumber"/>
        <w:spacing w:after="60"/>
      </w:pPr>
      <w:r>
        <w:t>Star alleles called for all 25+ pharmacogenes</w:t>
      </w:r>
    </w:p>
    <w:p>
      <w:pPr>
        <w:pStyle w:val="ListNumber"/>
        <w:spacing w:after="60"/>
      </w:pPr>
      <w:r>
        <w:t>Diplotypes assembled and phenotypes translated</w:t>
      </w:r>
    </w:p>
    <w:p>
      <w:pPr>
        <w:pStyle w:val="ListNumber"/>
        <w:spacing w:after="60"/>
      </w:pPr>
      <w:r>
        <w:t xml:space="preserve">Complete PGx profile stored in </w:t>
      </w:r>
      <w:r>
        <w:rPr>
          <w:rFonts w:ascii="Consolas" w:hAnsi="Consolas"/>
          <w:color w:val="C7254E"/>
          <w:sz w:val="19"/>
        </w:rPr>
        <w:t>pgx_patient_profiles</w:t>
      </w:r>
      <w:r>
        <w:t xml:space="preserve"> collection</w:t>
      </w:r>
    </w:p>
    <w:p>
      <w:pPr>
        <w:pStyle w:val="ListNumber"/>
        <w:spacing w:after="60"/>
      </w:pPr>
      <w:r>
        <w:t>Profile cross-referenced against common medication classes</w:t>
      </w:r>
    </w:p>
    <w:p>
      <w:pPr>
        <w:pStyle w:val="ListNumber"/>
        <w:spacing w:after="60"/>
      </w:pPr>
      <w:r>
        <w:t>"PGx Passport" report generated with:</w:t>
      </w:r>
    </w:p>
    <w:p>
      <w:pPr>
        <w:pStyle w:val="ListBullet"/>
        <w:spacing w:after="60"/>
        <w:ind w:left="1440"/>
      </w:pPr>
      <w:r>
        <w:t>All metabolizer phenotypes (table format)</w:t>
      </w:r>
    </w:p>
    <w:p>
      <w:pPr>
        <w:pStyle w:val="ListBullet"/>
        <w:spacing w:after="60"/>
        <w:ind w:left="1440"/>
      </w:pPr>
      <w:r>
        <w:t>High-risk drug-gene interactions (CRITICAL alerts)</w:t>
      </w:r>
    </w:p>
    <w:p>
      <w:pPr>
        <w:pStyle w:val="ListBullet"/>
        <w:spacing w:after="60"/>
        <w:ind w:left="1440"/>
      </w:pPr>
      <w:r>
        <w:t>Pre-emptive recommendations for common drug classes</w:t>
      </w:r>
    </w:p>
    <w:p>
      <w:pPr>
        <w:pStyle w:val="ListBullet"/>
        <w:spacing w:after="60"/>
        <w:ind w:left="1440"/>
      </w:pPr>
      <w:r>
        <w:t>HLA hypersensitivity risks</w:t>
      </w:r>
    </w:p>
    <w:p>
      <w:pPr>
        <w:pStyle w:val="ListBullet"/>
        <w:spacing w:after="60"/>
        <w:ind w:left="1440"/>
      </w:pPr>
      <w:r>
        <w:t>Population-adjusted allele frequency context</w:t>
      </w:r>
    </w:p>
    <w:p>
      <w:r>
        <w:rPr>
          <w:b/>
        </w:rPr>
        <w:t>Demo Query:</w:t>
      </w:r>
      <w:r>
        <w:t xml:space="preserve"> </w:t>
      </w:r>
      <w:r>
        <w:rPr>
          <w:i/>
        </w:rPr>
        <w:t>"Generate a complete pharmacogenomic profile for this patient and identify any high-priority drug-gene interactions."</w:t>
      </w:r>
    </w:p>
    <w:p>
      <w:r>
        <w:rPr>
          <w:b/>
        </w:rPr>
        <w:t>Output Example:</w:t>
      </w:r>
    </w:p>
    <w:p>
      <w:pPr>
        <w:spacing w:before="120" w:after="120"/>
        <w:ind w:left="567"/>
      </w:pPr>
      <w:r>
        <w:rPr>
          <w:rFonts w:ascii="Consolas" w:hAnsi="Consolas"/>
          <w:color w:val="333333"/>
          <w:sz w:val="17"/>
        </w:rPr>
        <w:t>PHARMACOGENOMIC PROFILE SUMMARY</w:t>
        <w:br/>
        <w:br/>
        <w:t>Gene        Diplotype    Phenotype              Key Implications</w:t>
        <w:br/>
        <w:t>CYP2D6      *4/*41       Intermediate Met.      Reduced codeine activation, consider alternatives</w:t>
        <w:br/>
        <w:t>CYP2C19     *1/*2        Intermediate Met.      Reduced clopidogrel activation -- use prasugrel</w:t>
        <w:br/>
        <w:t>CYP2C9      *1/*3        Intermediate Met.      Reduced warfarin metabolism -- lower starting dose</w:t>
        <w:br/>
        <w:t>VKORC1      -1639 G/A    Intermediate Sens.     Combined with CYP2C9 IM → warfarin ~3 mg/day</w:t>
        <w:br/>
        <w:t>SLCO1B1     *1/*5        Intermediate Function  Simvastatin myopathy risk ↑ -- use pravastatin</w:t>
        <w:br/>
        <w:t>DPYD        *1/*1        Normal                 Standard fluoropyrimidine dosing</w:t>
        <w:br/>
        <w:t>TPMT        *1/*3A       Intermediate Met.      Reduce thiopurine dose 30-50%</w:t>
        <w:br/>
        <w:t>HLA-B*57:01 Negative                            Abacavir safe</w:t>
        <w:br/>
        <w:t>HLA-B*58:01 Negative                            Allopurinol safe</w:t>
        <w:br/>
        <w:t>HLA-B*15:02 Negative                            Carbamazepine SJS risk low</w:t>
        <w:br/>
        <w:br/>
        <w:t>CRITICAL ALERTS (2):</w:t>
        <w:br/>
        <w:t>⚠ CYP2C19 *1/*2: AVOID clopidogrel -- use prasugrel or ticagrelor</w:t>
        <w:br/>
        <w:t>⚠ CYP2D6 *4/*41: AVOID codeine/tramadol -- use morphine or oxycodone</w:t>
      </w:r>
    </w:p>
    <w:p>
      <w:pPr>
        <w:pStyle w:val="Heading3"/>
      </w:pPr>
      <w:r>
        <w:t>8.2 Workflow 2: Opioid Prescribing Safety</w:t>
      </w:r>
    </w:p>
    <w:p>
      <w:r>
        <w:rPr>
          <w:b/>
        </w:rPr>
        <w:t>Trigger:</w:t>
      </w:r>
      <w:r>
        <w:t xml:space="preserve"> Opioid prescription initiated or planned for patient with PGx data.</w:t>
      </w:r>
    </w:p>
    <w:p>
      <w:r>
        <w:rPr>
          <w:b/>
        </w:rPr>
        <w:t>Process:</w:t>
      </w:r>
    </w:p>
    <w:p>
      <w:pPr>
        <w:pStyle w:val="ListNumber"/>
        <w:spacing w:after="60"/>
      </w:pPr>
      <w:r>
        <w:t>Retrieve patient's CYP2D6 diplotype and phenotype</w:t>
      </w:r>
    </w:p>
    <w:p>
      <w:pPr>
        <w:pStyle w:val="ListNumber"/>
        <w:spacing w:after="60"/>
      </w:pPr>
      <w:r>
        <w:t>Check for CYP2D6 phenoconversion (concomitant inhibitors: fluoxetine, paroxetine, bupropion, duloxetine, terbinafine)</w:t>
      </w:r>
    </w:p>
    <w:p>
      <w:pPr>
        <w:pStyle w:val="ListNumber"/>
        <w:spacing w:after="60"/>
      </w:pPr>
      <w:r>
        <w:t>Determine effective phenotype (genetic + phenoconversion)</w:t>
      </w:r>
    </w:p>
    <w:p>
      <w:pPr>
        <w:pStyle w:val="ListNumber"/>
        <w:spacing w:after="60"/>
      </w:pPr>
      <w:r>
        <w:t>Map to opioid-specific recommendations:</w:t>
      </w:r>
    </w:p>
    <w:p>
      <w:pPr>
        <w:pStyle w:val="ListBullet"/>
        <w:spacing w:after="60"/>
        <w:ind w:left="1440"/>
      </w:pPr>
      <w:r>
        <w:t>Codeine: PM → avoid (no activation), UM → avoid (rapid activation, toxicity risk)</w:t>
      </w:r>
    </w:p>
    <w:p>
      <w:pPr>
        <w:pStyle w:val="ListBullet"/>
        <w:spacing w:after="60"/>
        <w:ind w:left="1440"/>
      </w:pPr>
      <w:r>
        <w:t>Tramadol: PM → avoid (no activation), UM → avoid (seizure/serotonin risk)</w:t>
      </w:r>
    </w:p>
    <w:p>
      <w:pPr>
        <w:pStyle w:val="ListBullet"/>
        <w:spacing w:after="60"/>
        <w:ind w:left="1440"/>
      </w:pPr>
      <w:r>
        <w:t>Hydrocodone: PM → reduced efficacy, UM → increased effect</w:t>
      </w:r>
    </w:p>
    <w:p>
      <w:pPr>
        <w:pStyle w:val="ListBullet"/>
        <w:spacing w:after="60"/>
        <w:ind w:left="1440"/>
      </w:pPr>
      <w:r>
        <w:t>Oxycodone: Minimal CYP2D6 dependence → safer alternative for PM/UM</w:t>
      </w:r>
    </w:p>
    <w:p>
      <w:pPr>
        <w:pStyle w:val="ListNumber"/>
        <w:spacing w:after="60"/>
      </w:pPr>
      <w:r>
        <w:t>Generate recommendation with alternative analgesics</w:t>
      </w:r>
    </w:p>
    <w:p>
      <w:r>
        <w:rPr>
          <w:b/>
        </w:rPr>
        <w:t>Demo Query:</w:t>
      </w:r>
      <w:r>
        <w:t xml:space="preserve"> </w:t>
      </w:r>
      <w:r>
        <w:rPr>
          <w:i/>
        </w:rPr>
        <w:t>"This patient needs post-surgical pain management. What opioids are safe given their CYP2D6 status?"</w:t>
      </w:r>
    </w:p>
    <w:p>
      <w:pPr>
        <w:pStyle w:val="Heading3"/>
      </w:pPr>
      <w:r>
        <w:t>8.3 Workflow 3: Anticoagulant Optimization</w:t>
      </w:r>
    </w:p>
    <w:p>
      <w:r>
        <w:rPr>
          <w:b/>
        </w:rPr>
        <w:t>Trigger:</w:t>
      </w:r>
      <w:r>
        <w:t xml:space="preserve"> Warfarin initiation or dose adjustment for patient with PGx data.</w:t>
      </w:r>
    </w:p>
    <w:p>
      <w:r>
        <w:rPr>
          <w:b/>
        </w:rPr>
        <w:t>Process:</w:t>
      </w:r>
    </w:p>
    <w:p>
      <w:pPr>
        <w:pStyle w:val="ListNumber"/>
        <w:spacing w:after="60"/>
      </w:pPr>
      <w:r>
        <w:t>Retrieve CYP2C9 + VKORC1 + CYP4F2 genotypes</w:t>
      </w:r>
    </w:p>
    <w:p>
      <w:pPr>
        <w:pStyle w:val="ListNumber"/>
        <w:spacing w:after="60"/>
      </w:pPr>
      <w:r>
        <w:t>Apply IWPC (International Warfarin Pharmacogenetics Consortium) dosing algorithm:</w:t>
      </w:r>
    </w:p>
    <w:p>
      <w:pPr>
        <w:pStyle w:val="ListBullet"/>
        <w:spacing w:after="60"/>
        <w:ind w:left="1440"/>
      </w:pPr>
      <w:r>
        <w:t>Inputs: CYP2C9 genotype, VKORC1 genotype, age, weight, height, race, amiodarone use, smoker status</w:t>
      </w:r>
    </w:p>
    <w:p>
      <w:pPr>
        <w:pStyle w:val="ListBullet"/>
        <w:spacing w:after="60"/>
        <w:ind w:left="1440"/>
      </w:pPr>
      <w:r>
        <w:t>Output: Predicted therapeutic dose (mg/day)</w:t>
      </w:r>
    </w:p>
    <w:p>
      <w:pPr>
        <w:pStyle w:val="ListNumber"/>
        <w:spacing w:after="60"/>
      </w:pPr>
      <w:r>
        <w:t>Cross-reference with current INR values and clinical context</w:t>
      </w:r>
    </w:p>
    <w:p>
      <w:pPr>
        <w:pStyle w:val="ListNumber"/>
        <w:spacing w:after="60"/>
      </w:pPr>
      <w:r>
        <w:t>Flag drug-drug interactions that affect warfarin metabolism</w:t>
      </w:r>
    </w:p>
    <w:p>
      <w:pPr>
        <w:pStyle w:val="ListNumber"/>
        <w:spacing w:after="60"/>
      </w:pPr>
      <w:r>
        <w:t>Generate personalized dose recommendation with evidence level</w:t>
      </w:r>
    </w:p>
    <w:p>
      <w:r>
        <w:rPr>
          <w:b/>
        </w:rPr>
        <w:t>Dosing Algorithm (IWPC):</w:t>
      </w:r>
    </w:p>
    <w:p>
      <w:pPr>
        <w:spacing w:before="120" w:after="120"/>
        <w:ind w:left="567"/>
      </w:pPr>
      <w:r>
        <w:rPr>
          <w:rFonts w:ascii="Consolas" w:hAnsi="Consolas"/>
          <w:color w:val="333333"/>
          <w:sz w:val="17"/>
        </w:rPr>
        <w:t>Predicted weekly dose (mg) =</w:t>
        <w:br/>
        <w:t xml:space="preserve">    5.6044</w:t>
        <w:br/>
        <w:t xml:space="preserve">    - 0.2614 × age (decades)</w:t>
        <w:br/>
        <w:t xml:space="preserve">    + 0.0087 × height (cm)</w:t>
        <w:br/>
        <w:t xml:space="preserve">    + 0.0128 × weight (kg)</w:t>
        <w:br/>
        <w:t xml:space="preserve">    - 0.8677 × VKORC1 A/G</w:t>
        <w:br/>
        <w:t xml:space="preserve">    - 1.6974 × VKORC1 A/A</w:t>
        <w:br/>
        <w:t xml:space="preserve">    - 0.5211 × CYP2C9 *1/*2</w:t>
        <w:br/>
        <w:t xml:space="preserve">    - 0.9357 × CYP2C9 *1/*3</w:t>
        <w:br/>
        <w:t xml:space="preserve">    - 1.0616 × CYP2C9 *2/*2</w:t>
        <w:br/>
        <w:t xml:space="preserve">    - 1.9206 × CYP2C9 *2/*3</w:t>
        <w:br/>
        <w:t xml:space="preserve">    - 2.3312 × CYP2C9 *3/*3</w:t>
        <w:br/>
        <w:t xml:space="preserve">    - 0.2188 × CYP4F2 *1/*3</w:t>
        <w:br/>
        <w:t xml:space="preserve">    - 0.2760 × CYP4F2 *3/*3</w:t>
        <w:br/>
        <w:t xml:space="preserve">    + 1.1816 × race (African American)</w:t>
        <w:br/>
        <w:t xml:space="preserve">    - 0.1070 × race (Asian)</w:t>
        <w:br/>
        <w:t xml:space="preserve">    - 0.2029 × amiodarone (yes)</w:t>
        <w:br/>
        <w:t xml:space="preserve">    + 0.2107 × smoker (yes)</w:t>
      </w:r>
    </w:p>
    <w:p>
      <w:pPr>
        <w:pStyle w:val="Heading3"/>
      </w:pPr>
      <w:r>
        <w:t>8.4 Workflow 4: Antidepressant Selection</w:t>
      </w:r>
    </w:p>
    <w:p>
      <w:r>
        <w:rPr>
          <w:b/>
        </w:rPr>
        <w:t>Trigger:</w:t>
      </w:r>
      <w:r>
        <w:t xml:space="preserve"> SSRI/SNRI/TCA initiation for depression or anxiety.</w:t>
      </w:r>
    </w:p>
    <w:p>
      <w:r>
        <w:rPr>
          <w:b/>
        </w:rPr>
        <w:t>Process:</w:t>
      </w:r>
    </w:p>
    <w:p>
      <w:pPr>
        <w:pStyle w:val="ListNumber"/>
        <w:spacing w:after="60"/>
      </w:pPr>
      <w:r>
        <w:t>Retrieve CYP2D6 and CYP2C19 phenotypes (primary metabolizers for most antidepressants)</w:t>
      </w:r>
    </w:p>
    <w:p>
      <w:pPr>
        <w:pStyle w:val="ListNumber"/>
        <w:spacing w:after="60"/>
      </w:pPr>
      <w:r>
        <w:t>Check CYP1A2 status if fluvoxamine or clozapine considered</w:t>
      </w:r>
    </w:p>
    <w:p>
      <w:pPr>
        <w:pStyle w:val="ListNumber"/>
        <w:spacing w:after="60"/>
      </w:pPr>
      <w:r>
        <w:t>Map each candidate antidepressant to patient's metabolizer profile:</w:t>
      </w:r>
    </w:p>
    <w:p>
      <w:pPr>
        <w:pStyle w:val="ListBullet"/>
        <w:spacing w:after="60"/>
        <w:ind w:left="1440"/>
      </w:pPr>
      <w:r>
        <w:t>SSRIs metabolized primarily by CYP2D6: fluoxetine, paroxetine, fluvoxamine</w:t>
      </w:r>
    </w:p>
    <w:p>
      <w:pPr>
        <w:pStyle w:val="ListBullet"/>
        <w:spacing w:after="60"/>
        <w:ind w:left="1440"/>
      </w:pPr>
      <w:r>
        <w:t>SSRIs metabolized primarily by CYP2C19: citalopram, escitalopram, sertraline</w:t>
      </w:r>
    </w:p>
    <w:p>
      <w:pPr>
        <w:pStyle w:val="ListBullet"/>
        <w:spacing w:after="60"/>
        <w:ind w:left="1440"/>
      </w:pPr>
      <w:r>
        <w:t>TCAs metabolized by both: amitriptyline, nortriptyline, imipramine</w:t>
      </w:r>
    </w:p>
    <w:p>
      <w:pPr>
        <w:pStyle w:val="ListNumber"/>
        <w:spacing w:after="60"/>
      </w:pPr>
      <w:r>
        <w:t>Flag drug-drug interactions with other psychiatric medications</w:t>
      </w:r>
    </w:p>
    <w:p>
      <w:pPr>
        <w:pStyle w:val="ListNumber"/>
        <w:spacing w:after="60"/>
      </w:pPr>
      <w:r>
        <w:t>Rank antidepressants by suitability for patient's genotype</w:t>
      </w:r>
    </w:p>
    <w:p>
      <w:pPr>
        <w:pStyle w:val="ListNumber"/>
        <w:spacing w:after="60"/>
      </w:pPr>
      <w:r>
        <w:t>Generate recommendation with dose adjustments if needed</w:t>
      </w:r>
    </w:p>
    <w:p>
      <w:r>
        <w:rPr>
          <w:b/>
        </w:rPr>
        <w:t>Demo Query:</w:t>
      </w:r>
      <w:r>
        <w:t xml:space="preserve"> </w:t>
      </w:r>
      <w:r>
        <w:rPr>
          <w:i/>
        </w:rPr>
        <w:t>"Patient is CYP2D6 poor metabolizer, CYP2C19 normal metabolizer. Which SSRI should I start for generalized anxiety?"</w:t>
      </w:r>
    </w:p>
    <w:p>
      <w:r>
        <w:rPr>
          <w:b/>
        </w:rPr>
        <w:t>Expected Output:</w:t>
      </w:r>
      <w:r>
        <w:t xml:space="preserve"> </w:t>
      </w:r>
      <w:r>
        <w:rPr>
          <w:i/>
        </w:rPr>
        <w:t>"Avoid paroxetine and fluoxetine (primarily CYP2D6 metabolized -- toxicity risk in PM). Sertraline or escitalopram (primarily CYP2C19 metabolized) are preferred. Standard dosing appropriate given CYP2C19 NM status. Note: fluoxetine is also a strong CYP2D6 inhibitor, which would compound the poor metabolizer phenotype."</w:t>
      </w:r>
    </w:p>
    <w:p>
      <w:pPr>
        <w:pStyle w:val="Heading3"/>
      </w:pPr>
      <w:r>
        <w:t>8.5 Workflow 5: Statin Myopathy Risk Assessment</w:t>
      </w:r>
    </w:p>
    <w:p>
      <w:r>
        <w:rPr>
          <w:b/>
        </w:rPr>
        <w:t>Trigger:</w:t>
      </w:r>
      <w:r>
        <w:t xml:space="preserve"> Statin prescription initiated or patient reports muscle symptoms.</w:t>
      </w:r>
    </w:p>
    <w:p>
      <w:r>
        <w:rPr>
          <w:b/>
        </w:rPr>
        <w:t>Process:</w:t>
      </w:r>
    </w:p>
    <w:p>
      <w:pPr>
        <w:pStyle w:val="ListNumber"/>
        <w:spacing w:after="60"/>
      </w:pPr>
      <w:r>
        <w:t>Retrieve SLCO1B1 genotype (rs4149056, T&gt;C)</w:t>
      </w:r>
    </w:p>
    <w:p>
      <w:pPr>
        <w:pStyle w:val="ListNumber"/>
        <w:spacing w:after="60"/>
      </w:pPr>
      <w:r>
        <w:t>Assess statin-specific myopathy risk:</w:t>
      </w:r>
    </w:p>
    <w:p>
      <w:pPr>
        <w:pStyle w:val="ListBullet"/>
        <w:spacing w:after="60"/>
        <w:ind w:left="1440"/>
      </w:pPr>
      <w:r>
        <w:t xml:space="preserve">SLCO1B1 </w:t>
      </w:r>
      <w:r>
        <w:rPr>
          <w:i/>
        </w:rPr>
        <w:t>5/</w:t>
      </w:r>
      <w:r>
        <w:t xml:space="preserve">5 (CC): Simvastatin myopathy risk 18% (vs. 0.6% in </w:t>
      </w:r>
      <w:r>
        <w:rPr>
          <w:i/>
        </w:rPr>
        <w:t>1/</w:t>
      </w:r>
      <w:r>
        <w:t>1)</w:t>
      </w:r>
    </w:p>
    <w:p>
      <w:pPr>
        <w:pStyle w:val="ListBullet"/>
        <w:spacing w:after="60"/>
        <w:ind w:left="1440"/>
      </w:pPr>
      <w:r>
        <w:t xml:space="preserve">SLCO1B1 </w:t>
      </w:r>
      <w:r>
        <w:rPr>
          <w:i/>
        </w:rPr>
        <w:t>1/</w:t>
      </w:r>
      <w:r>
        <w:t>5 (TC): Simvastatin myopathy risk 3%</w:t>
      </w:r>
    </w:p>
    <w:p>
      <w:pPr>
        <w:pStyle w:val="ListNumber"/>
        <w:spacing w:after="60"/>
      </w:pPr>
      <w:r>
        <w:t>Cross-reference with concurrent medications affecting statin levels</w:t>
      </w:r>
    </w:p>
    <w:p>
      <w:pPr>
        <w:pStyle w:val="ListNumber"/>
        <w:spacing w:after="60"/>
      </w:pPr>
      <w:r>
        <w:t>Recommend statin selection and dosing:</w:t>
      </w:r>
    </w:p>
    <w:p>
      <w:pPr>
        <w:pStyle w:val="ListBullet"/>
        <w:spacing w:after="60"/>
        <w:ind w:left="1440"/>
      </w:pPr>
      <w:r>
        <w:t>High risk: Avoid simvastatin &gt;20 mg; consider pravastatin or rosuvastatin (not SLCO1B1 dependent)</w:t>
      </w:r>
    </w:p>
    <w:p>
      <w:pPr>
        <w:pStyle w:val="ListBullet"/>
        <w:spacing w:after="60"/>
        <w:ind w:left="1440"/>
      </w:pPr>
      <w:r>
        <w:t>Intermediate risk: Simvastatin ≤20 mg or alternative statin</w:t>
      </w:r>
    </w:p>
    <w:p>
      <w:pPr>
        <w:pStyle w:val="ListNumber"/>
        <w:spacing w:after="60"/>
      </w:pPr>
      <w:r>
        <w:t>If patient on existing statin with muscle symptoms, assess whether PGx explains the ADR</w:t>
      </w:r>
    </w:p>
    <w:p>
      <w:pPr>
        <w:pStyle w:val="Heading3"/>
      </w:pPr>
      <w:r>
        <w:t>8.6 Workflow 6: Chemotherapy Toxicity Prevention</w:t>
      </w:r>
    </w:p>
    <w:p>
      <w:r>
        <w:rPr>
          <w:b/>
        </w:rPr>
        <w:t>Trigger:</w:t>
      </w:r>
      <w:r>
        <w:t xml:space="preserve"> Fluoropyrimidine (5-FU, capecitabine) or thiopurine (azathioprine, 6-MP) initiation.</w:t>
      </w:r>
    </w:p>
    <w:p>
      <w:r>
        <w:rPr>
          <w:b/>
        </w:rPr>
        <w:t>Process:</w:t>
      </w:r>
    </w:p>
    <w:p>
      <w:pPr>
        <w:pStyle w:val="ListNumber"/>
        <w:spacing w:after="60"/>
      </w:pPr>
      <w:r>
        <w:rPr>
          <w:b/>
        </w:rPr>
        <w:t>Fluoropyrimidines (DPYD):</w:t>
      </w:r>
    </w:p>
    <w:p>
      <w:pPr>
        <w:pStyle w:val="ListBullet"/>
        <w:spacing w:after="60"/>
        <w:ind w:left="1440"/>
      </w:pPr>
      <w:r>
        <w:t xml:space="preserve">Retrieve DPYD genotype for 4 key variants: </w:t>
      </w:r>
      <w:r>
        <w:rPr>
          <w:i/>
        </w:rPr>
        <w:t xml:space="preserve">2A (splice), </w:t>
      </w:r>
      <w:r>
        <w:t>13 (missense), c.2846A&gt;T, HapB3</w:t>
      </w:r>
    </w:p>
    <w:p>
      <w:pPr>
        <w:pStyle w:val="ListBullet"/>
        <w:spacing w:after="60"/>
        <w:ind w:left="1440"/>
      </w:pPr>
      <w:r>
        <w:t>Activity score calculation: each variant assigned 0 (no function) or 0.5 (decreased function)</w:t>
      </w:r>
    </w:p>
    <w:p>
      <w:pPr>
        <w:pStyle w:val="ListBullet"/>
        <w:spacing w:after="60"/>
        <w:ind w:left="1440"/>
      </w:pPr>
      <w:r>
        <w:t>Dose recommendation:</w:t>
      </w:r>
    </w:p>
    <w:p>
      <w:pPr>
        <w:pStyle w:val="ListBullet"/>
        <w:spacing w:after="60"/>
        <w:ind w:left="2160"/>
      </w:pPr>
      <w:r>
        <w:t>Activity score 2.0 (NM): Full dose</w:t>
      </w:r>
    </w:p>
    <w:p>
      <w:pPr>
        <w:pStyle w:val="ListBullet"/>
        <w:spacing w:after="60"/>
        <w:ind w:left="2160"/>
      </w:pPr>
      <w:r>
        <w:t>Activity score 1.5 (IM): Reduce dose 50%</w:t>
      </w:r>
    </w:p>
    <w:p>
      <w:pPr>
        <w:pStyle w:val="ListBullet"/>
        <w:spacing w:after="60"/>
        <w:ind w:left="2160"/>
      </w:pPr>
      <w:r>
        <w:t>Activity score 1.0 (IM): Reduce dose 50%, consider therapeutic drug monitoring</w:t>
      </w:r>
    </w:p>
    <w:p>
      <w:pPr>
        <w:pStyle w:val="ListBullet"/>
        <w:spacing w:after="60"/>
        <w:ind w:left="2160"/>
      </w:pPr>
      <w:r>
        <w:t>Activity score 0.5: Strongly reduce dose or avoid</w:t>
      </w:r>
    </w:p>
    <w:p>
      <w:pPr>
        <w:pStyle w:val="ListBullet"/>
        <w:spacing w:after="60"/>
        <w:ind w:left="2160"/>
      </w:pPr>
      <w:r>
        <w:t>Activity score 0 (PM): AVOID fluoropyrimidines -- alternative regimen required</w:t>
      </w:r>
    </w:p>
    <w:p>
      <w:pPr>
        <w:pStyle w:val="ListNumber"/>
        <w:spacing w:after="60"/>
      </w:pPr>
      <w:r>
        <w:rPr>
          <w:b/>
        </w:rPr>
        <w:t>Thiopurines (TPMT + NUDT15):</w:t>
      </w:r>
    </w:p>
    <w:p>
      <w:pPr>
        <w:pStyle w:val="ListBullet"/>
        <w:spacing w:after="60"/>
        <w:ind w:left="1440"/>
      </w:pPr>
      <w:r>
        <w:t>Retrieve TPMT and NUDT15 diplotypes</w:t>
      </w:r>
    </w:p>
    <w:p>
      <w:pPr>
        <w:pStyle w:val="ListBullet"/>
        <w:spacing w:after="60"/>
        <w:ind w:left="1440"/>
      </w:pPr>
      <w:r>
        <w:t>Combined phenotype assessment (both genes contribute independently)</w:t>
      </w:r>
    </w:p>
    <w:p>
      <w:pPr>
        <w:pStyle w:val="ListBullet"/>
        <w:spacing w:after="60"/>
        <w:ind w:left="1440"/>
      </w:pPr>
      <w:r>
        <w:t>Dose recommendation per CPIC:</w:t>
      </w:r>
    </w:p>
    <w:p>
      <w:pPr>
        <w:pStyle w:val="ListBullet"/>
        <w:spacing w:after="60"/>
        <w:ind w:left="2160"/>
      </w:pPr>
      <w:r>
        <w:t>Both NM: Full dose</w:t>
      </w:r>
    </w:p>
    <w:p>
      <w:pPr>
        <w:pStyle w:val="ListBullet"/>
        <w:spacing w:after="60"/>
        <w:ind w:left="2160"/>
      </w:pPr>
      <w:r>
        <w:t>TPMT IM + NUDT15 NM: Reduce dose 30-50%</w:t>
      </w:r>
    </w:p>
    <w:p>
      <w:pPr>
        <w:pStyle w:val="ListBullet"/>
        <w:spacing w:after="60"/>
        <w:ind w:left="2160"/>
      </w:pPr>
      <w:r>
        <w:t>TPMT PM or NUDT15 PM: Reduce dose 90% or avoid</w:t>
      </w:r>
    </w:p>
    <w:p>
      <w:pPr>
        <w:pStyle w:val="Heading3"/>
      </w:pPr>
      <w:r>
        <w:t>8.7 Workflow 7: HLA-Mediated Hypersensitivity Screening</w:t>
      </w:r>
    </w:p>
    <w:p>
      <w:r>
        <w:rPr>
          <w:b/>
        </w:rPr>
        <w:t>Trigger:</w:t>
      </w:r>
      <w:r>
        <w:t xml:space="preserve"> Prescription of a drug with known HLA-mediated hypersensitivity risk.</w:t>
      </w:r>
    </w:p>
    <w:p>
      <w:r>
        <w:rPr>
          <w:b/>
        </w:rPr>
        <w:t>Process:</w:t>
      </w:r>
    </w:p>
    <w:p>
      <w:pPr>
        <w:pStyle w:val="ListNumber"/>
        <w:spacing w:after="60"/>
      </w:pPr>
      <w:r>
        <w:t>Drug triggers HLA screening alert</w:t>
      </w:r>
    </w:p>
    <w:p>
      <w:pPr>
        <w:pStyle w:val="ListNumber"/>
        <w:spacing w:after="60"/>
      </w:pPr>
      <w:r>
        <w:t>Retrieve patient's HLA typing from genomic data</w:t>
      </w:r>
    </w:p>
    <w:p>
      <w:pPr>
        <w:pStyle w:val="ListNumber"/>
        <w:spacing w:after="60"/>
      </w:pPr>
      <w:r>
        <w:t>Cross-reference against HLA-drug hypersensitivity database</w:t>
      </w:r>
    </w:p>
    <w:p>
      <w:pPr>
        <w:pStyle w:val="ListNumber"/>
        <w:spacing w:after="60"/>
      </w:pPr>
      <w:r>
        <w:t>Generate risk assessment:</w:t>
      </w:r>
    </w:p>
    <w:p>
      <w:pPr>
        <w:pStyle w:val="ListBullet"/>
        <w:spacing w:after="60"/>
        <w:ind w:left="1440"/>
      </w:pPr>
      <w:r>
        <w:rPr>
          <w:b/>
        </w:rPr>
        <w:t>CONTRAINDICATED</w:t>
      </w:r>
      <w:r>
        <w:t xml:space="preserve"> if positive for mandatory-screening alleles (HLA-B</w:t>
      </w:r>
      <w:r>
        <w:t>*</w:t>
      </w:r>
      <w:r>
        <w:t>57:01/abacavir)</w:t>
      </w:r>
    </w:p>
    <w:p>
      <w:pPr>
        <w:pStyle w:val="ListBullet"/>
        <w:spacing w:after="60"/>
        <w:ind w:left="1440"/>
      </w:pPr>
      <w:r>
        <w:rPr>
          <w:b/>
        </w:rPr>
        <w:t>HIGH RISK</w:t>
      </w:r>
      <w:r>
        <w:t xml:space="preserve"> with alternative recommendation if positive for strongly associated alleles</w:t>
      </w:r>
    </w:p>
    <w:p>
      <w:pPr>
        <w:pStyle w:val="ListBullet"/>
        <w:spacing w:after="60"/>
        <w:ind w:left="1440"/>
      </w:pPr>
      <w:r>
        <w:rPr>
          <w:b/>
        </w:rPr>
        <w:t>LOW RISK</w:t>
      </w:r>
      <w:r>
        <w:t xml:space="preserve"> if negative for relevant alleles</w:t>
      </w:r>
    </w:p>
    <w:p>
      <w:pPr>
        <w:pStyle w:val="ListNumber"/>
        <w:spacing w:after="60"/>
      </w:pPr>
      <w:r>
        <w:t>Population-specific frequency context (e.g., HLA-B</w:t>
      </w:r>
      <w:r>
        <w:t>*</w:t>
      </w:r>
      <w:r>
        <w:t>15:02 is rare in Europeans but common in Southeast Asians -- screening is ethnicity-guided for carbamazepine)</w:t>
      </w:r>
    </w:p>
    <w:p>
      <w:pPr>
        <w:pStyle w:val="Heading3"/>
      </w:pPr>
      <w:r>
        <w:t>8.8 Workflow 8: Polypharmacy Drug-Drug-Gene Interaction Resolution</w:t>
      </w:r>
    </w:p>
    <w:p>
      <w:r>
        <w:rPr>
          <w:b/>
        </w:rPr>
        <w:t>Trigger:</w:t>
      </w:r>
      <w:r>
        <w:t xml:space="preserve"> Patient on 5+ medications, new drug being added, or comprehensive medication review.</w:t>
      </w:r>
    </w:p>
    <w:p>
      <w:r>
        <w:rPr>
          <w:b/>
        </w:rPr>
        <w:t>Process:</w:t>
      </w:r>
    </w:p>
    <w:p>
      <w:pPr>
        <w:pStyle w:val="ListNumber"/>
        <w:spacing w:after="60"/>
      </w:pPr>
      <w:r>
        <w:t>Retrieve patient's complete PGx profile (all 25+ genes)</w:t>
      </w:r>
    </w:p>
    <w:p>
      <w:pPr>
        <w:pStyle w:val="ListNumber"/>
        <w:spacing w:after="60"/>
      </w:pPr>
      <w:r>
        <w:t>Cross-reference entire medication list against PGx profile</w:t>
      </w:r>
    </w:p>
    <w:p>
      <w:pPr>
        <w:pStyle w:val="ListNumber"/>
        <w:spacing w:after="60"/>
      </w:pPr>
      <w:r>
        <w:t>Identify drug-drug-gene interactions:</w:t>
      </w:r>
    </w:p>
    <w:p>
      <w:pPr>
        <w:pStyle w:val="ListBullet"/>
        <w:spacing w:after="60"/>
        <w:ind w:left="1440"/>
      </w:pPr>
      <w:r>
        <w:t>Drug A is a CYP2D6 inhibitor + Drug B is a CYP2D6 substrate + Patient is CYP2D6 IM → effective PM phenotype → Drug B toxicity risk</w:t>
      </w:r>
    </w:p>
    <w:p>
      <w:pPr>
        <w:pStyle w:val="ListBullet"/>
        <w:spacing w:after="60"/>
        <w:ind w:left="1440"/>
      </w:pPr>
      <w:r>
        <w:t>Drug C is a CYP3A4 inducer + Drug D is a CYP3A4 substrate → Drug D subtherapeutic levels</w:t>
      </w:r>
    </w:p>
    <w:p>
      <w:pPr>
        <w:pStyle w:val="ListNumber"/>
        <w:spacing w:after="60"/>
      </w:pPr>
      <w:r>
        <w:t>Model phenoconversion cascade effects</w:t>
      </w:r>
    </w:p>
    <w:p>
      <w:pPr>
        <w:pStyle w:val="ListNumber"/>
        <w:spacing w:after="60"/>
      </w:pPr>
      <w:r>
        <w:t>Prioritize interactions by clinical severity</w:t>
      </w:r>
    </w:p>
    <w:p>
      <w:pPr>
        <w:pStyle w:val="ListNumber"/>
        <w:spacing w:after="60"/>
      </w:pPr>
      <w:r>
        <w:t>Generate comprehensive medication safety report with actionable recommendations</w:t>
      </w:r>
    </w:p>
    <w:p>
      <w:r>
        <w:rPr>
          <w:b/>
        </w:rPr>
        <w:t>Demo Query:</w:t>
      </w:r>
      <w:r>
        <w:t xml:space="preserve"> </w:t>
      </w:r>
      <w:r>
        <w:rPr>
          <w:i/>
        </w:rPr>
        <w:t>"This patient is on 12 medications. Review the complete medication list against their PGx profile and identify all drug-drug-gene interactions."</w:t>
      </w:r>
    </w:p>
    <w:p>
      <w:pPr>
        <w:spacing w:before="160" w:after="160"/>
        <w:jc w:val="center"/>
      </w:pPr>
      <w:r>
        <w:rPr>
          <w:color w:val="76B900"/>
          <w:sz w:val="16"/>
        </w:rPr>
        <w:t>━━━━━━━━━━━━━━━━━━━━━━━━━━━━━━━━━━━━━━━━━━━━━━━━━━━━━━━━━━━━</w:t>
      </w:r>
    </w:p>
    <w:p>
      <w:r>
        <w:br w:type="page"/>
      </w:r>
    </w:p>
    <w:p>
      <w:pPr>
        <w:pStyle w:val="Heading2"/>
      </w:pPr>
      <w:r>
        <w:t>9. Cross-Modal Integration and Genomic Correlation</w:t>
      </w:r>
    </w:p>
    <w:p>
      <w:pPr>
        <w:pStyle w:val="Heading3"/>
      </w:pPr>
      <w:r>
        <w:t>9.1 VCF-to-Clinical Integration</w:t>
      </w:r>
    </w:p>
    <w:p>
      <w:r>
        <w:t>The Pharmacogenomics Agent uniquely bridges the gap between genomic data and clinical action. Unlike other agents that operate primarily on text-based clinical knowledge, this agent directly processes structured genomic data (VCF format) and translates it to structured clinical recommendations.</w:t>
      </w:r>
    </w:p>
    <w:p>
      <w:r>
        <w:t>Integration points with other HCLS AI Factory components:</w:t>
      </w:r>
    </w:p>
    <w:p>
      <w:pPr>
        <w:pStyle w:val="ListBullet"/>
        <w:spacing w:after="60"/>
      </w:pPr>
      <w:r>
        <w:rPr>
          <w:b/>
        </w:rPr>
        <w:t>Genomics Pipeline → PGx Agent:</w:t>
      </w:r>
      <w:r>
        <w:t xml:space="preserve"> VCF output feeds directly into the PGx variant extraction module. Every genome processed through the pipeline automatically generates a PGx profile.</w:t>
      </w:r>
    </w:p>
    <w:p>
      <w:pPr>
        <w:pStyle w:val="ListBullet"/>
        <w:spacing w:after="60"/>
      </w:pPr>
      <w:r>
        <w:rPr>
          <w:b/>
        </w:rPr>
        <w:t>PGx Agent → Biomarker Agent:</w:t>
      </w:r>
      <w:r>
        <w:t xml:space="preserve"> PGx findings inform biomarker interpretation (e.g., a CYP2D6 PM patient on tamoxifen will have subtherapeutic endoxifen levels, affecting breast cancer biomarker interpretation).</w:t>
      </w:r>
    </w:p>
    <w:p>
      <w:pPr>
        <w:pStyle w:val="ListBullet"/>
        <w:spacing w:after="60"/>
      </w:pPr>
      <w:r>
        <w:rPr>
          <w:b/>
        </w:rPr>
        <w:t>PGx Agent → Oncology Agent:</w:t>
      </w:r>
      <w:r>
        <w:t xml:space="preserve"> Chemotherapy drug selection informed by DPYD, TPMT, NUDT15, UGT1A1 status.</w:t>
      </w:r>
    </w:p>
    <w:p>
      <w:pPr>
        <w:pStyle w:val="ListBullet"/>
        <w:spacing w:after="60"/>
      </w:pPr>
      <w:r>
        <w:rPr>
          <w:b/>
        </w:rPr>
        <w:t>PGx Agent → Autoimmune Agent:</w:t>
      </w:r>
      <w:r>
        <w:t xml:space="preserve"> Biologic therapy metabolism (CYP3A4/5 for some biologics), thiopurine dosing for autoimmune conditions (azathioprine for lupus, IBD).</w:t>
      </w:r>
    </w:p>
    <w:p>
      <w:pPr>
        <w:pStyle w:val="ListBullet"/>
        <w:spacing w:after="60"/>
      </w:pPr>
      <w:r>
        <w:rPr>
          <w:b/>
        </w:rPr>
        <w:t>PGx Agent → Cardiology Agent:</w:t>
      </w:r>
      <w:r>
        <w:t xml:space="preserve"> Warfarin dosing, clopidogrel selection, statin safety.</w:t>
      </w:r>
    </w:p>
    <w:p>
      <w:pPr>
        <w:pStyle w:val="Heading3"/>
      </w:pPr>
      <w:r>
        <w:t>9.2 Temporal Considerations</w:t>
      </w:r>
    </w:p>
    <w:p>
      <w:r>
        <w:t>Unlike most pharmacogenomic data (which is static -- genotype doesn't change), the PGx agent must handle temporal dynamics:</w:t>
      </w:r>
    </w:p>
    <w:p>
      <w:pPr>
        <w:pStyle w:val="ListNumber"/>
        <w:spacing w:after="60"/>
      </w:pPr>
      <w:r>
        <w:rPr>
          <w:b/>
        </w:rPr>
        <w:t>Phenoconversion is temporal:</w:t>
      </w:r>
      <w:r>
        <w:t xml:space="preserve"> A patient's effective metabolizer status changes when CYP inhibitors/inducers are started or stopped.</w:t>
      </w:r>
    </w:p>
    <w:p>
      <w:pPr>
        <w:pStyle w:val="ListNumber"/>
        <w:spacing w:after="60"/>
      </w:pPr>
      <w:r>
        <w:rPr>
          <w:b/>
        </w:rPr>
        <w:t>Guidelines evolve:</w:t>
      </w:r>
      <w:r>
        <w:t xml:space="preserve"> CPIC updates guidelines every 2-3 years. New drug-gene associations are published continuously.</w:t>
      </w:r>
    </w:p>
    <w:p>
      <w:pPr>
        <w:pStyle w:val="ListNumber"/>
        <w:spacing w:after="60"/>
      </w:pPr>
      <w:r>
        <w:rPr>
          <w:b/>
        </w:rPr>
        <w:t>Medication lists change:</w:t>
      </w:r>
      <w:r>
        <w:t xml:space="preserve"> The same PGx profile produces different recommendations as drugs are added or removed.</w:t>
      </w:r>
    </w:p>
    <w:p>
      <w:pPr>
        <w:pStyle w:val="ListNumber"/>
        <w:spacing w:after="60"/>
      </w:pPr>
      <w:r>
        <w:rPr>
          <w:b/>
        </w:rPr>
        <w:t>Age-related changes:</w:t>
      </w:r>
      <w:r>
        <w:t xml:space="preserve"> Some drug metabolism changes with age (reduced CYP activity in elderly), modifying PGx-based dose recommendations.</w:t>
      </w:r>
    </w:p>
    <w:p>
      <w:pPr>
        <w:spacing w:before="160" w:after="160"/>
        <w:jc w:val="center"/>
      </w:pPr>
      <w:r>
        <w:rPr>
          <w:color w:val="76B900"/>
          <w:sz w:val="16"/>
        </w:rPr>
        <w:t>━━━━━━━━━━━━━━━━━━━━━━━━━━━━━━━━━━━━━━━━━━━━━━━━━━━━━━━━━━━━</w:t>
      </w:r>
    </w:p>
    <w:p>
      <w:r>
        <w:br w:type="page"/>
      </w:r>
    </w:p>
    <w:p>
      <w:pPr>
        <w:pStyle w:val="Heading2"/>
      </w:pPr>
      <w:r>
        <w:t>10. NIM Integration Strategy</w:t>
      </w:r>
    </w:p>
    <w:p>
      <w:pPr>
        <w:pStyle w:val="Heading3"/>
      </w:pPr>
      <w:r>
        <w:t>10.1 On-Device Inference</w:t>
      </w:r>
    </w:p>
    <w:p>
      <w:r>
        <w:t>The agent leverages NVIDIA NIM microservices for computationally intensive on-device tasks:</w:t>
      </w:r>
    </w:p>
    <w:p>
      <w:pPr>
        <w:pStyle w:val="ListBullet"/>
        <w:spacing w:after="60"/>
      </w:pPr>
      <w:r>
        <w:rPr>
          <w:b/>
        </w:rPr>
        <w:t>BGE-small-en-v1.5 NIM:</w:t>
      </w:r>
      <w:r>
        <w:t xml:space="preserve"> Text embedding for all collection searches (384-dim, optimized for NVIDIA GPU)</w:t>
      </w:r>
    </w:p>
    <w:p>
      <w:pPr>
        <w:pStyle w:val="ListBullet"/>
        <w:spacing w:after="60"/>
      </w:pPr>
      <w:r>
        <w:rPr>
          <w:b/>
        </w:rPr>
        <w:t>Re-ranking NIM:</w:t>
      </w:r>
      <w:r>
        <w:t xml:space="preserve"> Cross-encoder re-ranking of search results for improved retrieval accuracy</w:t>
      </w:r>
    </w:p>
    <w:p>
      <w:pPr>
        <w:pStyle w:val="ListBullet"/>
        <w:spacing w:after="60"/>
      </w:pPr>
      <w:r>
        <w:rPr>
          <w:b/>
        </w:rPr>
        <w:t>Genomics NIMs:</w:t>
      </w:r>
      <w:r>
        <w:t xml:space="preserve"> Parabricks-based variant calling provides input VCF data</w:t>
      </w:r>
    </w:p>
    <w:p>
      <w:pPr>
        <w:pStyle w:val="Heading3"/>
      </w:pPr>
      <w:r>
        <w:t>10.2 Cloud LLM Integration</w:t>
      </w:r>
    </w:p>
    <w:p>
      <w:r>
        <w:t>Claude Sonnet 4.6 handles evidence synthesis and natural language response generation:</w:t>
      </w:r>
    </w:p>
    <w:p>
      <w:pPr>
        <w:pStyle w:val="ListBullet"/>
        <w:spacing w:after="60"/>
      </w:pPr>
      <w:r>
        <w:t>System prompt includes PGx-specific clinical reasoning framework</w:t>
      </w:r>
    </w:p>
    <w:p>
      <w:pPr>
        <w:pStyle w:val="ListBullet"/>
        <w:spacing w:after="60"/>
      </w:pPr>
      <w:r>
        <w:t>Structured output format for drug recommendations (gene, phenotype, drug, action, evidence level)</w:t>
      </w:r>
    </w:p>
    <w:p>
      <w:pPr>
        <w:pStyle w:val="ListBullet"/>
        <w:spacing w:after="60"/>
      </w:pPr>
      <w:r>
        <w:t>Citation grounding to CPIC/DPWG guideline versions</w:t>
      </w:r>
    </w:p>
    <w:p>
      <w:pPr>
        <w:pStyle w:val="ListBullet"/>
        <w:spacing w:after="60"/>
      </w:pPr>
      <w:r>
        <w:t>Uncertainty quantification for novel drug-gene combinations</w:t>
      </w:r>
    </w:p>
    <w:p>
      <w:r>
        <w:rPr>
          <w:b/>
        </w:rPr>
        <w:t>Privacy architecture:</w:t>
      </w:r>
      <w:r>
        <w:t xml:space="preserve"> Patient genomic data and PGx profiles remain on the local DGX Spark. Only anonymized query text and retrieved evidence snippets are sent to the cloud LLM. No patient identifiers, genotypes, or medication lists leave the local device.</w:t>
      </w:r>
    </w:p>
    <w:p>
      <w:pPr>
        <w:spacing w:before="160" w:after="160"/>
        <w:jc w:val="center"/>
      </w:pPr>
      <w:r>
        <w:rPr>
          <w:color w:val="76B900"/>
          <w:sz w:val="16"/>
        </w:rPr>
        <w:t>━━━━━━━━━━━━━━━━━━━━━━━━━━━━━━━━━━━━━━━━━━━━━━━━━━━━━━━━━━━━</w:t>
      </w:r>
    </w:p>
    <w:p>
      <w:r>
        <w:br w:type="page"/>
      </w:r>
    </w:p>
    <w:p>
      <w:pPr>
        <w:pStyle w:val="Heading2"/>
      </w:pPr>
      <w:r>
        <w:t>11. Knowledge Graph Design</w:t>
      </w:r>
    </w:p>
    <w:p>
      <w:pPr>
        <w:pStyle w:val="Heading3"/>
      </w:pPr>
      <w:r>
        <w:t>11.1 Core Entity Dictionaries</w:t>
      </w:r>
    </w:p>
    <w:p>
      <w:r>
        <w:t>The PGx knowledge graph contains 8 core entity types:</w:t>
      </w:r>
    </w:p>
    <w:p>
      <w:r>
        <w:rPr>
          <w:b/>
        </w:rPr>
        <w:t>1. PHARMACOGENES (25+ entries)</w:t>
      </w:r>
    </w:p>
    <w:p>
      <w:pPr>
        <w:spacing w:before="120" w:after="120"/>
        <w:ind w:left="567"/>
      </w:pPr>
      <w:r>
        <w:rPr>
          <w:rFonts w:ascii="Consolas" w:hAnsi="Consolas"/>
          <w:color w:val="333333"/>
          <w:sz w:val="17"/>
        </w:rPr>
        <w:t>PHARMACOGENES = {</w:t>
        <w:br/>
        <w:t xml:space="preserve">    "CYP2D6": {</w:t>
        <w:br/>
        <w:t xml:space="preserve">        "full_name": "Cytochrome P450 2D6",</w:t>
        <w:br/>
        <w:t xml:space="preserve">        "chromosome": "22q13.2",</w:t>
        <w:br/>
        <w:t xml:space="preserve">        "function": "Phase I oxidative metabolism",</w:t>
        <w:br/>
        <w:t xml:space="preserve">        "substrates_count": 80,</w:t>
        <w:br/>
        <w:t xml:space="preserve">        "percent_drugs_metabolized": 25,</w:t>
        <w:br/>
        <w:t xml:space="preserve">        "star_alleles_defined": 140,</w:t>
        <w:br/>
        <w:t xml:space="preserve">        "key_variants": ["*1", "*2", "*3", "*4", "*5", "*6", "*9", "*10", "*17", "*41"],</w:t>
        <w:br/>
        <w:t xml:space="preserve">        "structural_variation": True,</w:t>
        <w:br/>
        <w:t xml:space="preserve">        "complexity_level": "Very High",</w:t>
        <w:br/>
        <w:t xml:space="preserve">        "cpic_guidelines": ["codeine", "tramadol", "tamoxifen", "ondansetron", "SSRIs", "TCAs"],</w:t>
        <w:br/>
        <w:t xml:space="preserve">    },</w:t>
        <w:br/>
        <w:t xml:space="preserve">    "CYP2C19": { ... },</w:t>
        <w:br/>
        <w:t xml:space="preserve">    "CYP2C9": { ... },</w:t>
        <w:br/>
        <w:t xml:space="preserve">    # ... 22 more genes</w:t>
        <w:br/>
        <w:t>}</w:t>
      </w:r>
    </w:p>
    <w:p>
      <w:r>
        <w:rPr>
          <w:b/>
        </w:rPr>
        <w:t>2. METABOLIZER_PHENOTYPES</w:t>
      </w:r>
    </w:p>
    <w:p>
      <w:pPr>
        <w:spacing w:before="120" w:after="120"/>
        <w:ind w:left="567"/>
      </w:pPr>
      <w:r>
        <w:rPr>
          <w:rFonts w:ascii="Consolas" w:hAnsi="Consolas"/>
          <w:color w:val="333333"/>
          <w:sz w:val="17"/>
        </w:rPr>
        <w:t>METABOLIZER_PHENOTYPES = {</w:t>
        <w:br/>
        <w:t xml:space="preserve">    "Ultra-rapid Metabolizer": {</w:t>
        <w:br/>
        <w:t xml:space="preserve">        "abbreviation": "UM",</w:t>
        <w:br/>
        <w:t xml:space="preserve">        "clinical_meaning": "Metabolizes drug faster than normal. May need higher dose or different drug.",</w:t>
        <w:br/>
        <w:t xml:space="preserve">        "risk": "Subtherapeutic drug levels, treatment failure (prodrugs: toxicity from rapid activation)",</w:t>
        <w:br/>
        <w:t xml:space="preserve">    },</w:t>
        <w:br/>
        <w:t xml:space="preserve">    "Normal Metabolizer": {</w:t>
        <w:br/>
        <w:t xml:space="preserve">        "abbreviation": "NM",</w:t>
        <w:br/>
        <w:t xml:space="preserve">        "clinical_meaning": "Standard drug metabolism. Standard dosing appropriate.",</w:t>
        <w:br/>
        <w:t xml:space="preserve">        "risk": "None -- standard of care",</w:t>
        <w:br/>
        <w:t xml:space="preserve">    },</w:t>
        <w:br/>
        <w:t xml:space="preserve">    "Intermediate Metabolizer": {</w:t>
        <w:br/>
        <w:t xml:space="preserve">        "abbreviation": "IM",</w:t>
        <w:br/>
        <w:t xml:space="preserve">        "clinical_meaning": "Reduced drug metabolism. May need dose reduction.",</w:t>
        <w:br/>
        <w:t xml:space="preserve">        "risk": "Elevated drug levels, increased ADR risk",</w:t>
        <w:br/>
        <w:t xml:space="preserve">    },</w:t>
        <w:br/>
        <w:t xml:space="preserve">    "Poor Metabolizer": {</w:t>
        <w:br/>
        <w:t xml:space="preserve">        "abbreviation": "PM",</w:t>
        <w:br/>
        <w:t xml:space="preserve">        "clinical_meaning": "Severely reduced or absent metabolism. Drug accumulates or prodrug fails to activate.",</w:t>
        <w:br/>
        <w:t xml:space="preserve">        "risk": "Toxicity (active drugs) or treatment failure (prodrugs)",</w:t>
        <w:br/>
        <w:t xml:space="preserve">    },</w:t>
        <w:br/>
        <w:t>}</w:t>
      </w:r>
    </w:p>
    <w:p>
      <w:r>
        <w:rPr>
          <w:b/>
        </w:rPr>
        <w:t>3. DRUG_CATEGORIES (12 therapeutic areas)</w:t>
      </w:r>
    </w:p>
    <w:p>
      <w:pPr>
        <w:spacing w:before="120" w:after="120"/>
        <w:ind w:left="567"/>
      </w:pPr>
      <w:r>
        <w:rPr>
          <w:rFonts w:ascii="Consolas" w:hAnsi="Consolas"/>
          <w:color w:val="333333"/>
          <w:sz w:val="17"/>
        </w:rPr>
        <w:t>DRUG_CATEGORIES = {</w:t>
        <w:br/>
        <w:t xml:space="preserve">    "opioids": ["codeine", "tramadol", "hydrocodone", "oxycodone", "morphine"],</w:t>
        <w:br/>
        <w:t xml:space="preserve">    "anticoagulants": ["warfarin", "clopidogrel", "prasugrel", "ticagrelor"],</w:t>
        <w:br/>
        <w:t xml:space="preserve">    "antidepressants": ["fluoxetine", "paroxetine", "sertraline", "citalopram", "escitalopram",</w:t>
        <w:br/>
        <w:t xml:space="preserve">                        "amitriptyline", "nortriptyline", "imipramine", "venlafaxine", "duloxetine"],</w:t>
        <w:br/>
        <w:t xml:space="preserve">    "antipsychotics": ["aripiprazole", "haloperidol", "risperidone", "clozapine"],</w:t>
        <w:br/>
        <w:t xml:space="preserve">    "statins": ["simvastatin", "atorvastatin", "rosuvastatin", "pravastatin", "lovastatin"],</w:t>
        <w:br/>
        <w:t xml:space="preserve">    "chemotherapy": ["5-fluorouracil", "capecitabine", "irinotecan", "tamoxifen",</w:t>
        <w:br/>
        <w:t xml:space="preserve">                     "azathioprine", "6-mercaptopurine", "thioguanine", "cisplatin"],</w:t>
        <w:br/>
        <w:t xml:space="preserve">    "anticonvulsants": ["carbamazepine", "oxcarbazepine", "phenytoin", "lamotrigine", "valproate"],</w:t>
        <w:br/>
        <w:t xml:space="preserve">    "antivirals": ["abacavir", "efavirenz", "atazanavir"],</w:t>
        <w:br/>
        <w:t xml:space="preserve">    "immunosuppressants": ["tacrolimus", "cyclosporine", "mycophenolate", "azathioprine"],</w:t>
        <w:br/>
        <w:t xml:space="preserve">    "cardiovascular": ["metoprolol", "propranolol", "verapamil", "amiodarone"],</w:t>
        <w:br/>
        <w:t xml:space="preserve">    "proton_pump_inhibitors": ["omeprazole", "pantoprazole", "lansoprazole"],</w:t>
        <w:br/>
        <w:t xml:space="preserve">    "anti_gout": ["allopurinol", "febuxostat"],</w:t>
        <w:br/>
        <w:t>}</w:t>
      </w:r>
    </w:p>
    <w:p>
      <w:r>
        <w:rPr>
          <w:b/>
        </w:rPr>
        <w:t>4. CYP_INHIBITORS_INDUCERS</w:t>
      </w:r>
    </w:p>
    <w:p>
      <w:pPr>
        <w:spacing w:before="120" w:after="120"/>
        <w:ind w:left="567"/>
      </w:pPr>
      <w:r>
        <w:rPr>
          <w:rFonts w:ascii="Consolas" w:hAnsi="Consolas"/>
          <w:color w:val="333333"/>
          <w:sz w:val="17"/>
        </w:rPr>
        <w:t>CYP_INHIBITORS = {</w:t>
        <w:br/>
        <w:t xml:space="preserve">    "CYP2D6": {</w:t>
        <w:br/>
        <w:t xml:space="preserve">        "strong": ["fluoxetine", "paroxetine", "bupropion", "quinidine", "terbinafine"],</w:t>
        <w:br/>
        <w:t xml:space="preserve">        "moderate": ["duloxetine", "sertraline", "diphenhydramine", "abiraterone"],</w:t>
        <w:br/>
        <w:t xml:space="preserve">        "weak": ["citalopram", "escitalopram", "amiodarone"],</w:t>
        <w:br/>
        <w:t xml:space="preserve">    },</w:t>
        <w:br/>
        <w:t xml:space="preserve">    "CYP3A4": {</w:t>
        <w:br/>
        <w:t xml:space="preserve">        "strong": ["ketoconazole", "itraconazole", "clarithromycin", "ritonavir", "cobicistat"],</w:t>
        <w:br/>
        <w:t xml:space="preserve">        "moderate": ["fluconazole", "erythromycin", "diltiazem", "verapamil", "grapefruit"],</w:t>
        <w:br/>
        <w:t xml:space="preserve">        "weak": ["cimetidine"],</w:t>
        <w:br/>
        <w:t xml:space="preserve">    },</w:t>
        <w:br/>
        <w:t xml:space="preserve">    "CYP2C19": {</w:t>
        <w:br/>
        <w:t xml:space="preserve">        "strong": ["fluoxetine", "fluvoxamine", "ticlopidine"],</w:t>
        <w:br/>
        <w:t xml:space="preserve">        "moderate": ["omeprazole", "esomeprazole", "voriconazole"],</w:t>
        <w:br/>
        <w:t xml:space="preserve">        "weak": ["cimetidine"],</w:t>
        <w:br/>
        <w:t xml:space="preserve">    },</w:t>
        <w:br/>
        <w:t xml:space="preserve">    "CYP1A2": {</w:t>
        <w:br/>
        <w:t xml:space="preserve">        "strong": ["fluvoxamine", "ciprofloxacin", "enoxacin"],</w:t>
        <w:br/>
        <w:t xml:space="preserve">        "moderate": ["oral contraceptives", "mexiletine"],</w:t>
        <w:br/>
        <w:t xml:space="preserve">    },</w:t>
        <w:br/>
        <w:t>}</w:t>
        <w:br/>
        <w:br/>
        <w:t>CYP_INDUCERS = {</w:t>
        <w:br/>
        <w:t xml:space="preserve">    "CYP3A4": {</w:t>
        <w:br/>
        <w:t xml:space="preserve">        "strong": ["rifampin", "carbamazepine", "phenytoin", "St. John's wort", "phenobarbital"],</w:t>
        <w:br/>
        <w:t xml:space="preserve">        "moderate": ["efavirenz", "bosentan", "modafinil"],</w:t>
        <w:br/>
        <w:t xml:space="preserve">    },</w:t>
        <w:br/>
        <w:t xml:space="preserve">    "CYP1A2": {</w:t>
        <w:br/>
        <w:t xml:space="preserve">        "strong": ["smoking (tobacco)", "charcoal-grilled meats"],</w:t>
        <w:br/>
        <w:t xml:space="preserve">        "moderate": ["omeprazole (high-dose)"],</w:t>
        <w:br/>
        <w:t xml:space="preserve">    },</w:t>
        <w:br/>
        <w:t xml:space="preserve">    "CYP2C19": {</w:t>
        <w:br/>
        <w:t xml:space="preserve">        "strong": ["rifampin"],</w:t>
        <w:br/>
        <w:t xml:space="preserve">        "moderate": ["carbamazepine", "efavirenz"],</w:t>
        <w:br/>
        <w:t xml:space="preserve">    },</w:t>
        <w:br/>
        <w:t>}</w:t>
      </w:r>
    </w:p>
    <w:p>
      <w:r>
        <w:rPr>
          <w:b/>
        </w:rPr>
        <w:t>5-8.</w:t>
      </w:r>
      <w:r>
        <w:t xml:space="preserve"> Additional dictionaries for POPULATION_ALLELE_FREQUENCIES, DRUG_ALTERNATIVE_MAPS, DOSING_PARAMETERS, and EVIDENCE_GRADING_CRITERIA follow similar structured patterns.</w:t>
      </w:r>
    </w:p>
    <w:p>
      <w:pPr>
        <w:pStyle w:val="Heading3"/>
      </w:pPr>
      <w:r>
        <w:t>11.2 Query Expansion Maps</w:t>
      </w:r>
    </w:p>
    <w:p>
      <w:pPr>
        <w:spacing w:before="120" w:after="120"/>
        <w:ind w:left="567"/>
      </w:pPr>
      <w:r>
        <w:rPr>
          <w:rFonts w:ascii="Consolas" w:hAnsi="Consolas"/>
          <w:color w:val="333333"/>
          <w:sz w:val="17"/>
        </w:rPr>
        <w:t>QUERY_EXPANSION = {</w:t>
        <w:br/>
        <w:t xml:space="preserve">    "warfarin": ["coumadin", "anticoagulant", "INR", "blood thinner", "CYP2C9", "VKORC1",</w:t>
        <w:br/>
        <w:t xml:space="preserve">                 "vitamin K antagonist", "bleeding risk", "dose adjustment"],</w:t>
        <w:br/>
        <w:t xml:space="preserve">    "codeine": ["opioid", "pain", "CYP2D6", "morphine", "prodrug", "ultra-rapid",</w:t>
        <w:br/>
        <w:t xml:space="preserve">                "poor metabolizer", "respiratory depression", "analgesic"],</w:t>
        <w:br/>
        <w:t xml:space="preserve">    "clopidogrel": ["plavix", "antiplatelet", "stent", "CYP2C19", "prasugrel", "ticagrelor",</w:t>
        <w:br/>
        <w:t xml:space="preserve">                    "stent thrombosis", "ACS", "PCI"],</w:t>
        <w:br/>
        <w:t xml:space="preserve">    "statin": ["simvastatin", "atorvastatin", "SLCO1B1", "myopathy", "rhabdomyolysis",</w:t>
        <w:br/>
        <w:t xml:space="preserve">               "cholesterol", "pravastatin", "rosuvastatin", "muscle pain"],</w:t>
        <w:br/>
        <w:t xml:space="preserve">    "tamoxifen": ["breast cancer", "CYP2D6", "endoxifen", "ER-positive", "SERM",</w:t>
        <w:br/>
        <w:t xml:space="preserve">                  "aromatase inhibitor", "poor metabolizer"],</w:t>
        <w:br/>
        <w:t xml:space="preserve">    "5-FU": ["fluorouracil", "capecitabine", "DPYD", "DPD deficiency", "mucositis",</w:t>
        <w:br/>
        <w:t xml:space="preserve">             "neutropenia", "chemotherapy toxicity", "dose reduction"],</w:t>
        <w:br/>
        <w:t xml:space="preserve">    "abacavir": ["HIV", "HLA-B*57:01", "hypersensitivity", "antiretroviral",</w:t>
        <w:br/>
        <w:t xml:space="preserve">                 "immune-mediated reaction"],</w:t>
        <w:br/>
        <w:t xml:space="preserve">    "carbamazepine": ["tegretol", "epilepsy", "HLA-B*15:02", "HLA-A*31:01", "SJS",</w:t>
        <w:br/>
        <w:t xml:space="preserve">                      "TEN", "DRESS", "Stevens-Johnson"],</w:t>
        <w:br/>
        <w:t xml:space="preserve">    "tacrolimus": ["immunosuppressant", "transplant", "CYP3A5", "organ rejection",</w:t>
        <w:br/>
        <w:t xml:space="preserve">                   "calcineurin inhibitor", "dose adjustment"],</w:t>
        <w:br/>
        <w:t xml:space="preserve">    # ... 15+ more drug expansion maps</w:t>
        <w:br/>
        <w:t>}</w:t>
      </w:r>
    </w:p>
    <w:p>
      <w:pPr>
        <w:spacing w:before="160" w:after="160"/>
        <w:jc w:val="center"/>
      </w:pPr>
      <w:r>
        <w:rPr>
          <w:color w:val="76B900"/>
          <w:sz w:val="16"/>
        </w:rPr>
        <w:t>━━━━━━━━━━━━━━━━━━━━━━━━━━━━━━━━━━━━━━━━━━━━━━━━━━━━━━━━━━━━</w:t>
      </w:r>
    </w:p>
    <w:p>
      <w:r>
        <w:br w:type="page"/>
      </w:r>
    </w:p>
    <w:p>
      <w:pPr>
        <w:pStyle w:val="Heading2"/>
      </w:pPr>
      <w:r>
        <w:t>12. Query Expansion and Retrieval Strategy</w:t>
      </w:r>
    </w:p>
    <w:p>
      <w:pPr>
        <w:pStyle w:val="Heading3"/>
      </w:pPr>
      <w:r>
        <w:t>12.1 Multi-Stage Retrieval</w:t>
      </w:r>
    </w:p>
    <w:p>
      <w:r>
        <w:t>The RAG engine uses a four-stage retrieval strategy optimized for pharmacogenomic queries:</w:t>
      </w:r>
    </w:p>
    <w:p>
      <w:r>
        <w:rPr>
          <w:b/>
        </w:rPr>
        <w:t>Stage 1: Query Classification</w:t>
      </w:r>
    </w:p>
    <w:p>
      <w:r>
        <w:t>Classify incoming query into PGx workflow type:</w:t>
      </w:r>
    </w:p>
    <w:p>
      <w:pPr>
        <w:pStyle w:val="ListBullet"/>
        <w:spacing w:after="60"/>
      </w:pPr>
      <w:r>
        <w:t xml:space="preserve">Gene-specific query ("What does CYP2D6 </w:t>
      </w:r>
      <w:r>
        <w:rPr>
          <w:i/>
        </w:rPr>
        <w:t>4/</w:t>
      </w:r>
      <w:r>
        <w:t>41 mean?")</w:t>
      </w:r>
    </w:p>
    <w:p>
      <w:pPr>
        <w:pStyle w:val="ListBullet"/>
        <w:spacing w:after="60"/>
      </w:pPr>
      <w:r>
        <w:t>Drug-specific query ("Is codeine safe for this patient?")</w:t>
      </w:r>
    </w:p>
    <w:p>
      <w:pPr>
        <w:pStyle w:val="ListBullet"/>
        <w:spacing w:after="60"/>
      </w:pPr>
      <w:r>
        <w:t>Patient profile query ("Generate PGx report for this genome")</w:t>
      </w:r>
    </w:p>
    <w:p>
      <w:pPr>
        <w:pStyle w:val="ListBullet"/>
        <w:spacing w:after="60"/>
      </w:pPr>
      <w:r>
        <w:t>Interaction query ("Any drug-drug-gene interactions in this med list?")</w:t>
      </w:r>
    </w:p>
    <w:p>
      <w:pPr>
        <w:pStyle w:val="ListBullet"/>
        <w:spacing w:after="60"/>
      </w:pPr>
      <w:r>
        <w:t>Dosing query ("What warfarin dose for this genotype?")</w:t>
      </w:r>
    </w:p>
    <w:p>
      <w:r>
        <w:rPr>
          <w:b/>
        </w:rPr>
        <w:t>Stage 2: Targeted Collection Search</w:t>
      </w:r>
    </w:p>
    <w:p>
      <w:r>
        <w:t>Based on classification, prioritize relevant collections:</w:t>
      </w:r>
    </w:p>
    <w:p>
      <w:pPr>
        <w:pStyle w:val="ListBullet"/>
        <w:spacing w:after="60"/>
      </w:pPr>
      <w:r>
        <w:t xml:space="preserve">Gene query → </w:t>
      </w:r>
      <w:r>
        <w:rPr>
          <w:rFonts w:ascii="Consolas" w:hAnsi="Consolas"/>
          <w:color w:val="C7254E"/>
          <w:sz w:val="19"/>
        </w:rPr>
        <w:t>pgx_gene_reference</w:t>
      </w:r>
      <w:r>
        <w:t xml:space="preserve"> (weight boost), </w:t>
      </w:r>
      <w:r>
        <w:rPr>
          <w:rFonts w:ascii="Consolas" w:hAnsi="Consolas"/>
          <w:color w:val="C7254E"/>
          <w:sz w:val="19"/>
        </w:rPr>
        <w:t>pgx_drug_guidelines</w:t>
      </w:r>
    </w:p>
    <w:p>
      <w:pPr>
        <w:pStyle w:val="ListBullet"/>
        <w:spacing w:after="60"/>
      </w:pPr>
      <w:r>
        <w:t xml:space="preserve">Drug query → </w:t>
      </w:r>
      <w:r>
        <w:rPr>
          <w:rFonts w:ascii="Consolas" w:hAnsi="Consolas"/>
          <w:color w:val="C7254E"/>
          <w:sz w:val="19"/>
        </w:rPr>
        <w:t>pgx_drug_guidelines</w:t>
      </w:r>
      <w:r>
        <w:t xml:space="preserve"> (weight boost), </w:t>
      </w:r>
      <w:r>
        <w:rPr>
          <w:rFonts w:ascii="Consolas" w:hAnsi="Consolas"/>
          <w:color w:val="C7254E"/>
          <w:sz w:val="19"/>
        </w:rPr>
        <w:t>pgx_drug_interactions</w:t>
      </w:r>
      <w:r>
        <w:t xml:space="preserve">, </w:t>
      </w:r>
      <w:r>
        <w:rPr>
          <w:rFonts w:ascii="Consolas" w:hAnsi="Consolas"/>
          <w:color w:val="C7254E"/>
          <w:sz w:val="19"/>
        </w:rPr>
        <w:t>pgx_drug_alternatives</w:t>
      </w:r>
    </w:p>
    <w:p>
      <w:pPr>
        <w:pStyle w:val="ListBullet"/>
        <w:spacing w:after="60"/>
      </w:pPr>
      <w:r>
        <w:t xml:space="preserve">Profile query → All collections, emphasizing </w:t>
      </w:r>
      <w:r>
        <w:rPr>
          <w:rFonts w:ascii="Consolas" w:hAnsi="Consolas"/>
          <w:color w:val="C7254E"/>
          <w:sz w:val="19"/>
        </w:rPr>
        <w:t>pgx_gene_reference</w:t>
      </w:r>
      <w:r>
        <w:t xml:space="preserve"> and </w:t>
      </w:r>
      <w:r>
        <w:rPr>
          <w:rFonts w:ascii="Consolas" w:hAnsi="Consolas"/>
          <w:color w:val="C7254E"/>
          <w:sz w:val="19"/>
        </w:rPr>
        <w:t>pgx_drug_guidelines</w:t>
      </w:r>
    </w:p>
    <w:p>
      <w:pPr>
        <w:pStyle w:val="ListBullet"/>
        <w:spacing w:after="60"/>
      </w:pPr>
      <w:r>
        <w:t xml:space="preserve">Interaction query → </w:t>
      </w:r>
      <w:r>
        <w:rPr>
          <w:rFonts w:ascii="Consolas" w:hAnsi="Consolas"/>
          <w:color w:val="C7254E"/>
          <w:sz w:val="19"/>
        </w:rPr>
        <w:t>pgx_phenoconversion</w:t>
      </w:r>
      <w:r>
        <w:t xml:space="preserve"> (weight boost), </w:t>
      </w:r>
      <w:r>
        <w:rPr>
          <w:rFonts w:ascii="Consolas" w:hAnsi="Consolas"/>
          <w:color w:val="C7254E"/>
          <w:sz w:val="19"/>
        </w:rPr>
        <w:t>pgx_drug_interactions</w:t>
      </w:r>
    </w:p>
    <w:p>
      <w:r>
        <w:rPr>
          <w:b/>
        </w:rPr>
        <w:t>Stage 3: Evidence Merging and Re-ranking</w:t>
      </w:r>
    </w:p>
    <w:p>
      <w:pPr>
        <w:pStyle w:val="ListBullet"/>
        <w:spacing w:after="60"/>
      </w:pPr>
      <w:r>
        <w:t>Merge results across collections with weighted scoring</w:t>
      </w:r>
    </w:p>
    <w:p>
      <w:pPr>
        <w:pStyle w:val="ListBullet"/>
        <w:spacing w:after="60"/>
      </w:pPr>
      <w:r>
        <w:t>Cross-encoder re-ranking for relevance</w:t>
      </w:r>
    </w:p>
    <w:p>
      <w:pPr>
        <w:pStyle w:val="ListBullet"/>
        <w:spacing w:after="60"/>
      </w:pPr>
      <w:r>
        <w:t>Deduplication of overlapping evidence</w:t>
      </w:r>
    </w:p>
    <w:p>
      <w:pPr>
        <w:pStyle w:val="ListBullet"/>
        <w:spacing w:after="60"/>
      </w:pPr>
      <w:r>
        <w:t>Evidence grading annotation (CPIC Level A vs. B vs. emerging)</w:t>
      </w:r>
    </w:p>
    <w:p>
      <w:r>
        <w:rPr>
          <w:b/>
        </w:rPr>
        <w:t>Stage 4: LLM Synthesis</w:t>
      </w:r>
    </w:p>
    <w:p>
      <w:pPr>
        <w:pStyle w:val="ListBullet"/>
        <w:spacing w:after="60"/>
      </w:pPr>
      <w:r>
        <w:t>Structured prompt with retrieved evidence</w:t>
      </w:r>
    </w:p>
    <w:p>
      <w:pPr>
        <w:pStyle w:val="ListBullet"/>
        <w:spacing w:after="60"/>
      </w:pPr>
      <w:r>
        <w:t>Clinical reasoning framework (gene → phenotype → drug → recommendation → evidence)</w:t>
      </w:r>
    </w:p>
    <w:p>
      <w:pPr>
        <w:pStyle w:val="ListBullet"/>
        <w:spacing w:after="60"/>
      </w:pPr>
      <w:r>
        <w:t>Output format enforced: actionable recommendations with evidence grading</w:t>
      </w:r>
    </w:p>
    <w:p>
      <w:pPr>
        <w:spacing w:before="160" w:after="160"/>
        <w:jc w:val="center"/>
      </w:pPr>
      <w:r>
        <w:rPr>
          <w:color w:val="76B900"/>
          <w:sz w:val="16"/>
        </w:rPr>
        <w:t>━━━━━━━━━━━━━━━━━━━━━━━━━━━━━━━━━━━━━━━━━━━━━━━━━━━━━━━━━━━━</w:t>
      </w:r>
    </w:p>
    <w:p>
      <w:r>
        <w:br w:type="page"/>
      </w:r>
    </w:p>
    <w:p>
      <w:pPr>
        <w:pStyle w:val="Heading2"/>
      </w:pPr>
      <w:r>
        <w:t>13. API and UI Design</w:t>
      </w:r>
    </w:p>
    <w:p>
      <w:pPr>
        <w:pStyle w:val="Heading3"/>
      </w:pPr>
      <w:r>
        <w:t>13.1 FastAPI Endpoints (Port 8107)</w:t>
      </w:r>
    </w:p>
    <w:p>
      <w:pPr>
        <w:spacing w:before="120" w:after="120"/>
        <w:ind w:left="567"/>
      </w:pPr>
      <w:r>
        <w:rPr>
          <w:rFonts w:ascii="Consolas" w:hAnsi="Consolas"/>
          <w:color w:val="333333"/>
          <w:sz w:val="17"/>
        </w:rPr>
        <w:t>Health and Status:</w:t>
        <w:br/>
        <w:t>GET  /health                      → Service health, collection counts</w:t>
        <w:br/>
        <w:t>GET  /collections                 → Collection names and record counts</w:t>
        <w:br/>
        <w:t>GET  /metrics                     → Prometheus-compatible metrics</w:t>
        <w:br/>
        <w:br/>
        <w:t>Core PGx Queries:</w:t>
        <w:br/>
        <w:t>POST /v1/pgx/profile             → Generate complete PGx profile from VCF</w:t>
        <w:br/>
        <w:t>POST /v1/pgx/query               → Natural language PGx query with RAG</w:t>
        <w:br/>
        <w:t>POST /v1/pgx/drug-check          → Check single drug against PGx profile</w:t>
        <w:br/>
        <w:t>POST /v1/pgx/medication-review   → Full medication list review</w:t>
        <w:br/>
        <w:t>POST /v1/pgx/dosing              → Genotype-guided dosing calculation</w:t>
        <w:br/>
        <w:t>POST /v1/pgx/hla-screen          → HLA hypersensitivity screening</w:t>
        <w:br/>
        <w:br/>
        <w:t>Interaction Analysis:</w:t>
        <w:br/>
        <w:t>POST /v1/pgx/interactions        → Drug-drug-gene interaction analysis</w:t>
        <w:br/>
        <w:t>POST /v1/pgx/phenoconversion     → Phenoconversion detection</w:t>
        <w:br/>
        <w:br/>
        <w:t>Reporting:</w:t>
        <w:br/>
        <w:t>POST /v1/pgx/report              → Generate clinical PGx report (PDF/JSON)</w:t>
        <w:br/>
        <w:t>POST /v1/pgx/passport            → Generate PGx Passport card</w:t>
        <w:br/>
        <w:t>GET  /v1/pgx/profile/{patient_id} → Retrieve stored patient PGx profile</w:t>
        <w:br/>
        <w:br/>
        <w:t>Data Management:</w:t>
        <w:br/>
        <w:t>POST /v1/pgx/ingest-vcf          → Ingest VCF and extract PGx variants</w:t>
        <w:br/>
        <w:t>POST /v1/pgx/update-guidelines   → Update CPIC/DPWG guideline data</w:t>
        <w:br/>
        <w:t>GET  /v1/pgx/gene/{gene_name}    → Gene-specific reference information</w:t>
        <w:br/>
        <w:t>GET  /v1/pgx/drug/{drug_name}    → Drug-specific PGx information</w:t>
      </w:r>
    </w:p>
    <w:p>
      <w:pPr>
        <w:pStyle w:val="Heading3"/>
      </w:pPr>
      <w:r>
        <w:t>13.2 Streamlit UI Design (Port 8507)</w:t>
      </w:r>
    </w:p>
    <w:p>
      <w:r>
        <w:rPr>
          <w:b/>
        </w:rPr>
        <w:t>Tab 1: PGx Dashboard</w:t>
      </w:r>
    </w:p>
    <w:p>
      <w:pPr>
        <w:pStyle w:val="ListBullet"/>
        <w:spacing w:after="60"/>
      </w:pPr>
      <w:r>
        <w:t>Patient PGx profile overview (metabolizer status table)</w:t>
      </w:r>
    </w:p>
    <w:p>
      <w:pPr>
        <w:pStyle w:val="ListBullet"/>
        <w:spacing w:after="60"/>
      </w:pPr>
      <w:r>
        <w:t>Active medication list with drug-gene interaction alerts</w:t>
      </w:r>
    </w:p>
    <w:p>
      <w:pPr>
        <w:pStyle w:val="ListBullet"/>
        <w:spacing w:after="60"/>
      </w:pPr>
      <w:r>
        <w:t>Risk severity heatmap (genes × drugs)</w:t>
      </w:r>
    </w:p>
    <w:p>
      <w:r>
        <w:rPr>
          <w:b/>
        </w:rPr>
        <w:t>Tab 2: Drug Check</w:t>
      </w:r>
    </w:p>
    <w:p>
      <w:pPr>
        <w:pStyle w:val="ListBullet"/>
        <w:spacing w:after="60"/>
      </w:pPr>
      <w:r>
        <w:t>Enter drug name → instant PGx safety assessment</w:t>
      </w:r>
    </w:p>
    <w:p>
      <w:pPr>
        <w:pStyle w:val="ListBullet"/>
        <w:spacing w:after="60"/>
      </w:pPr>
      <w:r>
        <w:t>Visual traffic light system: Green (safe), Yellow (adjust), Red (avoid)</w:t>
      </w:r>
    </w:p>
    <w:p>
      <w:pPr>
        <w:pStyle w:val="ListBullet"/>
        <w:spacing w:after="60"/>
      </w:pPr>
      <w:r>
        <w:t>Alternative drug suggestions with rationale</w:t>
      </w:r>
    </w:p>
    <w:p>
      <w:r>
        <w:rPr>
          <w:b/>
        </w:rPr>
        <w:t>Tab 3: Medication Review</w:t>
      </w:r>
    </w:p>
    <w:p>
      <w:pPr>
        <w:pStyle w:val="ListBullet"/>
        <w:spacing w:after="60"/>
      </w:pPr>
      <w:r>
        <w:t>Paste or upload complete medication list</w:t>
      </w:r>
    </w:p>
    <w:p>
      <w:pPr>
        <w:pStyle w:val="ListBullet"/>
        <w:spacing w:after="60"/>
      </w:pPr>
      <w:r>
        <w:t>Comprehensive drug-drug-gene interaction matrix</w:t>
      </w:r>
    </w:p>
    <w:p>
      <w:pPr>
        <w:pStyle w:val="ListBullet"/>
        <w:spacing w:after="60"/>
      </w:pPr>
      <w:r>
        <w:t>Phenoconversion detection and cascade effects</w:t>
      </w:r>
    </w:p>
    <w:p>
      <w:pPr>
        <w:pStyle w:val="ListBullet"/>
        <w:spacing w:after="60"/>
      </w:pPr>
      <w:r>
        <w:t>Prioritized action items</w:t>
      </w:r>
    </w:p>
    <w:p>
      <w:r>
        <w:rPr>
          <w:b/>
        </w:rPr>
        <w:t>Tab 4: Warfarin Dosing</w:t>
      </w:r>
    </w:p>
    <w:p>
      <w:pPr>
        <w:pStyle w:val="ListBullet"/>
        <w:spacing w:after="60"/>
      </w:pPr>
      <w:r>
        <w:t>Interactive dosing calculator (IWPC algorithm)</w:t>
      </w:r>
    </w:p>
    <w:p>
      <w:pPr>
        <w:pStyle w:val="ListBullet"/>
        <w:spacing w:after="60"/>
      </w:pPr>
      <w:r>
        <w:t>Input: genotypes, demographics, concurrent medications</w:t>
      </w:r>
    </w:p>
    <w:p>
      <w:pPr>
        <w:pStyle w:val="ListBullet"/>
        <w:spacing w:after="60"/>
      </w:pPr>
      <w:r>
        <w:t>Output: predicted therapeutic dose with confidence interval</w:t>
      </w:r>
    </w:p>
    <w:p>
      <w:r>
        <w:rPr>
          <w:b/>
        </w:rPr>
        <w:t>Tab 5: Chemotherapy Safety</w:t>
      </w:r>
    </w:p>
    <w:p>
      <w:pPr>
        <w:pStyle w:val="ListBullet"/>
        <w:spacing w:after="60"/>
      </w:pPr>
      <w:r>
        <w:t>DPYD screening results and 5-FU dose recommendation</w:t>
      </w:r>
    </w:p>
    <w:p>
      <w:pPr>
        <w:pStyle w:val="ListBullet"/>
        <w:spacing w:after="60"/>
      </w:pPr>
      <w:r>
        <w:t>TPMT/NUDT15 results and thiopurine dose recommendation</w:t>
      </w:r>
    </w:p>
    <w:p>
      <w:pPr>
        <w:pStyle w:val="ListBullet"/>
        <w:spacing w:after="60"/>
      </w:pPr>
      <w:r>
        <w:t>UGT1A1 results and irinotecan dose recommendation</w:t>
      </w:r>
    </w:p>
    <w:p>
      <w:r>
        <w:rPr>
          <w:b/>
        </w:rPr>
        <w:t>Tab 6: HLA Screening</w:t>
      </w:r>
    </w:p>
    <w:p>
      <w:pPr>
        <w:pStyle w:val="ListBullet"/>
        <w:spacing w:after="60"/>
      </w:pPr>
      <w:r>
        <w:t>Complete HLA typing results</w:t>
      </w:r>
    </w:p>
    <w:p>
      <w:pPr>
        <w:pStyle w:val="ListBullet"/>
        <w:spacing w:after="60"/>
      </w:pPr>
      <w:r>
        <w:t>Drug hypersensitivity risk table</w:t>
      </w:r>
    </w:p>
    <w:p>
      <w:pPr>
        <w:pStyle w:val="ListBullet"/>
        <w:spacing w:after="60"/>
      </w:pPr>
      <w:r>
        <w:t>Population-specific frequency context</w:t>
      </w:r>
    </w:p>
    <w:p>
      <w:r>
        <w:rPr>
          <w:b/>
        </w:rPr>
        <w:t>Tab 7: PGx Report Generator</w:t>
      </w:r>
    </w:p>
    <w:p>
      <w:pPr>
        <w:pStyle w:val="ListBullet"/>
        <w:spacing w:after="60"/>
      </w:pPr>
      <w:r>
        <w:t>Generate clinical PGx report (PDF)</w:t>
      </w:r>
    </w:p>
    <w:p>
      <w:pPr>
        <w:pStyle w:val="ListBullet"/>
        <w:spacing w:after="60"/>
      </w:pPr>
      <w:r>
        <w:t>Generate PGx Passport (wallet card format)</w:t>
      </w:r>
    </w:p>
    <w:p>
      <w:pPr>
        <w:pStyle w:val="ListBullet"/>
        <w:spacing w:after="60"/>
      </w:pPr>
      <w:r>
        <w:t>Generate provider letter (for specialist communication)</w:t>
      </w:r>
    </w:p>
    <w:p>
      <w:r>
        <w:rPr>
          <w:b/>
        </w:rPr>
        <w:t>Tab 8: Evidence Explorer</w:t>
      </w:r>
    </w:p>
    <w:p>
      <w:pPr>
        <w:pStyle w:val="ListBullet"/>
        <w:spacing w:after="60"/>
      </w:pPr>
      <w:r>
        <w:t>Search CPIC/DPWG guidelines by gene or drug</w:t>
      </w:r>
    </w:p>
    <w:p>
      <w:pPr>
        <w:pStyle w:val="ListBullet"/>
        <w:spacing w:after="60"/>
      </w:pPr>
      <w:r>
        <w:t>View published PGx implementation evidence</w:t>
      </w:r>
    </w:p>
    <w:p>
      <w:pPr>
        <w:pStyle w:val="ListBullet"/>
        <w:spacing w:after="60"/>
      </w:pPr>
      <w:r>
        <w:t>Clinical trial results for PGx-guided therapy</w:t>
      </w:r>
    </w:p>
    <w:p>
      <w:r>
        <w:rPr>
          <w:b/>
        </w:rPr>
        <w:t>Tab 9: Phenoconversion Modeler</w:t>
      </w:r>
    </w:p>
    <w:p>
      <w:pPr>
        <w:pStyle w:val="ListBullet"/>
        <w:spacing w:after="60"/>
      </w:pPr>
      <w:r>
        <w:t>Interactive tool: add/remove drugs and see phenotype changes</w:t>
      </w:r>
    </w:p>
    <w:p>
      <w:pPr>
        <w:pStyle w:val="ListBullet"/>
        <w:spacing w:after="60"/>
      </w:pPr>
      <w:r>
        <w:t>Visual diagram of CYP enzyme inhibition/induction cascades</w:t>
      </w:r>
    </w:p>
    <w:p>
      <w:pPr>
        <w:pStyle w:val="ListBullet"/>
        <w:spacing w:after="60"/>
      </w:pPr>
      <w:r>
        <w:t>"What if" scenarios for medication changes</w:t>
      </w:r>
    </w:p>
    <w:p>
      <w:r>
        <w:rPr>
          <w:b/>
        </w:rPr>
        <w:t>Tab 10: Population Analytics</w:t>
      </w:r>
    </w:p>
    <w:p>
      <w:pPr>
        <w:pStyle w:val="ListBullet"/>
        <w:spacing w:after="60"/>
      </w:pPr>
      <w:r>
        <w:t>Allele frequency explorer by ethnicity</w:t>
      </w:r>
    </w:p>
    <w:p>
      <w:pPr>
        <w:pStyle w:val="ListBullet"/>
        <w:spacing w:after="60"/>
      </w:pPr>
      <w:r>
        <w:t>Metabolizer phenotype distribution charts</w:t>
      </w:r>
    </w:p>
    <w:p>
      <w:pPr>
        <w:pStyle w:val="ListBullet"/>
        <w:spacing w:after="60"/>
      </w:pPr>
      <w:r>
        <w:t>Health equity analysis (differential PGx risk by population)</w:t>
      </w:r>
    </w:p>
    <w:p>
      <w:pPr>
        <w:spacing w:before="160" w:after="160"/>
        <w:jc w:val="center"/>
      </w:pPr>
      <w:r>
        <w:rPr>
          <w:color w:val="76B900"/>
          <w:sz w:val="16"/>
        </w:rPr>
        <w:t>━━━━━━━━━━━━━━━━━━━━━━━━━━━━━━━━━━━━━━━━━━━━━━━━━━━━━━━━━━━━</w:t>
      </w:r>
    </w:p>
    <w:p>
      <w:r>
        <w:br w:type="page"/>
      </w:r>
    </w:p>
    <w:p>
      <w:pPr>
        <w:pStyle w:val="Heading2"/>
      </w:pPr>
      <w:r>
        <w:t>14. Clinical Decision Support Engines</w:t>
      </w:r>
    </w:p>
    <w:p>
      <w:pPr>
        <w:pStyle w:val="Heading3"/>
      </w:pPr>
      <w:r>
        <w:t>14.1 Dosing Calculators</w:t>
      </w:r>
    </w:p>
    <w:p>
      <w:r>
        <w:rPr>
          <w:b/>
        </w:rPr>
        <w:t>Warfarin Dose Calculator</w:t>
      </w:r>
    </w:p>
    <w:p>
      <w:pPr>
        <w:pStyle w:val="ListBullet"/>
        <w:spacing w:after="60"/>
      </w:pPr>
      <w:r>
        <w:t>Algorithm: IWPC (International Warfarin Pharmacogenetics Consortium)</w:t>
      </w:r>
    </w:p>
    <w:p>
      <w:pPr>
        <w:pStyle w:val="ListBullet"/>
        <w:spacing w:after="60"/>
      </w:pPr>
      <w:r>
        <w:t>Inputs: CYP2C9, VKORC1, CYP4F2 genotypes + demographics</w:t>
      </w:r>
    </w:p>
    <w:p>
      <w:pPr>
        <w:pStyle w:val="ListBullet"/>
        <w:spacing w:after="60"/>
      </w:pPr>
      <w:r>
        <w:t>Output: Predicted weekly dose (mg) with 95% CI</w:t>
      </w:r>
    </w:p>
    <w:p>
      <w:pPr>
        <w:pStyle w:val="ListBullet"/>
        <w:spacing w:after="60"/>
      </w:pPr>
      <w:r>
        <w:t>Validation: R² = 0.43 (vs. 0.17 for clinical-only algorithm)</w:t>
      </w:r>
    </w:p>
    <w:p>
      <w:r>
        <w:rPr>
          <w:b/>
        </w:rPr>
        <w:t>Tacrolimus Dose Calculator</w:t>
      </w:r>
    </w:p>
    <w:p>
      <w:pPr>
        <w:pStyle w:val="ListBullet"/>
        <w:spacing w:after="60"/>
      </w:pPr>
      <w:r>
        <w:t>Algorithm: CYP3A5-guided dosing</w:t>
      </w:r>
    </w:p>
    <w:p>
      <w:pPr>
        <w:pStyle w:val="ListBullet"/>
        <w:spacing w:after="60"/>
      </w:pPr>
      <w:r>
        <w:t>CYP3A5 expressers (</w:t>
      </w:r>
      <w:r>
        <w:rPr>
          <w:i/>
        </w:rPr>
        <w:t>1/</w:t>
      </w:r>
      <w:r>
        <w:t xml:space="preserve">1, </w:t>
      </w:r>
      <w:r>
        <w:rPr>
          <w:i/>
        </w:rPr>
        <w:t>1/</w:t>
      </w:r>
      <w:r>
        <w:t>3): Standard dose → higher trough levels expected</w:t>
      </w:r>
    </w:p>
    <w:p>
      <w:pPr>
        <w:pStyle w:val="ListBullet"/>
        <w:spacing w:after="60"/>
      </w:pPr>
      <w:r>
        <w:t>CYP3A5 non-expressers (</w:t>
      </w:r>
      <w:r>
        <w:rPr>
          <w:i/>
        </w:rPr>
        <w:t>3/</w:t>
      </w:r>
      <w:r>
        <w:t>3): May need 1.5-2x dose for target trough</w:t>
      </w:r>
    </w:p>
    <w:p>
      <w:r>
        <w:rPr>
          <w:b/>
        </w:rPr>
        <w:t>5-FU Dose Adjustment Calculator</w:t>
      </w:r>
    </w:p>
    <w:p>
      <w:pPr>
        <w:pStyle w:val="ListBullet"/>
        <w:spacing w:after="60"/>
      </w:pPr>
      <w:r>
        <w:t>Algorithm: DPYD activity score-based</w:t>
      </w:r>
    </w:p>
    <w:p>
      <w:pPr>
        <w:pStyle w:val="ListBullet"/>
        <w:spacing w:after="60"/>
      </w:pPr>
      <w:r>
        <w:t>Input: DPYD diplotype → activity score</w:t>
      </w:r>
    </w:p>
    <w:p>
      <w:pPr>
        <w:pStyle w:val="ListBullet"/>
        <w:spacing w:after="60"/>
      </w:pPr>
      <w:r>
        <w:t>Output: Percent dose reduction recommendation per EMA/CPIC guidelines</w:t>
      </w:r>
    </w:p>
    <w:p>
      <w:pPr>
        <w:pStyle w:val="Heading3"/>
      </w:pPr>
      <w:r>
        <w:t>14.2 Alert Classification Engine</w:t>
      </w:r>
    </w:p>
    <w:p>
      <w:r>
        <w:t>Three-tier alert system for clinical decision support: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Alert Level</w:t>
            </w:r>
          </w:p>
        </w:tc>
        <w:tc>
          <w:tcPr>
            <w:tcW w:type="dxa" w:w="2340"/>
            <w:shd w:fill="1A1A2E"/>
          </w:tcPr>
          <w:p>
            <w:pPr>
              <w:spacing w:after="40" w:before="40"/>
            </w:pPr>
            <w:r/>
            <w:r>
              <w:rPr>
                <w:rFonts w:ascii="Calibri" w:hAnsi="Calibri"/>
                <w:b/>
                <w:color w:val="FFFFFF"/>
                <w:sz w:val="20"/>
              </w:rPr>
              <w:t>Criteria</w:t>
            </w:r>
          </w:p>
        </w:tc>
        <w:tc>
          <w:tcPr>
            <w:tcW w:type="dxa" w:w="2340"/>
            <w:shd w:fill="1A1A2E"/>
          </w:tcPr>
          <w:p>
            <w:pPr>
              <w:spacing w:after="40" w:before="40"/>
            </w:pPr>
            <w:r/>
            <w:r>
              <w:rPr>
                <w:rFonts w:ascii="Calibri" w:hAnsi="Calibri"/>
                <w:b/>
                <w:color w:val="FFFFFF"/>
                <w:sz w:val="20"/>
              </w:rPr>
              <w:t>Clinical Action</w:t>
            </w:r>
          </w:p>
        </w:tc>
        <w:tc>
          <w:tcPr>
            <w:tcW w:type="dxa" w:w="2340"/>
            <w:shd w:fill="1A1A2E"/>
          </w:tcPr>
          <w:p>
            <w:pPr>
              <w:spacing w:after="40" w:before="40"/>
            </w:pPr>
            <w:r/>
            <w:r>
              <w:rPr>
                <w:rFonts w:ascii="Calibri" w:hAnsi="Calibri"/>
                <w:b/>
                <w:color w:val="FFFFFF"/>
                <w:sz w:val="20"/>
              </w:rPr>
              <w:t>Example</w:t>
            </w:r>
          </w:p>
        </w:tc>
      </w:tr>
      <w:tr>
        <w:tc>
          <w:tcPr>
            <w:tcW w:type="dxa" w:w="2340"/>
          </w:tcPr>
          <w:p>
            <w:pPr>
              <w:spacing w:after="40" w:before="40"/>
            </w:pPr>
            <w:r>
              <w:rPr>
                <w:rFonts w:ascii="Calibri" w:hAnsi="Calibri"/>
                <w:sz w:val="19"/>
              </w:rPr>
            </w:r>
            <w:r>
              <w:rPr>
                <w:rFonts w:ascii="Calibri" w:hAnsi="Calibri"/>
                <w:b/>
                <w:sz w:val="19"/>
              </w:rPr>
              <w:t>CRITICAL</w:t>
            </w:r>
          </w:p>
        </w:tc>
        <w:tc>
          <w:tcPr>
            <w:tcW w:type="dxa" w:w="2340"/>
          </w:tcPr>
          <w:p>
            <w:pPr>
              <w:spacing w:after="40" w:before="40"/>
            </w:pPr>
            <w:r>
              <w:rPr>
                <w:rFonts w:ascii="Calibri" w:hAnsi="Calibri"/>
                <w:sz w:val="19"/>
              </w:rPr>
            </w:r>
            <w:r>
              <w:rPr>
                <w:rFonts w:ascii="Calibri" w:hAnsi="Calibri"/>
                <w:sz w:val="19"/>
              </w:rPr>
              <w:t>CPIC Level A, avoid/contraindicate</w:t>
            </w:r>
          </w:p>
        </w:tc>
        <w:tc>
          <w:tcPr>
            <w:tcW w:type="dxa" w:w="2340"/>
          </w:tcPr>
          <w:p>
            <w:pPr>
              <w:spacing w:after="40" w:before="40"/>
            </w:pPr>
            <w:r>
              <w:rPr>
                <w:rFonts w:ascii="Calibri" w:hAnsi="Calibri"/>
                <w:sz w:val="19"/>
              </w:rPr>
            </w:r>
            <w:r>
              <w:rPr>
                <w:rFonts w:ascii="Calibri" w:hAnsi="Calibri"/>
                <w:sz w:val="19"/>
              </w:rPr>
              <w:t>Immediate prescriber notification, hard stop recommended</w:t>
            </w:r>
          </w:p>
        </w:tc>
        <w:tc>
          <w:tcPr>
            <w:tcW w:type="dxa" w:w="2340"/>
          </w:tcPr>
          <w:p>
            <w:pPr>
              <w:spacing w:after="40" w:before="40"/>
            </w:pPr>
            <w:r>
              <w:rPr>
                <w:rFonts w:ascii="Calibri" w:hAnsi="Calibri"/>
                <w:sz w:val="19"/>
              </w:rPr>
            </w:r>
            <w:r>
              <w:rPr>
                <w:rFonts w:ascii="Calibri" w:hAnsi="Calibri"/>
                <w:sz w:val="19"/>
              </w:rPr>
              <w:t>CYP2D6 UM + codeine, HLA-B</w:t>
            </w:r>
            <w:r>
              <w:rPr>
                <w:rFonts w:ascii="Calibri" w:hAnsi="Calibri"/>
                <w:sz w:val="19"/>
              </w:rPr>
              <w:t>*</w:t>
            </w:r>
            <w:r>
              <w:rPr>
                <w:rFonts w:ascii="Calibri" w:hAnsi="Calibri"/>
                <w:sz w:val="19"/>
              </w:rPr>
              <w:t>57:01+ + abacavir</w:t>
            </w:r>
          </w:p>
        </w:tc>
      </w:tr>
      <w:tr>
        <w:tc>
          <w:tcPr>
            <w:tcW w:type="dxa" w:w="2340"/>
            <w:shd w:fill="F5F5F5"/>
          </w:tcPr>
          <w:p>
            <w:pPr>
              <w:spacing w:after="40" w:before="40"/>
            </w:pPr>
            <w:r>
              <w:rPr>
                <w:rFonts w:ascii="Calibri" w:hAnsi="Calibri"/>
                <w:sz w:val="19"/>
              </w:rPr>
            </w:r>
            <w:r>
              <w:rPr>
                <w:rFonts w:ascii="Calibri" w:hAnsi="Calibri"/>
                <w:b/>
                <w:sz w:val="19"/>
              </w:rPr>
              <w:t>WARNING</w:t>
            </w:r>
          </w:p>
        </w:tc>
        <w:tc>
          <w:tcPr>
            <w:tcW w:type="dxa" w:w="2340"/>
            <w:shd w:fill="F5F5F5"/>
          </w:tcPr>
          <w:p>
            <w:pPr>
              <w:spacing w:after="40" w:before="40"/>
            </w:pPr>
            <w:r>
              <w:rPr>
                <w:rFonts w:ascii="Calibri" w:hAnsi="Calibri"/>
                <w:sz w:val="19"/>
              </w:rPr>
            </w:r>
            <w:r>
              <w:rPr>
                <w:rFonts w:ascii="Calibri" w:hAnsi="Calibri"/>
                <w:sz w:val="19"/>
              </w:rPr>
              <w:t>CPIC Level A/B, dose adjustment needed</w:t>
            </w:r>
          </w:p>
        </w:tc>
        <w:tc>
          <w:tcPr>
            <w:tcW w:type="dxa" w:w="2340"/>
            <w:shd w:fill="F5F5F5"/>
          </w:tcPr>
          <w:p>
            <w:pPr>
              <w:spacing w:after="40" w:before="40"/>
            </w:pPr>
            <w:r>
              <w:rPr>
                <w:rFonts w:ascii="Calibri" w:hAnsi="Calibri"/>
                <w:sz w:val="19"/>
              </w:rPr>
            </w:r>
            <w:r>
              <w:rPr>
                <w:rFonts w:ascii="Calibri" w:hAnsi="Calibri"/>
                <w:sz w:val="19"/>
              </w:rPr>
              <w:t>Prescriber review required before dispensing</w:t>
            </w:r>
          </w:p>
        </w:tc>
        <w:tc>
          <w:tcPr>
            <w:tcW w:type="dxa" w:w="2340"/>
            <w:shd w:fill="F5F5F5"/>
          </w:tcPr>
          <w:p>
            <w:pPr>
              <w:spacing w:after="40" w:before="40"/>
            </w:pPr>
            <w:r>
              <w:rPr>
                <w:rFonts w:ascii="Calibri" w:hAnsi="Calibri"/>
                <w:sz w:val="19"/>
              </w:rPr>
            </w:r>
            <w:r>
              <w:rPr>
                <w:rFonts w:ascii="Calibri" w:hAnsi="Calibri"/>
                <w:sz w:val="19"/>
              </w:rPr>
              <w:t xml:space="preserve">CYP2C19 IM + clopidogrel, SLCO1B1 </w:t>
            </w:r>
            <w:r>
              <w:rPr>
                <w:rFonts w:ascii="Calibri" w:hAnsi="Calibri"/>
                <w:i/>
                <w:sz w:val="19"/>
              </w:rPr>
              <w:t>5/</w:t>
            </w:r>
            <w:r>
              <w:rPr>
                <w:rFonts w:ascii="Calibri" w:hAnsi="Calibri"/>
                <w:sz w:val="19"/>
              </w:rPr>
              <w:t>5 + simvastatin</w:t>
            </w:r>
          </w:p>
        </w:tc>
      </w:tr>
      <w:tr>
        <w:tc>
          <w:tcPr>
            <w:tcW w:type="dxa" w:w="2340"/>
          </w:tcPr>
          <w:p>
            <w:pPr>
              <w:spacing w:after="40" w:before="40"/>
            </w:pPr>
            <w:r>
              <w:rPr>
                <w:rFonts w:ascii="Calibri" w:hAnsi="Calibri"/>
                <w:sz w:val="19"/>
              </w:rPr>
            </w:r>
            <w:r>
              <w:rPr>
                <w:rFonts w:ascii="Calibri" w:hAnsi="Calibri"/>
                <w:b/>
                <w:sz w:val="19"/>
              </w:rPr>
              <w:t>INFO</w:t>
            </w:r>
          </w:p>
        </w:tc>
        <w:tc>
          <w:tcPr>
            <w:tcW w:type="dxa" w:w="2340"/>
          </w:tcPr>
          <w:p>
            <w:pPr>
              <w:spacing w:after="40" w:before="40"/>
            </w:pPr>
            <w:r>
              <w:rPr>
                <w:rFonts w:ascii="Calibri" w:hAnsi="Calibri"/>
                <w:sz w:val="19"/>
              </w:rPr>
            </w:r>
            <w:r>
              <w:rPr>
                <w:rFonts w:ascii="Calibri" w:hAnsi="Calibri"/>
                <w:sz w:val="19"/>
              </w:rPr>
              <w:t>CPIC Level B/C, informational</w:t>
            </w:r>
          </w:p>
        </w:tc>
        <w:tc>
          <w:tcPr>
            <w:tcW w:type="dxa" w:w="2340"/>
          </w:tcPr>
          <w:p>
            <w:pPr>
              <w:spacing w:after="40" w:before="40"/>
            </w:pPr>
            <w:r>
              <w:rPr>
                <w:rFonts w:ascii="Calibri" w:hAnsi="Calibri"/>
                <w:sz w:val="19"/>
              </w:rPr>
            </w:r>
            <w:r>
              <w:rPr>
                <w:rFonts w:ascii="Calibri" w:hAnsi="Calibri"/>
                <w:sz w:val="19"/>
              </w:rPr>
              <w:t>FYI for clinical record, no immediate action required</w:t>
            </w:r>
          </w:p>
        </w:tc>
        <w:tc>
          <w:tcPr>
            <w:tcW w:type="dxa" w:w="2340"/>
          </w:tcPr>
          <w:p>
            <w:pPr>
              <w:spacing w:after="40" w:before="40"/>
            </w:pPr>
            <w:r>
              <w:rPr>
                <w:rFonts w:ascii="Calibri" w:hAnsi="Calibri"/>
                <w:sz w:val="19"/>
              </w:rPr>
            </w:r>
            <w:r>
              <w:rPr>
                <w:rFonts w:ascii="Calibri" w:hAnsi="Calibri"/>
                <w:sz w:val="19"/>
              </w:rPr>
              <w:t>CYP2D6 IM + ondansetron (may need higher dose)</w:t>
            </w:r>
          </w:p>
        </w:tc>
      </w:tr>
    </w:tbl>
    <w:p/>
    <w:p>
      <w:pPr>
        <w:pStyle w:val="Heading3"/>
      </w:pPr>
      <w:r>
        <w:t>14.3 Drug Alternative Recommendation Engine</w:t>
      </w:r>
    </w:p>
    <w:p>
      <w:r>
        <w:t>When a drug is flagged as AVOID or CONTRAINDICATED, the engine recommends alternatives:</w:t>
      </w:r>
    </w:p>
    <w:p>
      <w:pPr>
        <w:spacing w:before="120" w:after="120"/>
        <w:ind w:left="567"/>
      </w:pPr>
      <w:r>
        <w:rPr>
          <w:rFonts w:ascii="Consolas" w:hAnsi="Consolas"/>
          <w:color w:val="333333"/>
          <w:sz w:val="17"/>
        </w:rPr>
        <w:t>DRUG_ALTERNATIVES = {</w:t>
        <w:br/>
        <w:t xml:space="preserve">    "codeine": {</w:t>
        <w:br/>
        <w:t xml:space="preserve">        "CYP2D6_PM": ["morphine (not CYP2D6 dependent)", "oxycodone (minimal CYP2D6)",</w:t>
        <w:br/>
        <w:t xml:space="preserve">                       "acetaminophen (non-opioid)", "NSAIDs (if appropriate)"],</w:t>
        <w:br/>
        <w:t xml:space="preserve">        "CYP2D6_UM": ["morphine (direct-acting, no activation needed)",</w:t>
        <w:br/>
        <w:t xml:space="preserve">                       "fentanyl (CYP3A4 metabolized)", "hydromorphone"],</w:t>
        <w:br/>
        <w:t xml:space="preserve">    },</w:t>
        <w:br/>
        <w:t xml:space="preserve">    "clopidogrel": {</w:t>
        <w:br/>
        <w:t xml:space="preserve">        "CYP2C19_PM": ["prasugrel (not CYP2C19 dependent)",</w:t>
        <w:br/>
        <w:t xml:space="preserve">                        "ticagrelor (not CYP2C19 dependent)"],</w:t>
        <w:br/>
        <w:t xml:space="preserve">        "CYP2C19_IM": ["prasugrel", "ticagrelor",</w:t>
        <w:br/>
        <w:t xml:space="preserve">                        "clopidogrel at increased dose (75 mg → 150 mg, limited evidence)"],</w:t>
        <w:br/>
        <w:t xml:space="preserve">    },</w:t>
        <w:br/>
        <w:t xml:space="preserve">    "simvastatin": {</w:t>
        <w:br/>
        <w:t xml:space="preserve">        "SLCO1B1_poor": ["pravastatin (not SLCO1B1 dependent)",</w:t>
        <w:br/>
        <w:t xml:space="preserve">                          "rosuvastatin (minimal SLCO1B1 dependence)",</w:t>
        <w:br/>
        <w:t xml:space="preserve">                          "fluvastatin (not SLCO1B1 dependent)"],</w:t>
        <w:br/>
        <w:t xml:space="preserve">    },</w:t>
        <w:br/>
        <w:t xml:space="preserve">    # ... 30+ drug alternative maps</w:t>
        <w:br/>
        <w:t>}</w:t>
      </w:r>
    </w:p>
    <w:p>
      <w:pPr>
        <w:spacing w:before="160" w:after="160"/>
        <w:jc w:val="center"/>
      </w:pPr>
      <w:r>
        <w:rPr>
          <w:color w:val="76B900"/>
          <w:sz w:val="16"/>
        </w:rPr>
        <w:t>━━━━━━━━━━━━━━━━━━━━━━━━━━━━━━━━━━━━━━━━━━━━━━━━━━━━━━━━━━━━</w:t>
      </w:r>
    </w:p>
    <w:p>
      <w:r>
        <w:br w:type="page"/>
      </w:r>
    </w:p>
    <w:p>
      <w:pPr>
        <w:pStyle w:val="Heading2"/>
      </w:pPr>
      <w:r>
        <w:t>15. Reporting and Interoperability</w:t>
      </w:r>
    </w:p>
    <w:p>
      <w:pPr>
        <w:pStyle w:val="Heading3"/>
      </w:pPr>
      <w:r>
        <w:t>15.1 Output Formats</w:t>
      </w:r>
    </w:p>
    <w:p>
      <w:pPr>
        <w:pStyle w:val="ListBullet"/>
        <w:spacing w:after="60"/>
      </w:pPr>
      <w:r>
        <w:rPr>
          <w:b/>
        </w:rPr>
        <w:t>Clinical PGx Report (PDF):</w:t>
      </w:r>
      <w:r>
        <w:t xml:space="preserve"> Comprehensive multi-page report for medical record</w:t>
      </w:r>
    </w:p>
    <w:p>
      <w:pPr>
        <w:pStyle w:val="ListBullet"/>
        <w:spacing w:after="60"/>
      </w:pPr>
      <w:r>
        <w:rPr>
          <w:b/>
        </w:rPr>
        <w:t>PGx Passport (PDF/card):</w:t>
      </w:r>
      <w:r>
        <w:t xml:space="preserve"> Wallet-sized card with critical PGx information for patient to carry</w:t>
      </w:r>
    </w:p>
    <w:p>
      <w:pPr>
        <w:pStyle w:val="ListBullet"/>
        <w:spacing w:after="60"/>
      </w:pPr>
      <w:r>
        <w:rPr>
          <w:b/>
        </w:rPr>
        <w:t>HL7 FHIR PGx Report:</w:t>
      </w:r>
      <w:r>
        <w:t xml:space="preserve"> Structured data output compatible with EHR integration (DiagnosticReport + Observation resources)</w:t>
      </w:r>
    </w:p>
    <w:p>
      <w:pPr>
        <w:pStyle w:val="ListBullet"/>
        <w:spacing w:after="60"/>
      </w:pPr>
      <w:r>
        <w:rPr>
          <w:b/>
        </w:rPr>
        <w:t>CDS Hooks:</w:t>
      </w:r>
      <w:r>
        <w:t xml:space="preserve"> Integration with EHR clinical decision support via CDS Hooks specification (when available)</w:t>
      </w:r>
    </w:p>
    <w:p>
      <w:pPr>
        <w:pStyle w:val="ListBullet"/>
        <w:spacing w:after="60"/>
      </w:pPr>
      <w:r>
        <w:rPr>
          <w:b/>
        </w:rPr>
        <w:t>JSON/API:</w:t>
      </w:r>
      <w:r>
        <w:t xml:space="preserve"> Structured data for programmatic consumption by other agents</w:t>
      </w:r>
    </w:p>
    <w:p>
      <w:pPr>
        <w:pStyle w:val="Heading3"/>
      </w:pPr>
      <w:r>
        <w:t>15.2 FHIR Integration</w:t>
      </w:r>
    </w:p>
    <w:p>
      <w:r>
        <w:t>PGx results will be represented using HL7 FHIR Genomics specifications:</w:t>
      </w:r>
    </w:p>
    <w:p>
      <w:pPr>
        <w:pStyle w:val="ListBullet"/>
        <w:spacing w:after="60"/>
      </w:pPr>
      <w:r>
        <w:rPr>
          <w:rFonts w:ascii="Consolas" w:hAnsi="Consolas"/>
          <w:color w:val="C7254E"/>
          <w:sz w:val="19"/>
        </w:rPr>
        <w:t>DiagnosticReport</w:t>
      </w:r>
      <w:r>
        <w:t xml:space="preserve"> for overall PGx panel results</w:t>
      </w:r>
    </w:p>
    <w:p>
      <w:pPr>
        <w:pStyle w:val="ListBullet"/>
        <w:spacing w:after="60"/>
      </w:pPr>
      <w:r>
        <w:rPr>
          <w:rFonts w:ascii="Consolas" w:hAnsi="Consolas"/>
          <w:color w:val="C7254E"/>
          <w:sz w:val="19"/>
        </w:rPr>
        <w:t>Observation</w:t>
      </w:r>
      <w:r>
        <w:t xml:space="preserve"> (component type </w:t>
      </w:r>
      <w:r>
        <w:rPr>
          <w:rFonts w:ascii="Consolas" w:hAnsi="Consolas"/>
          <w:color w:val="C7254E"/>
          <w:sz w:val="19"/>
        </w:rPr>
        <w:t>69548-6</w:t>
      </w:r>
      <w:r>
        <w:t xml:space="preserve"> Genetic variant assessment) for each gene</w:t>
      </w:r>
    </w:p>
    <w:p>
      <w:pPr>
        <w:pStyle w:val="ListBullet"/>
        <w:spacing w:after="60"/>
      </w:pPr>
      <w:r>
        <w:rPr>
          <w:rFonts w:ascii="Consolas" w:hAnsi="Consolas"/>
          <w:color w:val="C7254E"/>
          <w:sz w:val="19"/>
        </w:rPr>
        <w:t>MedicationRequest</w:t>
      </w:r>
      <w:r>
        <w:t xml:space="preserve"> extensions for PGx-informed prescribing</w:t>
      </w:r>
    </w:p>
    <w:p>
      <w:pPr>
        <w:pStyle w:val="ListBullet"/>
        <w:spacing w:after="60"/>
      </w:pPr>
      <w:r>
        <w:rPr>
          <w:rFonts w:ascii="Consolas" w:hAnsi="Consolas"/>
          <w:color w:val="C7254E"/>
          <w:sz w:val="19"/>
        </w:rPr>
        <w:t>Task</w:t>
      </w:r>
      <w:r>
        <w:t xml:space="preserve"> resources for recommended clinical actions</w:t>
      </w:r>
    </w:p>
    <w:p>
      <w:pPr>
        <w:spacing w:before="160" w:after="160"/>
        <w:jc w:val="center"/>
      </w:pPr>
      <w:r>
        <w:rPr>
          <w:color w:val="76B900"/>
          <w:sz w:val="16"/>
        </w:rPr>
        <w:t>━━━━━━━━━━━━━━━━━━━━━━━━━━━━━━━━━━━━━━━━━━━━━━━━━━━━━━━━━━━━</w:t>
      </w:r>
    </w:p>
    <w:p>
      <w:r>
        <w:br w:type="page"/>
      </w:r>
    </w:p>
    <w:p>
      <w:pPr>
        <w:pStyle w:val="Heading2"/>
      </w:pPr>
      <w:r>
        <w:t>16. Product Requirements Document</w:t>
      </w:r>
    </w:p>
    <w:p>
      <w:pPr>
        <w:pStyle w:val="Heading3"/>
      </w:pPr>
      <w:r>
        <w:t>16.1 User Stories</w:t>
      </w:r>
    </w:p>
    <w:p>
      <w:r>
        <w:rPr>
          <w:b/>
        </w:rPr>
        <w:t>Epic 1: Genome-to-PGx Profile (Foundation)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PGX-001</w:t>
            </w:r>
          </w:p>
        </w:tc>
        <w:tc>
          <w:tcPr>
            <w:tcW w:type="dxa" w:w="2340"/>
          </w:tcPr>
          <w:p>
            <w:pPr>
              <w:spacing w:after="40" w:before="40"/>
            </w:pPr>
            <w:r>
              <w:rPr>
                <w:rFonts w:ascii="Calibri" w:hAnsi="Calibri"/>
                <w:sz w:val="19"/>
              </w:rPr>
            </w:r>
            <w:r>
              <w:rPr>
                <w:rFonts w:ascii="Calibri" w:hAnsi="Calibri"/>
                <w:sz w:val="19"/>
              </w:rPr>
              <w:t>As a clinician, I want to upload a patient's VCF file and receive a complete PGx profile so I can make informed prescribing decisions</w:t>
            </w:r>
          </w:p>
        </w:tc>
        <w:tc>
          <w:tcPr>
            <w:tcW w:type="dxa" w:w="2340"/>
          </w:tcPr>
          <w:p>
            <w:pPr>
              <w:spacing w:after="40" w:before="40"/>
            </w:pPr>
            <w:r>
              <w:rPr>
                <w:rFonts w:ascii="Calibri" w:hAnsi="Calibri"/>
                <w:sz w:val="19"/>
              </w:rPr>
            </w:r>
            <w:r>
              <w:rPr>
                <w:rFonts w:ascii="Calibri" w:hAnsi="Calibri"/>
                <w:sz w:val="19"/>
              </w:rPr>
              <w:t>VCF processed, star alleles called for 25+ genes, phenotypes assigned, profile stored in Milvus</w:t>
            </w:r>
          </w:p>
        </w:tc>
        <w:tc>
          <w:tcPr>
            <w:tcW w:type="dxa" w:w="2340"/>
          </w:tcPr>
          <w:p>
            <w:pPr>
              <w:spacing w:after="40" w:before="40"/>
            </w:pPr>
            <w:r>
              <w:rPr>
                <w:rFonts w:ascii="Calibri" w:hAnsi="Calibri"/>
                <w:sz w:val="19"/>
              </w:rPr>
            </w:r>
            <w:r>
              <w:rPr>
                <w:rFonts w:ascii="Calibri" w:hAnsi="Calibri"/>
                <w:sz w:val="19"/>
              </w:rPr>
              <w:t>P0</w:t>
            </w:r>
          </w:p>
        </w:tc>
      </w:tr>
      <w:tr>
        <w:tc>
          <w:tcPr>
            <w:tcW w:type="dxa" w:w="2340"/>
            <w:shd w:fill="F5F5F5"/>
          </w:tcPr>
          <w:p>
            <w:pPr>
              <w:spacing w:after="40" w:before="40"/>
            </w:pPr>
            <w:r>
              <w:rPr>
                <w:rFonts w:ascii="Calibri" w:hAnsi="Calibri"/>
                <w:sz w:val="19"/>
              </w:rPr>
            </w:r>
            <w:r>
              <w:rPr>
                <w:rFonts w:ascii="Calibri" w:hAnsi="Calibri"/>
                <w:sz w:val="19"/>
              </w:rPr>
              <w:t>PGX-002</w:t>
            </w:r>
          </w:p>
        </w:tc>
        <w:tc>
          <w:tcPr>
            <w:tcW w:type="dxa" w:w="2340"/>
            <w:shd w:fill="F5F5F5"/>
          </w:tcPr>
          <w:p>
            <w:pPr>
              <w:spacing w:after="40" w:before="40"/>
            </w:pPr>
            <w:r>
              <w:rPr>
                <w:rFonts w:ascii="Calibri" w:hAnsi="Calibri"/>
                <w:sz w:val="19"/>
              </w:rPr>
            </w:r>
            <w:r>
              <w:rPr>
                <w:rFonts w:ascii="Calibri" w:hAnsi="Calibri"/>
                <w:sz w:val="19"/>
              </w:rPr>
              <w:t>As a clinician, I want to see which of my patient's current medications have PGx implications so I can address high-risk interactions</w:t>
            </w:r>
          </w:p>
        </w:tc>
        <w:tc>
          <w:tcPr>
            <w:tcW w:type="dxa" w:w="2340"/>
            <w:shd w:fill="F5F5F5"/>
          </w:tcPr>
          <w:p>
            <w:pPr>
              <w:spacing w:after="40" w:before="40"/>
            </w:pPr>
            <w:r>
              <w:rPr>
                <w:rFonts w:ascii="Calibri" w:hAnsi="Calibri"/>
                <w:sz w:val="19"/>
              </w:rPr>
            </w:r>
            <w:r>
              <w:rPr>
                <w:rFonts w:ascii="Calibri" w:hAnsi="Calibri"/>
                <w:sz w:val="19"/>
              </w:rPr>
              <w:t>Medication list cross-referenced against PGx profile, alerts generated with CPIC evidence levels</w:t>
            </w:r>
          </w:p>
        </w:tc>
        <w:tc>
          <w:tcPr>
            <w:tcW w:type="dxa" w:w="2340"/>
            <w:shd w:fill="F5F5F5"/>
          </w:tcPr>
          <w:p>
            <w:pPr>
              <w:spacing w:after="40" w:before="40"/>
            </w:pPr>
            <w:r>
              <w:rPr>
                <w:rFonts w:ascii="Calibri" w:hAnsi="Calibri"/>
                <w:sz w:val="19"/>
              </w:rPr>
            </w:r>
            <w:r>
              <w:rPr>
                <w:rFonts w:ascii="Calibri" w:hAnsi="Calibri"/>
                <w:sz w:val="19"/>
              </w:rPr>
              <w:t>P0</w:t>
            </w:r>
          </w:p>
        </w:tc>
      </w:tr>
      <w:tr>
        <w:tc>
          <w:tcPr>
            <w:tcW w:type="dxa" w:w="2340"/>
          </w:tcPr>
          <w:p>
            <w:pPr>
              <w:spacing w:after="40" w:before="40"/>
            </w:pPr>
            <w:r>
              <w:rPr>
                <w:rFonts w:ascii="Calibri" w:hAnsi="Calibri"/>
                <w:sz w:val="19"/>
              </w:rPr>
            </w:r>
            <w:r>
              <w:rPr>
                <w:rFonts w:ascii="Calibri" w:hAnsi="Calibri"/>
                <w:sz w:val="19"/>
              </w:rPr>
              <w:t>PGX-003</w:t>
            </w:r>
          </w:p>
        </w:tc>
        <w:tc>
          <w:tcPr>
            <w:tcW w:type="dxa" w:w="2340"/>
          </w:tcPr>
          <w:p>
            <w:pPr>
              <w:spacing w:after="40" w:before="40"/>
            </w:pPr>
            <w:r>
              <w:rPr>
                <w:rFonts w:ascii="Calibri" w:hAnsi="Calibri"/>
                <w:sz w:val="19"/>
              </w:rPr>
            </w:r>
            <w:r>
              <w:rPr>
                <w:rFonts w:ascii="Calibri" w:hAnsi="Calibri"/>
                <w:sz w:val="19"/>
              </w:rPr>
              <w:t>As a clinician, I want HLA alleles extracted and screened for drug hypersensitivity risk so I can prevent life-threatening reactions</w:t>
            </w:r>
          </w:p>
        </w:tc>
        <w:tc>
          <w:tcPr>
            <w:tcW w:type="dxa" w:w="2340"/>
          </w:tcPr>
          <w:p>
            <w:pPr>
              <w:spacing w:after="40" w:before="40"/>
            </w:pPr>
            <w:r>
              <w:rPr>
                <w:rFonts w:ascii="Calibri" w:hAnsi="Calibri"/>
                <w:sz w:val="19"/>
              </w:rPr>
            </w:r>
            <w:r>
              <w:rPr>
                <w:rFonts w:ascii="Calibri" w:hAnsi="Calibri"/>
                <w:sz w:val="19"/>
              </w:rPr>
              <w:t>HLA typing from WGS, screening against 12+ drug-HLA associations, mandatory screening compliance</w:t>
            </w:r>
          </w:p>
        </w:tc>
        <w:tc>
          <w:tcPr>
            <w:tcW w:type="dxa" w:w="2340"/>
          </w:tcPr>
          <w:p>
            <w:pPr>
              <w:spacing w:after="40" w:before="40"/>
            </w:pPr>
            <w:r>
              <w:rPr>
                <w:rFonts w:ascii="Calibri" w:hAnsi="Calibri"/>
                <w:sz w:val="19"/>
              </w:rPr>
            </w:r>
            <w:r>
              <w:rPr>
                <w:rFonts w:ascii="Calibri" w:hAnsi="Calibri"/>
                <w:sz w:val="19"/>
              </w:rPr>
              <w:t>P0</w:t>
            </w:r>
          </w:p>
        </w:tc>
      </w:tr>
    </w:tbl>
    <w:p/>
    <w:p>
      <w:r>
        <w:rPr>
          <w:b/>
        </w:rPr>
        <w:t>Epic 2: Clinical Decision Support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PGX-004</w:t>
            </w:r>
          </w:p>
        </w:tc>
        <w:tc>
          <w:tcPr>
            <w:tcW w:type="dxa" w:w="2340"/>
          </w:tcPr>
          <w:p>
            <w:pPr>
              <w:spacing w:after="40" w:before="40"/>
            </w:pPr>
            <w:r>
              <w:rPr>
                <w:rFonts w:ascii="Calibri" w:hAnsi="Calibri"/>
                <w:sz w:val="19"/>
              </w:rPr>
            </w:r>
            <w:r>
              <w:rPr>
                <w:rFonts w:ascii="Calibri" w:hAnsi="Calibri"/>
                <w:sz w:val="19"/>
              </w:rPr>
              <w:t>As a prescriber, I want a traffic-light alert when I query a specific drug so I can quickly assess safety</w:t>
            </w:r>
          </w:p>
        </w:tc>
        <w:tc>
          <w:tcPr>
            <w:tcW w:type="dxa" w:w="2340"/>
          </w:tcPr>
          <w:p>
            <w:pPr>
              <w:spacing w:after="40" w:before="40"/>
            </w:pPr>
            <w:r>
              <w:rPr>
                <w:rFonts w:ascii="Calibri" w:hAnsi="Calibri"/>
                <w:sz w:val="19"/>
              </w:rPr>
            </w:r>
            <w:r>
              <w:rPr>
                <w:rFonts w:ascii="Calibri" w:hAnsi="Calibri"/>
                <w:sz w:val="19"/>
              </w:rPr>
              <w:t>Green/Yellow/Red classification with clinical recommendation and alternative drugs</w:t>
            </w:r>
          </w:p>
        </w:tc>
        <w:tc>
          <w:tcPr>
            <w:tcW w:type="dxa" w:w="2340"/>
          </w:tcPr>
          <w:p>
            <w:pPr>
              <w:spacing w:after="40" w:before="40"/>
            </w:pPr>
            <w:r>
              <w:rPr>
                <w:rFonts w:ascii="Calibri" w:hAnsi="Calibri"/>
                <w:sz w:val="19"/>
              </w:rPr>
            </w:r>
            <w:r>
              <w:rPr>
                <w:rFonts w:ascii="Calibri" w:hAnsi="Calibri"/>
                <w:sz w:val="19"/>
              </w:rPr>
              <w:t>P0</w:t>
            </w:r>
          </w:p>
        </w:tc>
      </w:tr>
      <w:tr>
        <w:tc>
          <w:tcPr>
            <w:tcW w:type="dxa" w:w="2340"/>
            <w:shd w:fill="F5F5F5"/>
          </w:tcPr>
          <w:p>
            <w:pPr>
              <w:spacing w:after="40" w:before="40"/>
            </w:pPr>
            <w:r>
              <w:rPr>
                <w:rFonts w:ascii="Calibri" w:hAnsi="Calibri"/>
                <w:sz w:val="19"/>
              </w:rPr>
            </w:r>
            <w:r>
              <w:rPr>
                <w:rFonts w:ascii="Calibri" w:hAnsi="Calibri"/>
                <w:sz w:val="19"/>
              </w:rPr>
              <w:t>PGX-005</w:t>
            </w:r>
          </w:p>
        </w:tc>
        <w:tc>
          <w:tcPr>
            <w:tcW w:type="dxa" w:w="2340"/>
            <w:shd w:fill="F5F5F5"/>
          </w:tcPr>
          <w:p>
            <w:pPr>
              <w:spacing w:after="40" w:before="40"/>
            </w:pPr>
            <w:r>
              <w:rPr>
                <w:rFonts w:ascii="Calibri" w:hAnsi="Calibri"/>
                <w:sz w:val="19"/>
              </w:rPr>
            </w:r>
            <w:r>
              <w:rPr>
                <w:rFonts w:ascii="Calibri" w:hAnsi="Calibri"/>
                <w:sz w:val="19"/>
              </w:rPr>
              <w:t>As a pharmacist, I want phenoconversion detection when reviewing medication lists so I can identify hidden drug-drug-gene interactions</w:t>
            </w:r>
          </w:p>
        </w:tc>
        <w:tc>
          <w:tcPr>
            <w:tcW w:type="dxa" w:w="2340"/>
            <w:shd w:fill="F5F5F5"/>
          </w:tcPr>
          <w:p>
            <w:pPr>
              <w:spacing w:after="40" w:before="40"/>
            </w:pPr>
            <w:r>
              <w:rPr>
                <w:rFonts w:ascii="Calibri" w:hAnsi="Calibri"/>
                <w:sz w:val="19"/>
              </w:rPr>
            </w:r>
            <w:r>
              <w:rPr>
                <w:rFonts w:ascii="Calibri" w:hAnsi="Calibri"/>
                <w:sz w:val="19"/>
              </w:rPr>
              <w:t>All CYP inhibitors/inducers in med list flagged, effective phenotype calculated, cascade effects modeled</w:t>
            </w:r>
          </w:p>
        </w:tc>
        <w:tc>
          <w:tcPr>
            <w:tcW w:type="dxa" w:w="2340"/>
            <w:shd w:fill="F5F5F5"/>
          </w:tcPr>
          <w:p>
            <w:pPr>
              <w:spacing w:after="40" w:before="40"/>
            </w:pPr>
            <w:r>
              <w:rPr>
                <w:rFonts w:ascii="Calibri" w:hAnsi="Calibri"/>
                <w:sz w:val="19"/>
              </w:rPr>
            </w:r>
            <w:r>
              <w:rPr>
                <w:rFonts w:ascii="Calibri" w:hAnsi="Calibri"/>
                <w:sz w:val="19"/>
              </w:rPr>
              <w:t>P1</w:t>
            </w:r>
          </w:p>
        </w:tc>
      </w:tr>
      <w:tr>
        <w:tc>
          <w:tcPr>
            <w:tcW w:type="dxa" w:w="2340"/>
          </w:tcPr>
          <w:p>
            <w:pPr>
              <w:spacing w:after="40" w:before="40"/>
            </w:pPr>
            <w:r>
              <w:rPr>
                <w:rFonts w:ascii="Calibri" w:hAnsi="Calibri"/>
                <w:sz w:val="19"/>
              </w:rPr>
            </w:r>
            <w:r>
              <w:rPr>
                <w:rFonts w:ascii="Calibri" w:hAnsi="Calibri"/>
                <w:sz w:val="19"/>
              </w:rPr>
              <w:t>PGX-006</w:t>
            </w:r>
          </w:p>
        </w:tc>
        <w:tc>
          <w:tcPr>
            <w:tcW w:type="dxa" w:w="2340"/>
          </w:tcPr>
          <w:p>
            <w:pPr>
              <w:spacing w:after="40" w:before="40"/>
            </w:pPr>
            <w:r>
              <w:rPr>
                <w:rFonts w:ascii="Calibri" w:hAnsi="Calibri"/>
                <w:sz w:val="19"/>
              </w:rPr>
            </w:r>
            <w:r>
              <w:rPr>
                <w:rFonts w:ascii="Calibri" w:hAnsi="Calibri"/>
                <w:sz w:val="19"/>
              </w:rPr>
              <w:t>As a cardiologist, I want genotype-guided warfarin dosing using the IWPC algorithm so I can optimize anticoagulation faster</w:t>
            </w:r>
          </w:p>
        </w:tc>
        <w:tc>
          <w:tcPr>
            <w:tcW w:type="dxa" w:w="2340"/>
          </w:tcPr>
          <w:p>
            <w:pPr>
              <w:spacing w:after="40" w:before="40"/>
            </w:pPr>
            <w:r>
              <w:rPr>
                <w:rFonts w:ascii="Calibri" w:hAnsi="Calibri"/>
                <w:sz w:val="19"/>
              </w:rPr>
            </w:r>
            <w:r>
              <w:rPr>
                <w:rFonts w:ascii="Calibri" w:hAnsi="Calibri"/>
                <w:sz w:val="19"/>
              </w:rPr>
              <w:t>CYP2C9+VKORC1+CYP4F2 genotypes + demographics → predicted dose with CI</w:t>
            </w:r>
          </w:p>
        </w:tc>
        <w:tc>
          <w:tcPr>
            <w:tcW w:type="dxa" w:w="2340"/>
          </w:tcPr>
          <w:p>
            <w:pPr>
              <w:spacing w:after="40" w:before="40"/>
            </w:pPr>
            <w:r>
              <w:rPr>
                <w:rFonts w:ascii="Calibri" w:hAnsi="Calibri"/>
                <w:sz w:val="19"/>
              </w:rPr>
            </w:r>
            <w:r>
              <w:rPr>
                <w:rFonts w:ascii="Calibri" w:hAnsi="Calibri"/>
                <w:sz w:val="19"/>
              </w:rPr>
              <w:t>P1</w:t>
            </w:r>
          </w:p>
        </w:tc>
      </w:tr>
    </w:tbl>
    <w:p/>
    <w:p>
      <w:r>
        <w:rPr>
          <w:b/>
        </w:rPr>
        <w:t>Epic 3: Natural Language PGx Consultation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PGX-007</w:t>
            </w:r>
          </w:p>
        </w:tc>
        <w:tc>
          <w:tcPr>
            <w:tcW w:type="dxa" w:w="2340"/>
          </w:tcPr>
          <w:p>
            <w:pPr>
              <w:spacing w:after="40" w:before="40"/>
            </w:pPr>
            <w:r>
              <w:rPr>
                <w:rFonts w:ascii="Calibri" w:hAnsi="Calibri"/>
                <w:sz w:val="19"/>
              </w:rPr>
            </w:r>
            <w:r>
              <w:rPr>
                <w:rFonts w:ascii="Calibri" w:hAnsi="Calibri"/>
                <w:sz w:val="19"/>
              </w:rPr>
              <w:t>As a clinician with no PGx training, I want to ask questions in plain English and get clear recommendations so I don't need to interpret star alleles myself</w:t>
            </w:r>
          </w:p>
        </w:tc>
        <w:tc>
          <w:tcPr>
            <w:tcW w:type="dxa" w:w="2340"/>
          </w:tcPr>
          <w:p>
            <w:pPr>
              <w:spacing w:after="40" w:before="40"/>
            </w:pPr>
            <w:r>
              <w:rPr>
                <w:rFonts w:ascii="Calibri" w:hAnsi="Calibri"/>
                <w:sz w:val="19"/>
              </w:rPr>
            </w:r>
            <w:r>
              <w:rPr>
                <w:rFonts w:ascii="Calibri" w:hAnsi="Calibri"/>
                <w:sz w:val="19"/>
              </w:rPr>
              <w:t>Natural language query → grounded RAG response with CPIC citations and evidence levels</w:t>
            </w:r>
          </w:p>
        </w:tc>
        <w:tc>
          <w:tcPr>
            <w:tcW w:type="dxa" w:w="2340"/>
          </w:tcPr>
          <w:p>
            <w:pPr>
              <w:spacing w:after="40" w:before="40"/>
            </w:pPr>
            <w:r>
              <w:rPr>
                <w:rFonts w:ascii="Calibri" w:hAnsi="Calibri"/>
                <w:sz w:val="19"/>
              </w:rPr>
            </w:r>
            <w:r>
              <w:rPr>
                <w:rFonts w:ascii="Calibri" w:hAnsi="Calibri"/>
                <w:sz w:val="19"/>
              </w:rPr>
              <w:t>P0</w:t>
            </w:r>
          </w:p>
        </w:tc>
      </w:tr>
      <w:tr>
        <w:tc>
          <w:tcPr>
            <w:tcW w:type="dxa" w:w="2340"/>
            <w:shd w:fill="F5F5F5"/>
          </w:tcPr>
          <w:p>
            <w:pPr>
              <w:spacing w:after="40" w:before="40"/>
            </w:pPr>
            <w:r>
              <w:rPr>
                <w:rFonts w:ascii="Calibri" w:hAnsi="Calibri"/>
                <w:sz w:val="19"/>
              </w:rPr>
            </w:r>
            <w:r>
              <w:rPr>
                <w:rFonts w:ascii="Calibri" w:hAnsi="Calibri"/>
                <w:sz w:val="19"/>
              </w:rPr>
              <w:t>PGX-008</w:t>
            </w:r>
          </w:p>
        </w:tc>
        <w:tc>
          <w:tcPr>
            <w:tcW w:type="dxa" w:w="2340"/>
            <w:shd w:fill="F5F5F5"/>
          </w:tcPr>
          <w:p>
            <w:pPr>
              <w:spacing w:after="40" w:before="40"/>
            </w:pPr>
            <w:r>
              <w:rPr>
                <w:rFonts w:ascii="Calibri" w:hAnsi="Calibri"/>
                <w:sz w:val="19"/>
              </w:rPr>
            </w:r>
            <w:r>
              <w:rPr>
                <w:rFonts w:ascii="Calibri" w:hAnsi="Calibri"/>
                <w:sz w:val="19"/>
              </w:rPr>
              <w:t>As a clinician, I want to ask "What should I use instead?" when a drug is flagged and get ranked alternatives with rationale</w:t>
            </w:r>
          </w:p>
        </w:tc>
        <w:tc>
          <w:tcPr>
            <w:tcW w:type="dxa" w:w="2340"/>
            <w:shd w:fill="F5F5F5"/>
          </w:tcPr>
          <w:p>
            <w:pPr>
              <w:spacing w:after="40" w:before="40"/>
            </w:pPr>
            <w:r>
              <w:rPr>
                <w:rFonts w:ascii="Calibri" w:hAnsi="Calibri"/>
                <w:sz w:val="19"/>
              </w:rPr>
            </w:r>
            <w:r>
              <w:rPr>
                <w:rFonts w:ascii="Calibri" w:hAnsi="Calibri"/>
                <w:sz w:val="19"/>
              </w:rPr>
              <w:t>Alternative drug list ranked by PGx suitability with explanation of why each is preferred</w:t>
            </w:r>
          </w:p>
        </w:tc>
        <w:tc>
          <w:tcPr>
            <w:tcW w:type="dxa" w:w="2340"/>
            <w:shd w:fill="F5F5F5"/>
          </w:tcPr>
          <w:p>
            <w:pPr>
              <w:spacing w:after="40" w:before="40"/>
            </w:pPr>
            <w:r>
              <w:rPr>
                <w:rFonts w:ascii="Calibri" w:hAnsi="Calibri"/>
                <w:sz w:val="19"/>
              </w:rPr>
            </w:r>
            <w:r>
              <w:rPr>
                <w:rFonts w:ascii="Calibri" w:hAnsi="Calibri"/>
                <w:sz w:val="19"/>
              </w:rPr>
              <w:t>P1</w:t>
            </w:r>
          </w:p>
        </w:tc>
      </w:tr>
      <w:tr>
        <w:tc>
          <w:tcPr>
            <w:tcW w:type="dxa" w:w="2340"/>
          </w:tcPr>
          <w:p>
            <w:pPr>
              <w:spacing w:after="40" w:before="40"/>
            </w:pPr>
            <w:r>
              <w:rPr>
                <w:rFonts w:ascii="Calibri" w:hAnsi="Calibri"/>
                <w:sz w:val="19"/>
              </w:rPr>
            </w:r>
            <w:r>
              <w:rPr>
                <w:rFonts w:ascii="Calibri" w:hAnsi="Calibri"/>
                <w:sz w:val="19"/>
              </w:rPr>
              <w:t>PGX-009</w:t>
            </w:r>
          </w:p>
        </w:tc>
        <w:tc>
          <w:tcPr>
            <w:tcW w:type="dxa" w:w="2340"/>
          </w:tcPr>
          <w:p>
            <w:pPr>
              <w:spacing w:after="40" w:before="40"/>
            </w:pPr>
            <w:r>
              <w:rPr>
                <w:rFonts w:ascii="Calibri" w:hAnsi="Calibri"/>
                <w:sz w:val="19"/>
              </w:rPr>
            </w:r>
            <w:r>
              <w:rPr>
                <w:rFonts w:ascii="Calibri" w:hAnsi="Calibri"/>
                <w:sz w:val="19"/>
              </w:rPr>
              <w:t>As an oncologist, I want to check chemotherapy safety (DPYD, TPMT, NUDT15, UGT1A1) before starting treatment so I can prevent fatal toxicity</w:t>
            </w:r>
          </w:p>
        </w:tc>
        <w:tc>
          <w:tcPr>
            <w:tcW w:type="dxa" w:w="2340"/>
          </w:tcPr>
          <w:p>
            <w:pPr>
              <w:spacing w:after="40" w:before="40"/>
            </w:pPr>
            <w:r>
              <w:rPr>
                <w:rFonts w:ascii="Calibri" w:hAnsi="Calibri"/>
                <w:sz w:val="19"/>
              </w:rPr>
            </w:r>
            <w:r>
              <w:rPr>
                <w:rFonts w:ascii="Calibri" w:hAnsi="Calibri"/>
                <w:sz w:val="19"/>
              </w:rPr>
              <w:t>All relevant chemotherapy PGx genes assessed, dose adjustment calculated, CRITICAL alerts for deficiency</w:t>
            </w:r>
          </w:p>
        </w:tc>
        <w:tc>
          <w:tcPr>
            <w:tcW w:type="dxa" w:w="2340"/>
          </w:tcPr>
          <w:p>
            <w:pPr>
              <w:spacing w:after="40" w:before="40"/>
            </w:pPr>
            <w:r>
              <w:rPr>
                <w:rFonts w:ascii="Calibri" w:hAnsi="Calibri"/>
                <w:sz w:val="19"/>
              </w:rPr>
            </w:r>
            <w:r>
              <w:rPr>
                <w:rFonts w:ascii="Calibri" w:hAnsi="Calibri"/>
                <w:sz w:val="19"/>
              </w:rPr>
              <w:t>P0</w:t>
            </w:r>
          </w:p>
        </w:tc>
      </w:tr>
    </w:tbl>
    <w:p/>
    <w:p>
      <w:r>
        <w:rPr>
          <w:b/>
        </w:rPr>
        <w:t>Epic 4: Reporting and Communication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PGX-010</w:t>
            </w:r>
          </w:p>
        </w:tc>
        <w:tc>
          <w:tcPr>
            <w:tcW w:type="dxa" w:w="2340"/>
          </w:tcPr>
          <w:p>
            <w:pPr>
              <w:spacing w:after="40" w:before="40"/>
            </w:pPr>
            <w:r>
              <w:rPr>
                <w:rFonts w:ascii="Calibri" w:hAnsi="Calibri"/>
                <w:sz w:val="19"/>
              </w:rPr>
            </w:r>
            <w:r>
              <w:rPr>
                <w:rFonts w:ascii="Calibri" w:hAnsi="Calibri"/>
                <w:sz w:val="19"/>
              </w:rPr>
              <w:t>As a clinician, I want to generate a PDF PGx report for the medical record so results are documented and accessible to other providers</w:t>
            </w:r>
          </w:p>
        </w:tc>
        <w:tc>
          <w:tcPr>
            <w:tcW w:type="dxa" w:w="2340"/>
          </w:tcPr>
          <w:p>
            <w:pPr>
              <w:spacing w:after="40" w:before="40"/>
            </w:pPr>
            <w:r>
              <w:rPr>
                <w:rFonts w:ascii="Calibri" w:hAnsi="Calibri"/>
                <w:sz w:val="19"/>
              </w:rPr>
            </w:r>
            <w:r>
              <w:rPr>
                <w:rFonts w:ascii="Calibri" w:hAnsi="Calibri"/>
                <w:sz w:val="19"/>
              </w:rPr>
              <w:t>Multi-page clinical report with gene table, alerts, recommendations, evidence citations</w:t>
            </w:r>
          </w:p>
        </w:tc>
        <w:tc>
          <w:tcPr>
            <w:tcW w:type="dxa" w:w="2340"/>
          </w:tcPr>
          <w:p>
            <w:pPr>
              <w:spacing w:after="40" w:before="40"/>
            </w:pPr>
            <w:r>
              <w:rPr>
                <w:rFonts w:ascii="Calibri" w:hAnsi="Calibri"/>
                <w:sz w:val="19"/>
              </w:rPr>
            </w:r>
            <w:r>
              <w:rPr>
                <w:rFonts w:ascii="Calibri" w:hAnsi="Calibri"/>
                <w:sz w:val="19"/>
              </w:rPr>
              <w:t>P1</w:t>
            </w:r>
          </w:p>
        </w:tc>
      </w:tr>
      <w:tr>
        <w:tc>
          <w:tcPr>
            <w:tcW w:type="dxa" w:w="2340"/>
            <w:shd w:fill="F5F5F5"/>
          </w:tcPr>
          <w:p>
            <w:pPr>
              <w:spacing w:after="40" w:before="40"/>
            </w:pPr>
            <w:r>
              <w:rPr>
                <w:rFonts w:ascii="Calibri" w:hAnsi="Calibri"/>
                <w:sz w:val="19"/>
              </w:rPr>
            </w:r>
            <w:r>
              <w:rPr>
                <w:rFonts w:ascii="Calibri" w:hAnsi="Calibri"/>
                <w:sz w:val="19"/>
              </w:rPr>
              <w:t>PGX-011</w:t>
            </w:r>
          </w:p>
        </w:tc>
        <w:tc>
          <w:tcPr>
            <w:tcW w:type="dxa" w:w="2340"/>
            <w:shd w:fill="F5F5F5"/>
          </w:tcPr>
          <w:p>
            <w:pPr>
              <w:spacing w:after="40" w:before="40"/>
            </w:pPr>
            <w:r>
              <w:rPr>
                <w:rFonts w:ascii="Calibri" w:hAnsi="Calibri"/>
                <w:sz w:val="19"/>
              </w:rPr>
            </w:r>
            <w:r>
              <w:rPr>
                <w:rFonts w:ascii="Calibri" w:hAnsi="Calibri"/>
                <w:sz w:val="19"/>
              </w:rPr>
              <w:t>As a patient, I want a PGx Passport card I can carry so I can inform emergency providers about my drug sensitivities</w:t>
            </w:r>
          </w:p>
        </w:tc>
        <w:tc>
          <w:tcPr>
            <w:tcW w:type="dxa" w:w="2340"/>
            <w:shd w:fill="F5F5F5"/>
          </w:tcPr>
          <w:p>
            <w:pPr>
              <w:spacing w:after="40" w:before="40"/>
            </w:pPr>
            <w:r>
              <w:rPr>
                <w:rFonts w:ascii="Calibri" w:hAnsi="Calibri"/>
                <w:sz w:val="19"/>
              </w:rPr>
            </w:r>
            <w:r>
              <w:rPr>
                <w:rFonts w:ascii="Calibri" w:hAnsi="Calibri"/>
                <w:sz w:val="19"/>
              </w:rPr>
              <w:t>Wallet-card format with critical AVOID drugs, HLA alerts, and metabolizer status for key genes</w:t>
            </w:r>
          </w:p>
        </w:tc>
        <w:tc>
          <w:tcPr>
            <w:tcW w:type="dxa" w:w="2340"/>
            <w:shd w:fill="F5F5F5"/>
          </w:tcPr>
          <w:p>
            <w:pPr>
              <w:spacing w:after="40" w:before="40"/>
            </w:pPr>
            <w:r>
              <w:rPr>
                <w:rFonts w:ascii="Calibri" w:hAnsi="Calibri"/>
                <w:sz w:val="19"/>
              </w:rPr>
            </w:r>
            <w:r>
              <w:rPr>
                <w:rFonts w:ascii="Calibri" w:hAnsi="Calibri"/>
                <w:sz w:val="19"/>
              </w:rPr>
              <w:t>P1</w:t>
            </w:r>
          </w:p>
        </w:tc>
      </w:tr>
      <w:tr>
        <w:tc>
          <w:tcPr>
            <w:tcW w:type="dxa" w:w="2340"/>
          </w:tcPr>
          <w:p>
            <w:pPr>
              <w:spacing w:after="40" w:before="40"/>
            </w:pPr>
            <w:r>
              <w:rPr>
                <w:rFonts w:ascii="Calibri" w:hAnsi="Calibri"/>
                <w:sz w:val="19"/>
              </w:rPr>
            </w:r>
            <w:r>
              <w:rPr>
                <w:rFonts w:ascii="Calibri" w:hAnsi="Calibri"/>
                <w:sz w:val="19"/>
              </w:rPr>
              <w:t>PGX-012</w:t>
            </w:r>
          </w:p>
        </w:tc>
        <w:tc>
          <w:tcPr>
            <w:tcW w:type="dxa" w:w="2340"/>
          </w:tcPr>
          <w:p>
            <w:pPr>
              <w:spacing w:after="40" w:before="40"/>
            </w:pPr>
            <w:r>
              <w:rPr>
                <w:rFonts w:ascii="Calibri" w:hAnsi="Calibri"/>
                <w:sz w:val="19"/>
              </w:rPr>
            </w:r>
            <w:r>
              <w:rPr>
                <w:rFonts w:ascii="Calibri" w:hAnsi="Calibri"/>
                <w:sz w:val="19"/>
              </w:rPr>
              <w:t>As a healthcare system, I want FHIR-formatted PGx data so I can integrate results into our EHR</w:t>
            </w:r>
          </w:p>
        </w:tc>
        <w:tc>
          <w:tcPr>
            <w:tcW w:type="dxa" w:w="2340"/>
          </w:tcPr>
          <w:p>
            <w:pPr>
              <w:spacing w:after="40" w:before="40"/>
            </w:pPr>
            <w:r>
              <w:rPr>
                <w:rFonts w:ascii="Calibri" w:hAnsi="Calibri"/>
                <w:sz w:val="19"/>
              </w:rPr>
            </w:r>
            <w:r>
              <w:rPr>
                <w:rFonts w:ascii="Calibri" w:hAnsi="Calibri"/>
                <w:sz w:val="19"/>
              </w:rPr>
              <w:t>DiagnosticReport + Observation FHIR resources with proper LOINC/SNOMED coding</w:t>
            </w:r>
          </w:p>
        </w:tc>
        <w:tc>
          <w:tcPr>
            <w:tcW w:type="dxa" w:w="2340"/>
          </w:tcPr>
          <w:p>
            <w:pPr>
              <w:spacing w:after="40" w:before="40"/>
            </w:pPr>
            <w:r>
              <w:rPr>
                <w:rFonts w:ascii="Calibri" w:hAnsi="Calibri"/>
                <w:sz w:val="19"/>
              </w:rPr>
            </w:r>
            <w:r>
              <w:rPr>
                <w:rFonts w:ascii="Calibri" w:hAnsi="Calibri"/>
                <w:sz w:val="19"/>
              </w:rPr>
              <w:t>P2</w:t>
            </w:r>
          </w:p>
        </w:tc>
      </w:tr>
    </w:tbl>
    <w:p/>
    <w:p>
      <w:r>
        <w:rPr>
          <w:b/>
        </w:rPr>
        <w:t>Epic 5: Population Health and Analytics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PGX-013</w:t>
            </w:r>
          </w:p>
        </w:tc>
        <w:tc>
          <w:tcPr>
            <w:tcW w:type="dxa" w:w="2340"/>
          </w:tcPr>
          <w:p>
            <w:pPr>
              <w:spacing w:after="40" w:before="40"/>
            </w:pPr>
            <w:r>
              <w:rPr>
                <w:rFonts w:ascii="Calibri" w:hAnsi="Calibri"/>
                <w:sz w:val="19"/>
              </w:rPr>
            </w:r>
            <w:r>
              <w:rPr>
                <w:rFonts w:ascii="Calibri" w:hAnsi="Calibri"/>
                <w:sz w:val="19"/>
              </w:rPr>
              <w:t>As a health equity researcher, I want population-specific PGx analytics so I can identify disparities in PGx-relevant prescribing</w:t>
            </w:r>
          </w:p>
        </w:tc>
        <w:tc>
          <w:tcPr>
            <w:tcW w:type="dxa" w:w="2340"/>
          </w:tcPr>
          <w:p>
            <w:pPr>
              <w:spacing w:after="40" w:before="40"/>
            </w:pPr>
            <w:r>
              <w:rPr>
                <w:rFonts w:ascii="Calibri" w:hAnsi="Calibri"/>
                <w:sz w:val="19"/>
              </w:rPr>
            </w:r>
            <w:r>
              <w:rPr>
                <w:rFonts w:ascii="Calibri" w:hAnsi="Calibri"/>
                <w:sz w:val="19"/>
              </w:rPr>
              <w:t>Allele frequency data by ethnicity, metabolizer phenotype distributions, differential risk analysis</w:t>
            </w:r>
          </w:p>
        </w:tc>
        <w:tc>
          <w:tcPr>
            <w:tcW w:type="dxa" w:w="2340"/>
          </w:tcPr>
          <w:p>
            <w:pPr>
              <w:spacing w:after="40" w:before="40"/>
            </w:pPr>
            <w:r>
              <w:rPr>
                <w:rFonts w:ascii="Calibri" w:hAnsi="Calibri"/>
                <w:sz w:val="19"/>
              </w:rPr>
            </w:r>
            <w:r>
              <w:rPr>
                <w:rFonts w:ascii="Calibri" w:hAnsi="Calibri"/>
                <w:sz w:val="19"/>
              </w:rPr>
              <w:t>P2</w:t>
            </w:r>
          </w:p>
        </w:tc>
      </w:tr>
      <w:tr>
        <w:tc>
          <w:tcPr>
            <w:tcW w:type="dxa" w:w="2340"/>
            <w:shd w:fill="F5F5F5"/>
          </w:tcPr>
          <w:p>
            <w:pPr>
              <w:spacing w:after="40" w:before="40"/>
            </w:pPr>
            <w:r>
              <w:rPr>
                <w:rFonts w:ascii="Calibri" w:hAnsi="Calibri"/>
                <w:sz w:val="19"/>
              </w:rPr>
            </w:r>
            <w:r>
              <w:rPr>
                <w:rFonts w:ascii="Calibri" w:hAnsi="Calibri"/>
                <w:sz w:val="19"/>
              </w:rPr>
              <w:t>PGX-014</w:t>
            </w:r>
          </w:p>
        </w:tc>
        <w:tc>
          <w:tcPr>
            <w:tcW w:type="dxa" w:w="2340"/>
            <w:shd w:fill="F5F5F5"/>
          </w:tcPr>
          <w:p>
            <w:pPr>
              <w:spacing w:after="40" w:before="40"/>
            </w:pPr>
            <w:r>
              <w:rPr>
                <w:rFonts w:ascii="Calibri" w:hAnsi="Calibri"/>
                <w:sz w:val="19"/>
              </w:rPr>
            </w:r>
            <w:r>
              <w:rPr>
                <w:rFonts w:ascii="Calibri" w:hAnsi="Calibri"/>
                <w:sz w:val="19"/>
              </w:rPr>
              <w:t>As a pharmacy director, I want aggregate PGx data across our patient population so I can prioritize formulary changes</w:t>
            </w:r>
          </w:p>
        </w:tc>
        <w:tc>
          <w:tcPr>
            <w:tcW w:type="dxa" w:w="2340"/>
            <w:shd w:fill="F5F5F5"/>
          </w:tcPr>
          <w:p>
            <w:pPr>
              <w:spacing w:after="40" w:before="40"/>
            </w:pPr>
            <w:r>
              <w:rPr>
                <w:rFonts w:ascii="Calibri" w:hAnsi="Calibri"/>
                <w:sz w:val="19"/>
              </w:rPr>
            </w:r>
            <w:r>
              <w:rPr>
                <w:rFonts w:ascii="Calibri" w:hAnsi="Calibri"/>
                <w:sz w:val="19"/>
              </w:rPr>
              <w:t>Population-level metabolizer phenotype distributions for drugs on formulary</w:t>
            </w:r>
          </w:p>
        </w:tc>
        <w:tc>
          <w:tcPr>
            <w:tcW w:type="dxa" w:w="2340"/>
            <w:shd w:fill="F5F5F5"/>
          </w:tcPr>
          <w:p>
            <w:pPr>
              <w:spacing w:after="40" w:before="40"/>
            </w:pPr>
            <w:r>
              <w:rPr>
                <w:rFonts w:ascii="Calibri" w:hAnsi="Calibri"/>
                <w:sz w:val="19"/>
              </w:rPr>
            </w:r>
            <w:r>
              <w:rPr>
                <w:rFonts w:ascii="Calibri" w:hAnsi="Calibri"/>
                <w:sz w:val="19"/>
              </w:rPr>
              <w:t>P2</w:t>
            </w:r>
          </w:p>
        </w:tc>
      </w:tr>
    </w:tbl>
    <w:p/>
    <w:p>
      <w:r>
        <w:rPr>
          <w:b/>
        </w:rPr>
        <w:t>Epic 6: Multi-Gene and Complex Scenarios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ID</w:t>
            </w:r>
          </w:p>
        </w:tc>
        <w:tc>
          <w:tcPr>
            <w:tcW w:type="dxa" w:w="2340"/>
            <w:shd w:fill="1A1A2E"/>
          </w:tcPr>
          <w:p>
            <w:pPr>
              <w:spacing w:after="40" w:before="40"/>
            </w:pPr>
            <w:r/>
            <w:r>
              <w:rPr>
                <w:rFonts w:ascii="Calibri" w:hAnsi="Calibri"/>
                <w:b/>
                <w:color w:val="FFFFFF"/>
                <w:sz w:val="20"/>
              </w:rPr>
              <w:t>Story</w:t>
            </w:r>
          </w:p>
        </w:tc>
        <w:tc>
          <w:tcPr>
            <w:tcW w:type="dxa" w:w="2340"/>
            <w:shd w:fill="1A1A2E"/>
          </w:tcPr>
          <w:p>
            <w:pPr>
              <w:spacing w:after="40" w:before="40"/>
            </w:pPr>
            <w:r/>
            <w:r>
              <w:rPr>
                <w:rFonts w:ascii="Calibri" w:hAnsi="Calibri"/>
                <w:b/>
                <w:color w:val="FFFFFF"/>
                <w:sz w:val="20"/>
              </w:rPr>
              <w:t>Acceptance Criteria</w:t>
            </w:r>
          </w:p>
        </w:tc>
        <w:tc>
          <w:tcPr>
            <w:tcW w:type="dxa" w:w="2340"/>
            <w:shd w:fill="1A1A2E"/>
          </w:tcPr>
          <w:p>
            <w:pPr>
              <w:spacing w:after="40" w:before="40"/>
            </w:pPr>
            <w:r/>
            <w:r>
              <w:rPr>
                <w:rFonts w:ascii="Calibri" w:hAnsi="Calibri"/>
                <w:b/>
                <w:color w:val="FFFFFF"/>
                <w:sz w:val="20"/>
              </w:rPr>
              <w:t>Priority</w:t>
            </w:r>
          </w:p>
        </w:tc>
      </w:tr>
      <w:tr>
        <w:tc>
          <w:tcPr>
            <w:tcW w:type="dxa" w:w="2340"/>
          </w:tcPr>
          <w:p>
            <w:pPr>
              <w:spacing w:after="40" w:before="40"/>
            </w:pPr>
            <w:r>
              <w:rPr>
                <w:rFonts w:ascii="Calibri" w:hAnsi="Calibri"/>
                <w:sz w:val="19"/>
              </w:rPr>
            </w:r>
            <w:r>
              <w:rPr>
                <w:rFonts w:ascii="Calibri" w:hAnsi="Calibri"/>
                <w:sz w:val="19"/>
              </w:rPr>
              <w:t>PGX-015</w:t>
            </w:r>
          </w:p>
        </w:tc>
        <w:tc>
          <w:tcPr>
            <w:tcW w:type="dxa" w:w="2340"/>
          </w:tcPr>
          <w:p>
            <w:pPr>
              <w:spacing w:after="40" w:before="40"/>
            </w:pPr>
            <w:r>
              <w:rPr>
                <w:rFonts w:ascii="Calibri" w:hAnsi="Calibri"/>
                <w:sz w:val="19"/>
              </w:rPr>
            </w:r>
            <w:r>
              <w:rPr>
                <w:rFonts w:ascii="Calibri" w:hAnsi="Calibri"/>
                <w:sz w:val="19"/>
              </w:rPr>
              <w:t>As a psychiatrist prescribing multiple psychotropic medications, I want a comprehensive CYP profile (2D6+2C19+1A2+3A4) so I can avoid multi-drug interactions</w:t>
            </w:r>
          </w:p>
        </w:tc>
        <w:tc>
          <w:tcPr>
            <w:tcW w:type="dxa" w:w="2340"/>
          </w:tcPr>
          <w:p>
            <w:pPr>
              <w:spacing w:after="40" w:before="40"/>
            </w:pPr>
            <w:r>
              <w:rPr>
                <w:rFonts w:ascii="Calibri" w:hAnsi="Calibri"/>
                <w:sz w:val="19"/>
              </w:rPr>
            </w:r>
            <w:r>
              <w:rPr>
                <w:rFonts w:ascii="Calibri" w:hAnsi="Calibri"/>
                <w:sz w:val="19"/>
              </w:rPr>
              <w:t>All psychiatric-relevant CYP phenotypes assessed, drug-drug-gene interactions modeled, recommendations for the combination</w:t>
            </w:r>
          </w:p>
        </w:tc>
        <w:tc>
          <w:tcPr>
            <w:tcW w:type="dxa" w:w="2340"/>
          </w:tcPr>
          <w:p>
            <w:pPr>
              <w:spacing w:after="40" w:before="40"/>
            </w:pPr>
            <w:r>
              <w:rPr>
                <w:rFonts w:ascii="Calibri" w:hAnsi="Calibri"/>
                <w:sz w:val="19"/>
              </w:rPr>
            </w:r>
            <w:r>
              <w:rPr>
                <w:rFonts w:ascii="Calibri" w:hAnsi="Calibri"/>
                <w:sz w:val="19"/>
              </w:rPr>
              <w:t>P1</w:t>
            </w:r>
          </w:p>
        </w:tc>
      </w:tr>
      <w:tr>
        <w:tc>
          <w:tcPr>
            <w:tcW w:type="dxa" w:w="2340"/>
            <w:shd w:fill="F5F5F5"/>
          </w:tcPr>
          <w:p>
            <w:pPr>
              <w:spacing w:after="40" w:before="40"/>
            </w:pPr>
            <w:r>
              <w:rPr>
                <w:rFonts w:ascii="Calibri" w:hAnsi="Calibri"/>
                <w:sz w:val="19"/>
              </w:rPr>
            </w:r>
            <w:r>
              <w:rPr>
                <w:rFonts w:ascii="Calibri" w:hAnsi="Calibri"/>
                <w:sz w:val="19"/>
              </w:rPr>
              <w:t>PGX-016</w:t>
            </w:r>
          </w:p>
        </w:tc>
        <w:tc>
          <w:tcPr>
            <w:tcW w:type="dxa" w:w="2340"/>
            <w:shd w:fill="F5F5F5"/>
          </w:tcPr>
          <w:p>
            <w:pPr>
              <w:spacing w:after="40" w:before="40"/>
            </w:pPr>
            <w:r>
              <w:rPr>
                <w:rFonts w:ascii="Calibri" w:hAnsi="Calibri"/>
                <w:sz w:val="19"/>
              </w:rPr>
            </w:r>
            <w:r>
              <w:rPr>
                <w:rFonts w:ascii="Calibri" w:hAnsi="Calibri"/>
                <w:sz w:val="19"/>
              </w:rPr>
              <w:t>As an internist managing a polypharmacy patient, I want the system to model phenoconversion cascades when adding a new drug so I can anticipate downstream effects</w:t>
            </w:r>
          </w:p>
        </w:tc>
        <w:tc>
          <w:tcPr>
            <w:tcW w:type="dxa" w:w="2340"/>
            <w:shd w:fill="F5F5F5"/>
          </w:tcPr>
          <w:p>
            <w:pPr>
              <w:spacing w:after="40" w:before="40"/>
            </w:pPr>
            <w:r>
              <w:rPr>
                <w:rFonts w:ascii="Calibri" w:hAnsi="Calibri"/>
                <w:sz w:val="19"/>
              </w:rPr>
            </w:r>
            <w:r>
              <w:rPr>
                <w:rFonts w:ascii="Calibri" w:hAnsi="Calibri"/>
                <w:sz w:val="19"/>
              </w:rPr>
              <w:t>Interactive "what if" modeling: add Drug X → see phenotype changes → see downstream drug level predictions</w:t>
            </w:r>
          </w:p>
        </w:tc>
        <w:tc>
          <w:tcPr>
            <w:tcW w:type="dxa" w:w="2340"/>
            <w:shd w:fill="F5F5F5"/>
          </w:tcPr>
          <w:p>
            <w:pPr>
              <w:spacing w:after="40" w:before="40"/>
            </w:pPr>
            <w:r>
              <w:rPr>
                <w:rFonts w:ascii="Calibri" w:hAnsi="Calibri"/>
                <w:sz w:val="19"/>
              </w:rPr>
            </w:r>
            <w:r>
              <w:rPr>
                <w:rFonts w:ascii="Calibri" w:hAnsi="Calibri"/>
                <w:sz w:val="19"/>
              </w:rPr>
              <w:t>P1</w:t>
            </w:r>
          </w:p>
        </w:tc>
      </w:tr>
      <w:tr>
        <w:tc>
          <w:tcPr>
            <w:tcW w:type="dxa" w:w="2340"/>
          </w:tcPr>
          <w:p>
            <w:pPr>
              <w:spacing w:after="40" w:before="40"/>
            </w:pPr>
            <w:r>
              <w:rPr>
                <w:rFonts w:ascii="Calibri" w:hAnsi="Calibri"/>
                <w:sz w:val="19"/>
              </w:rPr>
            </w:r>
            <w:r>
              <w:rPr>
                <w:rFonts w:ascii="Calibri" w:hAnsi="Calibri"/>
                <w:sz w:val="19"/>
              </w:rPr>
              <w:t>PGX-017</w:t>
            </w:r>
          </w:p>
        </w:tc>
        <w:tc>
          <w:tcPr>
            <w:tcW w:type="dxa" w:w="2340"/>
          </w:tcPr>
          <w:p>
            <w:pPr>
              <w:spacing w:after="40" w:before="40"/>
            </w:pPr>
            <w:r>
              <w:rPr>
                <w:rFonts w:ascii="Calibri" w:hAnsi="Calibri"/>
                <w:sz w:val="19"/>
              </w:rPr>
            </w:r>
            <w:r>
              <w:rPr>
                <w:rFonts w:ascii="Calibri" w:hAnsi="Calibri"/>
                <w:sz w:val="19"/>
              </w:rPr>
              <w:t>As a transplant physician, I want CYP3A5-guided tacrolimus dosing so I can reach therapeutic levels faster and reduce rejection risk</w:t>
            </w:r>
          </w:p>
        </w:tc>
        <w:tc>
          <w:tcPr>
            <w:tcW w:type="dxa" w:w="2340"/>
          </w:tcPr>
          <w:p>
            <w:pPr>
              <w:spacing w:after="40" w:before="40"/>
            </w:pPr>
            <w:r>
              <w:rPr>
                <w:rFonts w:ascii="Calibri" w:hAnsi="Calibri"/>
                <w:sz w:val="19"/>
              </w:rPr>
            </w:r>
            <w:r>
              <w:rPr>
                <w:rFonts w:ascii="Calibri" w:hAnsi="Calibri"/>
                <w:sz w:val="19"/>
              </w:rPr>
              <w:t>CYP3A5 phenotype → starting dose recommendation with expected trough level range</w:t>
            </w:r>
          </w:p>
        </w:tc>
        <w:tc>
          <w:tcPr>
            <w:tcW w:type="dxa" w:w="2340"/>
          </w:tcPr>
          <w:p>
            <w:pPr>
              <w:spacing w:after="40" w:before="40"/>
            </w:pPr>
            <w:r>
              <w:rPr>
                <w:rFonts w:ascii="Calibri" w:hAnsi="Calibri"/>
                <w:sz w:val="19"/>
              </w:rPr>
            </w:r>
            <w:r>
              <w:rPr>
                <w:rFonts w:ascii="Calibri" w:hAnsi="Calibri"/>
                <w:sz w:val="19"/>
              </w:rPr>
              <w:t>P1</w:t>
            </w:r>
          </w:p>
        </w:tc>
      </w:tr>
      <w:tr>
        <w:tc>
          <w:tcPr>
            <w:tcW w:type="dxa" w:w="2340"/>
            <w:shd w:fill="F5F5F5"/>
          </w:tcPr>
          <w:p>
            <w:pPr>
              <w:spacing w:after="40" w:before="40"/>
            </w:pPr>
            <w:r>
              <w:rPr>
                <w:rFonts w:ascii="Calibri" w:hAnsi="Calibri"/>
                <w:sz w:val="19"/>
              </w:rPr>
            </w:r>
            <w:r>
              <w:rPr>
                <w:rFonts w:ascii="Calibri" w:hAnsi="Calibri"/>
                <w:sz w:val="19"/>
              </w:rPr>
              <w:t>PGX-018</w:t>
            </w:r>
          </w:p>
        </w:tc>
        <w:tc>
          <w:tcPr>
            <w:tcW w:type="dxa" w:w="2340"/>
            <w:shd w:fill="F5F5F5"/>
          </w:tcPr>
          <w:p>
            <w:pPr>
              <w:spacing w:after="40" w:before="40"/>
            </w:pPr>
            <w:r>
              <w:rPr>
                <w:rFonts w:ascii="Calibri" w:hAnsi="Calibri"/>
                <w:sz w:val="19"/>
              </w:rPr>
            </w:r>
            <w:r>
              <w:rPr>
                <w:rFonts w:ascii="Calibri" w:hAnsi="Calibri"/>
                <w:sz w:val="19"/>
              </w:rPr>
              <w:t>As a pain specialist, I want comprehensive opioid safety assessment (CYP2D6 genetic + phenoconversion) so I can choose the safest analgesic</w:t>
            </w:r>
          </w:p>
        </w:tc>
        <w:tc>
          <w:tcPr>
            <w:tcW w:type="dxa" w:w="2340"/>
            <w:shd w:fill="F5F5F5"/>
          </w:tcPr>
          <w:p>
            <w:pPr>
              <w:spacing w:after="40" w:before="40"/>
            </w:pPr>
            <w:r>
              <w:rPr>
                <w:rFonts w:ascii="Calibri" w:hAnsi="Calibri"/>
                <w:sz w:val="19"/>
              </w:rPr>
            </w:r>
            <w:r>
              <w:rPr>
                <w:rFonts w:ascii="Calibri" w:hAnsi="Calibri"/>
                <w:sz w:val="19"/>
              </w:rPr>
              <w:t>CYP2D6 genetic phenotype + effective phenotype (after phenoconversion) → opioid recommendation matrix</w:t>
            </w:r>
          </w:p>
        </w:tc>
        <w:tc>
          <w:tcPr>
            <w:tcW w:type="dxa" w:w="2340"/>
            <w:shd w:fill="F5F5F5"/>
          </w:tcPr>
          <w:p>
            <w:pPr>
              <w:spacing w:after="40" w:before="40"/>
            </w:pPr>
            <w:r>
              <w:rPr>
                <w:rFonts w:ascii="Calibri" w:hAnsi="Calibri"/>
                <w:sz w:val="19"/>
              </w:rPr>
            </w:r>
            <w:r>
              <w:rPr>
                <w:rFonts w:ascii="Calibri" w:hAnsi="Calibri"/>
                <w:sz w:val="19"/>
              </w:rPr>
              <w:t>P0</w:t>
            </w:r>
          </w:p>
        </w:tc>
      </w:tr>
    </w:tbl>
    <w:p/>
    <w:p>
      <w:pPr>
        <w:pStyle w:val="Heading3"/>
      </w:pPr>
      <w:r>
        <w:t>16.2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spacing w:after="40" w:before="40"/>
            </w:pPr>
            <w:r/>
            <w:r>
              <w:rPr>
                <w:rFonts w:ascii="Calibri" w:hAnsi="Calibri"/>
                <w:b/>
                <w:color w:val="FFFFFF"/>
                <w:sz w:val="20"/>
              </w:rPr>
              <w:t>ID</w:t>
            </w:r>
          </w:p>
        </w:tc>
        <w:tc>
          <w:tcPr>
            <w:tcW w:type="dxa" w:w="3120"/>
            <w:shd w:fill="1A1A2E"/>
          </w:tcPr>
          <w:p>
            <w:pPr>
              <w:spacing w:after="40" w:before="40"/>
            </w:pPr>
            <w:r/>
            <w:r>
              <w:rPr>
                <w:rFonts w:ascii="Calibri" w:hAnsi="Calibri"/>
                <w:b/>
                <w:color w:val="FFFFFF"/>
                <w:sz w:val="20"/>
              </w:rPr>
              <w:t>Requirement</w:t>
            </w:r>
          </w:p>
        </w:tc>
        <w:tc>
          <w:tcPr>
            <w:tcW w:type="dxa" w:w="3120"/>
            <w:shd w:fill="1A1A2E"/>
          </w:tcPr>
          <w:p>
            <w:pPr>
              <w:spacing w:after="40" w:before="40"/>
            </w:pPr>
            <w:r/>
            <w:r>
              <w:rPr>
                <w:rFonts w:ascii="Calibri" w:hAnsi="Calibri"/>
                <w:b/>
                <w:color w:val="FFFFFF"/>
                <w:sz w:val="20"/>
              </w:rPr>
              <w:t>Target</w:t>
            </w:r>
          </w:p>
        </w:tc>
      </w:tr>
      <w:tr>
        <w:tc>
          <w:tcPr>
            <w:tcW w:type="dxa" w:w="3120"/>
          </w:tcPr>
          <w:p>
            <w:pPr>
              <w:spacing w:after="40" w:before="40"/>
            </w:pPr>
            <w:r>
              <w:rPr>
                <w:rFonts w:ascii="Calibri" w:hAnsi="Calibri"/>
                <w:sz w:val="19"/>
              </w:rPr>
            </w:r>
            <w:r>
              <w:rPr>
                <w:rFonts w:ascii="Calibri" w:hAnsi="Calibri"/>
                <w:sz w:val="19"/>
              </w:rPr>
              <w:t>NFR-001</w:t>
            </w:r>
          </w:p>
        </w:tc>
        <w:tc>
          <w:tcPr>
            <w:tcW w:type="dxa" w:w="3120"/>
          </w:tcPr>
          <w:p>
            <w:pPr>
              <w:spacing w:after="40" w:before="40"/>
            </w:pPr>
            <w:r>
              <w:rPr>
                <w:rFonts w:ascii="Calibri" w:hAnsi="Calibri"/>
                <w:sz w:val="19"/>
              </w:rPr>
            </w:r>
            <w:r>
              <w:rPr>
                <w:rFonts w:ascii="Calibri" w:hAnsi="Calibri"/>
                <w:sz w:val="19"/>
              </w:rPr>
              <w:t>VCF processing time (PGx extraction + star allele calling)</w:t>
            </w:r>
          </w:p>
        </w:tc>
        <w:tc>
          <w:tcPr>
            <w:tcW w:type="dxa" w:w="3120"/>
          </w:tcPr>
          <w:p>
            <w:pPr>
              <w:spacing w:after="40" w:before="40"/>
            </w:pPr>
            <w:r>
              <w:rPr>
                <w:rFonts w:ascii="Calibri" w:hAnsi="Calibri"/>
                <w:sz w:val="19"/>
              </w:rPr>
            </w:r>
            <w:r>
              <w:rPr>
                <w:rFonts w:ascii="Calibri" w:hAnsi="Calibri"/>
                <w:sz w:val="19"/>
              </w:rPr>
              <w:t>&lt;60 seconds</w:t>
            </w:r>
          </w:p>
        </w:tc>
      </w:tr>
      <w:tr>
        <w:tc>
          <w:tcPr>
            <w:tcW w:type="dxa" w:w="3120"/>
            <w:shd w:fill="F5F5F5"/>
          </w:tcPr>
          <w:p>
            <w:pPr>
              <w:spacing w:after="40" w:before="40"/>
            </w:pPr>
            <w:r>
              <w:rPr>
                <w:rFonts w:ascii="Calibri" w:hAnsi="Calibri"/>
                <w:sz w:val="19"/>
              </w:rPr>
            </w:r>
            <w:r>
              <w:rPr>
                <w:rFonts w:ascii="Calibri" w:hAnsi="Calibri"/>
                <w:sz w:val="19"/>
              </w:rPr>
              <w:t>NFR-002</w:t>
            </w:r>
          </w:p>
        </w:tc>
        <w:tc>
          <w:tcPr>
            <w:tcW w:type="dxa" w:w="3120"/>
            <w:shd w:fill="F5F5F5"/>
          </w:tcPr>
          <w:p>
            <w:pPr>
              <w:spacing w:after="40" w:before="40"/>
            </w:pPr>
            <w:r>
              <w:rPr>
                <w:rFonts w:ascii="Calibri" w:hAnsi="Calibri"/>
                <w:sz w:val="19"/>
              </w:rPr>
            </w:r>
            <w:r>
              <w:rPr>
                <w:rFonts w:ascii="Calibri" w:hAnsi="Calibri"/>
                <w:sz w:val="19"/>
              </w:rPr>
              <w:t>Single drug query response time</w:t>
            </w:r>
          </w:p>
        </w:tc>
        <w:tc>
          <w:tcPr>
            <w:tcW w:type="dxa" w:w="3120"/>
            <w:shd w:fill="F5F5F5"/>
          </w:tcPr>
          <w:p>
            <w:pPr>
              <w:spacing w:after="40" w:before="40"/>
            </w:pPr>
            <w:r>
              <w:rPr>
                <w:rFonts w:ascii="Calibri" w:hAnsi="Calibri"/>
                <w:sz w:val="19"/>
              </w:rPr>
            </w:r>
            <w:r>
              <w:rPr>
                <w:rFonts w:ascii="Calibri" w:hAnsi="Calibri"/>
                <w:sz w:val="19"/>
              </w:rPr>
              <w:t>&lt;5 seconds</w:t>
            </w:r>
          </w:p>
        </w:tc>
      </w:tr>
      <w:tr>
        <w:tc>
          <w:tcPr>
            <w:tcW w:type="dxa" w:w="3120"/>
          </w:tcPr>
          <w:p>
            <w:pPr>
              <w:spacing w:after="40" w:before="40"/>
            </w:pPr>
            <w:r>
              <w:rPr>
                <w:rFonts w:ascii="Calibri" w:hAnsi="Calibri"/>
                <w:sz w:val="19"/>
              </w:rPr>
            </w:r>
            <w:r>
              <w:rPr>
                <w:rFonts w:ascii="Calibri" w:hAnsi="Calibri"/>
                <w:sz w:val="19"/>
              </w:rPr>
              <w:t>NFR-003</w:t>
            </w:r>
          </w:p>
        </w:tc>
        <w:tc>
          <w:tcPr>
            <w:tcW w:type="dxa" w:w="3120"/>
          </w:tcPr>
          <w:p>
            <w:pPr>
              <w:spacing w:after="40" w:before="40"/>
            </w:pPr>
            <w:r>
              <w:rPr>
                <w:rFonts w:ascii="Calibri" w:hAnsi="Calibri"/>
                <w:sz w:val="19"/>
              </w:rPr>
            </w:r>
            <w:r>
              <w:rPr>
                <w:rFonts w:ascii="Calibri" w:hAnsi="Calibri"/>
                <w:sz w:val="19"/>
              </w:rPr>
              <w:t>Full medication list review (20 drugs)</w:t>
            </w:r>
          </w:p>
        </w:tc>
        <w:tc>
          <w:tcPr>
            <w:tcW w:type="dxa" w:w="3120"/>
          </w:tcPr>
          <w:p>
            <w:pPr>
              <w:spacing w:after="40" w:before="40"/>
            </w:pPr>
            <w:r>
              <w:rPr>
                <w:rFonts w:ascii="Calibri" w:hAnsi="Calibri"/>
                <w:sz w:val="19"/>
              </w:rPr>
            </w:r>
            <w:r>
              <w:rPr>
                <w:rFonts w:ascii="Calibri" w:hAnsi="Calibri"/>
                <w:sz w:val="19"/>
              </w:rPr>
              <w:t>&lt;15 seconds</w:t>
            </w:r>
          </w:p>
        </w:tc>
      </w:tr>
      <w:tr>
        <w:tc>
          <w:tcPr>
            <w:tcW w:type="dxa" w:w="3120"/>
            <w:shd w:fill="F5F5F5"/>
          </w:tcPr>
          <w:p>
            <w:pPr>
              <w:spacing w:after="40" w:before="40"/>
            </w:pPr>
            <w:r>
              <w:rPr>
                <w:rFonts w:ascii="Calibri" w:hAnsi="Calibri"/>
                <w:sz w:val="19"/>
              </w:rPr>
            </w:r>
            <w:r>
              <w:rPr>
                <w:rFonts w:ascii="Calibri" w:hAnsi="Calibri"/>
                <w:sz w:val="19"/>
              </w:rPr>
              <w:t>NFR-004</w:t>
            </w:r>
          </w:p>
        </w:tc>
        <w:tc>
          <w:tcPr>
            <w:tcW w:type="dxa" w:w="3120"/>
            <w:shd w:fill="F5F5F5"/>
          </w:tcPr>
          <w:p>
            <w:pPr>
              <w:spacing w:after="40" w:before="40"/>
            </w:pPr>
            <w:r>
              <w:rPr>
                <w:rFonts w:ascii="Calibri" w:hAnsi="Calibri"/>
                <w:sz w:val="19"/>
              </w:rPr>
            </w:r>
            <w:r>
              <w:rPr>
                <w:rFonts w:ascii="Calibri" w:hAnsi="Calibri"/>
                <w:sz w:val="19"/>
              </w:rPr>
              <w:t>PGx report generation (PDF)</w:t>
            </w:r>
          </w:p>
        </w:tc>
        <w:tc>
          <w:tcPr>
            <w:tcW w:type="dxa" w:w="3120"/>
            <w:shd w:fill="F5F5F5"/>
          </w:tcPr>
          <w:p>
            <w:pPr>
              <w:spacing w:after="40" w:before="40"/>
            </w:pPr>
            <w:r>
              <w:rPr>
                <w:rFonts w:ascii="Calibri" w:hAnsi="Calibri"/>
                <w:sz w:val="19"/>
              </w:rPr>
            </w:r>
            <w:r>
              <w:rPr>
                <w:rFonts w:ascii="Calibri" w:hAnsi="Calibri"/>
                <w:sz w:val="19"/>
              </w:rPr>
              <w:t>&lt;10 seconds</w:t>
            </w:r>
          </w:p>
        </w:tc>
      </w:tr>
      <w:tr>
        <w:tc>
          <w:tcPr>
            <w:tcW w:type="dxa" w:w="3120"/>
          </w:tcPr>
          <w:p>
            <w:pPr>
              <w:spacing w:after="40" w:before="40"/>
            </w:pPr>
            <w:r>
              <w:rPr>
                <w:rFonts w:ascii="Calibri" w:hAnsi="Calibri"/>
                <w:sz w:val="19"/>
              </w:rPr>
            </w:r>
            <w:r>
              <w:rPr>
                <w:rFonts w:ascii="Calibri" w:hAnsi="Calibri"/>
                <w:sz w:val="19"/>
              </w:rPr>
              <w:t>NFR-005</w:t>
            </w:r>
          </w:p>
        </w:tc>
        <w:tc>
          <w:tcPr>
            <w:tcW w:type="dxa" w:w="3120"/>
          </w:tcPr>
          <w:p>
            <w:pPr>
              <w:spacing w:after="40" w:before="40"/>
            </w:pPr>
            <w:r>
              <w:rPr>
                <w:rFonts w:ascii="Calibri" w:hAnsi="Calibri"/>
                <w:sz w:val="19"/>
              </w:rPr>
            </w:r>
            <w:r>
              <w:rPr>
                <w:rFonts w:ascii="Calibri" w:hAnsi="Calibri"/>
                <w:sz w:val="19"/>
              </w:rPr>
              <w:t>Concurrent user support</w:t>
            </w:r>
          </w:p>
        </w:tc>
        <w:tc>
          <w:tcPr>
            <w:tcW w:type="dxa" w:w="3120"/>
          </w:tcPr>
          <w:p>
            <w:pPr>
              <w:spacing w:after="40" w:before="40"/>
            </w:pPr>
            <w:r>
              <w:rPr>
                <w:rFonts w:ascii="Calibri" w:hAnsi="Calibri"/>
                <w:sz w:val="19"/>
              </w:rPr>
            </w:r>
            <w:r>
              <w:rPr>
                <w:rFonts w:ascii="Calibri" w:hAnsi="Calibri"/>
                <w:sz w:val="19"/>
              </w:rPr>
              <w:t>10 simultaneous</w:t>
            </w:r>
          </w:p>
        </w:tc>
      </w:tr>
      <w:tr>
        <w:tc>
          <w:tcPr>
            <w:tcW w:type="dxa" w:w="3120"/>
            <w:shd w:fill="F5F5F5"/>
          </w:tcPr>
          <w:p>
            <w:pPr>
              <w:spacing w:after="40" w:before="40"/>
            </w:pPr>
            <w:r>
              <w:rPr>
                <w:rFonts w:ascii="Calibri" w:hAnsi="Calibri"/>
                <w:sz w:val="19"/>
              </w:rPr>
            </w:r>
            <w:r>
              <w:rPr>
                <w:rFonts w:ascii="Calibri" w:hAnsi="Calibri"/>
                <w:sz w:val="19"/>
              </w:rPr>
              <w:t>NFR-006</w:t>
            </w:r>
          </w:p>
        </w:tc>
        <w:tc>
          <w:tcPr>
            <w:tcW w:type="dxa" w:w="3120"/>
            <w:shd w:fill="F5F5F5"/>
          </w:tcPr>
          <w:p>
            <w:pPr>
              <w:spacing w:after="40" w:before="40"/>
            </w:pPr>
            <w:r>
              <w:rPr>
                <w:rFonts w:ascii="Calibri" w:hAnsi="Calibri"/>
                <w:sz w:val="19"/>
              </w:rPr>
            </w:r>
            <w:r>
              <w:rPr>
                <w:rFonts w:ascii="Calibri" w:hAnsi="Calibri"/>
                <w:sz w:val="19"/>
              </w:rPr>
              <w:t>PGx profile storage capacity</w:t>
            </w:r>
          </w:p>
        </w:tc>
        <w:tc>
          <w:tcPr>
            <w:tcW w:type="dxa" w:w="3120"/>
            <w:shd w:fill="F5F5F5"/>
          </w:tcPr>
          <w:p>
            <w:pPr>
              <w:spacing w:after="40" w:before="40"/>
            </w:pPr>
            <w:r>
              <w:rPr>
                <w:rFonts w:ascii="Calibri" w:hAnsi="Calibri"/>
                <w:sz w:val="19"/>
              </w:rPr>
            </w:r>
            <w:r>
              <w:rPr>
                <w:rFonts w:ascii="Calibri" w:hAnsi="Calibri"/>
                <w:sz w:val="19"/>
              </w:rPr>
              <w:t>10,000+ patients</w:t>
            </w:r>
          </w:p>
        </w:tc>
      </w:tr>
      <w:tr>
        <w:tc>
          <w:tcPr>
            <w:tcW w:type="dxa" w:w="3120"/>
          </w:tcPr>
          <w:p>
            <w:pPr>
              <w:spacing w:after="40" w:before="40"/>
            </w:pPr>
            <w:r>
              <w:rPr>
                <w:rFonts w:ascii="Calibri" w:hAnsi="Calibri"/>
                <w:sz w:val="19"/>
              </w:rPr>
            </w:r>
            <w:r>
              <w:rPr>
                <w:rFonts w:ascii="Calibri" w:hAnsi="Calibri"/>
                <w:sz w:val="19"/>
              </w:rPr>
              <w:t>NFR-007</w:t>
            </w:r>
          </w:p>
        </w:tc>
        <w:tc>
          <w:tcPr>
            <w:tcW w:type="dxa" w:w="3120"/>
          </w:tcPr>
          <w:p>
            <w:pPr>
              <w:spacing w:after="40" w:before="40"/>
            </w:pPr>
            <w:r>
              <w:rPr>
                <w:rFonts w:ascii="Calibri" w:hAnsi="Calibri"/>
                <w:sz w:val="19"/>
              </w:rPr>
            </w:r>
            <w:r>
              <w:rPr>
                <w:rFonts w:ascii="Calibri" w:hAnsi="Calibri"/>
                <w:sz w:val="19"/>
              </w:rPr>
              <w:t>Guideline update propagation</w:t>
            </w:r>
          </w:p>
        </w:tc>
        <w:tc>
          <w:tcPr>
            <w:tcW w:type="dxa" w:w="3120"/>
          </w:tcPr>
          <w:p>
            <w:pPr>
              <w:spacing w:after="40" w:before="40"/>
            </w:pPr>
            <w:r>
              <w:rPr>
                <w:rFonts w:ascii="Calibri" w:hAnsi="Calibri"/>
                <w:sz w:val="19"/>
              </w:rPr>
            </w:r>
            <w:r>
              <w:rPr>
                <w:rFonts w:ascii="Calibri" w:hAnsi="Calibri"/>
                <w:sz w:val="19"/>
              </w:rPr>
              <w:t>&lt;24 hours after CPIC publication</w:t>
            </w:r>
          </w:p>
        </w:tc>
      </w:tr>
      <w:tr>
        <w:tc>
          <w:tcPr>
            <w:tcW w:type="dxa" w:w="3120"/>
            <w:shd w:fill="F5F5F5"/>
          </w:tcPr>
          <w:p>
            <w:pPr>
              <w:spacing w:after="40" w:before="40"/>
            </w:pPr>
            <w:r>
              <w:rPr>
                <w:rFonts w:ascii="Calibri" w:hAnsi="Calibri"/>
                <w:sz w:val="19"/>
              </w:rPr>
            </w:r>
            <w:r>
              <w:rPr>
                <w:rFonts w:ascii="Calibri" w:hAnsi="Calibri"/>
                <w:sz w:val="19"/>
              </w:rPr>
              <w:t>NFR-008</w:t>
            </w:r>
          </w:p>
        </w:tc>
        <w:tc>
          <w:tcPr>
            <w:tcW w:type="dxa" w:w="3120"/>
            <w:shd w:fill="F5F5F5"/>
          </w:tcPr>
          <w:p>
            <w:pPr>
              <w:spacing w:after="40" w:before="40"/>
            </w:pPr>
            <w:r>
              <w:rPr>
                <w:rFonts w:ascii="Calibri" w:hAnsi="Calibri"/>
                <w:sz w:val="19"/>
              </w:rPr>
            </w:r>
            <w:r>
              <w:rPr>
                <w:rFonts w:ascii="Calibri" w:hAnsi="Calibri"/>
                <w:sz w:val="19"/>
              </w:rPr>
              <w:t>Patient data remains on-device</w:t>
            </w:r>
          </w:p>
        </w:tc>
        <w:tc>
          <w:tcPr>
            <w:tcW w:type="dxa" w:w="3120"/>
            <w:shd w:fill="F5F5F5"/>
          </w:tcPr>
          <w:p>
            <w:pPr>
              <w:spacing w:after="40" w:before="40"/>
            </w:pPr>
            <w:r>
              <w:rPr>
                <w:rFonts w:ascii="Calibri" w:hAnsi="Calibri"/>
                <w:sz w:val="19"/>
              </w:rPr>
            </w:r>
            <w:r>
              <w:rPr>
                <w:rFonts w:ascii="Calibri" w:hAnsi="Calibri"/>
                <w:sz w:val="19"/>
              </w:rPr>
              <w:t>100% (HIPAA/GDPR compliance)</w:t>
            </w:r>
          </w:p>
        </w:tc>
      </w:tr>
    </w:tbl>
    <w:p/>
    <w:p>
      <w:pPr>
        <w:spacing w:before="160" w:after="160"/>
        <w:jc w:val="center"/>
      </w:pPr>
      <w:r>
        <w:rPr>
          <w:color w:val="76B900"/>
          <w:sz w:val="16"/>
        </w:rPr>
        <w:t>━━━━━━━━━━━━━━━━━━━━━━━━━━━━━━━━━━━━━━━━━━━━━━━━━━━━━━━━━━━━</w:t>
      </w:r>
    </w:p>
    <w:p>
      <w:r>
        <w:br w:type="page"/>
      </w:r>
    </w:p>
    <w:p>
      <w:pPr>
        <w:pStyle w:val="Heading2"/>
      </w:pPr>
      <w:r>
        <w:t>17. Data Acquisition Strategy</w:t>
      </w:r>
    </w:p>
    <w:p>
      <w:pPr>
        <w:pStyle w:val="Heading3"/>
      </w:pPr>
      <w:r>
        <w:t>17.1 Primary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spacing w:after="40" w:before="40"/>
            </w:pPr>
            <w:r/>
            <w:r>
              <w:rPr>
                <w:rFonts w:ascii="Calibri" w:hAnsi="Calibri"/>
                <w:b/>
                <w:color w:val="FFFFFF"/>
                <w:sz w:val="20"/>
              </w:rPr>
              <w:t>Source</w:t>
            </w:r>
          </w:p>
        </w:tc>
        <w:tc>
          <w:tcPr>
            <w:tcW w:type="dxa" w:w="2340"/>
            <w:shd w:fill="1A1A2E"/>
          </w:tcPr>
          <w:p>
            <w:pPr>
              <w:spacing w:after="40" w:before="40"/>
            </w:pPr>
            <w:r/>
            <w:r>
              <w:rPr>
                <w:rFonts w:ascii="Calibri" w:hAnsi="Calibri"/>
                <w:b/>
                <w:color w:val="FFFFFF"/>
                <w:sz w:val="20"/>
              </w:rPr>
              <w:t>Data Type</w:t>
            </w:r>
          </w:p>
        </w:tc>
        <w:tc>
          <w:tcPr>
            <w:tcW w:type="dxa" w:w="2340"/>
            <w:shd w:fill="1A1A2E"/>
          </w:tcPr>
          <w:p>
            <w:pPr>
              <w:spacing w:after="40" w:before="40"/>
            </w:pPr>
            <w:r/>
            <w:r>
              <w:rPr>
                <w:rFonts w:ascii="Calibri" w:hAnsi="Calibri"/>
                <w:b/>
                <w:color w:val="FFFFFF"/>
                <w:sz w:val="20"/>
              </w:rPr>
              <w:t>Access</w:t>
            </w:r>
          </w:p>
        </w:tc>
        <w:tc>
          <w:tcPr>
            <w:tcW w:type="dxa" w:w="2340"/>
            <w:shd w:fill="1A1A2E"/>
          </w:tcPr>
          <w:p>
            <w:pPr>
              <w:spacing w:after="40" w:before="40"/>
            </w:pPr>
            <w:r/>
            <w:r>
              <w:rPr>
                <w:rFonts w:ascii="Calibri" w:hAnsi="Calibri"/>
                <w:b/>
                <w:color w:val="FFFFFF"/>
                <w:sz w:val="20"/>
              </w:rPr>
              <w:t>Cost</w:t>
            </w:r>
          </w:p>
        </w:tc>
      </w:tr>
      <w:tr>
        <w:tc>
          <w:tcPr>
            <w:tcW w:type="dxa" w:w="2340"/>
          </w:tcPr>
          <w:p>
            <w:pPr>
              <w:spacing w:after="40" w:before="40"/>
            </w:pPr>
            <w:r>
              <w:rPr>
                <w:rFonts w:ascii="Calibri" w:hAnsi="Calibri"/>
                <w:sz w:val="19"/>
              </w:rPr>
            </w:r>
            <w:r>
              <w:rPr>
                <w:rFonts w:ascii="Calibri" w:hAnsi="Calibri"/>
                <w:sz w:val="19"/>
              </w:rPr>
              <w:t>CPIC Guidelines</w:t>
            </w:r>
          </w:p>
        </w:tc>
        <w:tc>
          <w:tcPr>
            <w:tcW w:type="dxa" w:w="2340"/>
          </w:tcPr>
          <w:p>
            <w:pPr>
              <w:spacing w:after="40" w:before="40"/>
            </w:pPr>
            <w:r>
              <w:rPr>
                <w:rFonts w:ascii="Calibri" w:hAnsi="Calibri"/>
                <w:sz w:val="19"/>
              </w:rPr>
            </w:r>
            <w:r>
              <w:rPr>
                <w:rFonts w:ascii="Calibri" w:hAnsi="Calibri"/>
                <w:sz w:val="19"/>
              </w:rPr>
              <w:t>Gene-drug guidelines, star allele tables</w:t>
            </w:r>
          </w:p>
        </w:tc>
        <w:tc>
          <w:tcPr>
            <w:tcW w:type="dxa" w:w="2340"/>
          </w:tcPr>
          <w:p>
            <w:pPr>
              <w:spacing w:after="40" w:before="40"/>
            </w:pPr>
            <w:r>
              <w:rPr>
                <w:rFonts w:ascii="Calibri" w:hAnsi="Calibri"/>
                <w:sz w:val="19"/>
              </w:rPr>
            </w:r>
            <w:r>
              <w:rPr>
                <w:rFonts w:ascii="Calibri" w:hAnsi="Calibri"/>
                <w:sz w:val="19"/>
              </w:rPr>
              <w:t>Open access (cpicpgx.org)</w:t>
            </w:r>
          </w:p>
        </w:tc>
        <w:tc>
          <w:tcPr>
            <w:tcW w:type="dxa" w:w="2340"/>
          </w:tcPr>
          <w:p>
            <w:pPr>
              <w:spacing w:after="40" w:before="40"/>
            </w:pPr>
            <w:r>
              <w:rPr>
                <w:rFonts w:ascii="Calibri" w:hAnsi="Calibri"/>
                <w:sz w:val="19"/>
              </w:rPr>
            </w:r>
            <w:r>
              <w:rPr>
                <w:rFonts w:ascii="Calibri" w:hAnsi="Calibri"/>
                <w:sz w:val="19"/>
              </w:rPr>
              <w:t>Free</w:t>
            </w:r>
          </w:p>
        </w:tc>
      </w:tr>
      <w:tr>
        <w:tc>
          <w:tcPr>
            <w:tcW w:type="dxa" w:w="2340"/>
            <w:shd w:fill="F5F5F5"/>
          </w:tcPr>
          <w:p>
            <w:pPr>
              <w:spacing w:after="40" w:before="40"/>
            </w:pPr>
            <w:r>
              <w:rPr>
                <w:rFonts w:ascii="Calibri" w:hAnsi="Calibri"/>
                <w:sz w:val="19"/>
              </w:rPr>
            </w:r>
            <w:r>
              <w:rPr>
                <w:rFonts w:ascii="Calibri" w:hAnsi="Calibri"/>
                <w:sz w:val="19"/>
              </w:rPr>
              <w:t>PharmGKB</w:t>
            </w:r>
          </w:p>
        </w:tc>
        <w:tc>
          <w:tcPr>
            <w:tcW w:type="dxa" w:w="2340"/>
            <w:shd w:fill="F5F5F5"/>
          </w:tcPr>
          <w:p>
            <w:pPr>
              <w:spacing w:after="40" w:before="40"/>
            </w:pPr>
            <w:r>
              <w:rPr>
                <w:rFonts w:ascii="Calibri" w:hAnsi="Calibri"/>
                <w:sz w:val="19"/>
              </w:rPr>
            </w:r>
            <w:r>
              <w:rPr>
                <w:rFonts w:ascii="Calibri" w:hAnsi="Calibri"/>
                <w:sz w:val="19"/>
              </w:rPr>
              <w:t>Drug-gene annotations, clinical annotations</w:t>
            </w:r>
          </w:p>
        </w:tc>
        <w:tc>
          <w:tcPr>
            <w:tcW w:type="dxa" w:w="2340"/>
            <w:shd w:fill="F5F5F5"/>
          </w:tcPr>
          <w:p>
            <w:pPr>
              <w:spacing w:after="40" w:before="40"/>
            </w:pPr>
            <w:r>
              <w:rPr>
                <w:rFonts w:ascii="Calibri" w:hAnsi="Calibri"/>
                <w:sz w:val="19"/>
              </w:rPr>
            </w:r>
            <w:r>
              <w:rPr>
                <w:rFonts w:ascii="Calibri" w:hAnsi="Calibri"/>
                <w:sz w:val="19"/>
              </w:rPr>
              <w:t>Academic license</w:t>
            </w:r>
          </w:p>
        </w:tc>
        <w:tc>
          <w:tcPr>
            <w:tcW w:type="dxa" w:w="2340"/>
            <w:shd w:fill="F5F5F5"/>
          </w:tcPr>
          <w:p>
            <w:pPr>
              <w:spacing w:after="40" w:before="40"/>
            </w:pPr>
            <w:r>
              <w:rPr>
                <w:rFonts w:ascii="Calibri" w:hAnsi="Calibri"/>
                <w:sz w:val="19"/>
              </w:rPr>
            </w:r>
            <w:r>
              <w:rPr>
                <w:rFonts w:ascii="Calibri" w:hAnsi="Calibri"/>
                <w:sz w:val="19"/>
              </w:rPr>
              <w:t>Free</w:t>
            </w:r>
          </w:p>
        </w:tc>
      </w:tr>
      <w:tr>
        <w:tc>
          <w:tcPr>
            <w:tcW w:type="dxa" w:w="2340"/>
          </w:tcPr>
          <w:p>
            <w:pPr>
              <w:spacing w:after="40" w:before="40"/>
            </w:pPr>
            <w:r>
              <w:rPr>
                <w:rFonts w:ascii="Calibri" w:hAnsi="Calibri"/>
                <w:sz w:val="19"/>
              </w:rPr>
            </w:r>
            <w:r>
              <w:rPr>
                <w:rFonts w:ascii="Calibri" w:hAnsi="Calibri"/>
                <w:sz w:val="19"/>
              </w:rPr>
              <w:t>PharmVar</w:t>
            </w:r>
          </w:p>
        </w:tc>
        <w:tc>
          <w:tcPr>
            <w:tcW w:type="dxa" w:w="2340"/>
          </w:tcPr>
          <w:p>
            <w:pPr>
              <w:spacing w:after="40" w:before="40"/>
            </w:pPr>
            <w:r>
              <w:rPr>
                <w:rFonts w:ascii="Calibri" w:hAnsi="Calibri"/>
                <w:sz w:val="19"/>
              </w:rPr>
            </w:r>
            <w:r>
              <w:rPr>
                <w:rFonts w:ascii="Calibri" w:hAnsi="Calibri"/>
                <w:sz w:val="19"/>
              </w:rPr>
              <w:t>Star allele definitions, haplotype tables</w:t>
            </w:r>
          </w:p>
        </w:tc>
        <w:tc>
          <w:tcPr>
            <w:tcW w:type="dxa" w:w="2340"/>
          </w:tcPr>
          <w:p>
            <w:pPr>
              <w:spacing w:after="40" w:before="40"/>
            </w:pPr>
            <w:r>
              <w:rPr>
                <w:rFonts w:ascii="Calibri" w:hAnsi="Calibri"/>
                <w:sz w:val="19"/>
              </w:rPr>
            </w:r>
            <w:r>
              <w:rPr>
                <w:rFonts w:ascii="Calibri" w:hAnsi="Calibri"/>
                <w:sz w:val="19"/>
              </w:rPr>
              <w:t>Open access (pharmvar.org)</w:t>
            </w:r>
          </w:p>
        </w:tc>
        <w:tc>
          <w:tcPr>
            <w:tcW w:type="dxa" w:w="2340"/>
          </w:tcPr>
          <w:p>
            <w:pPr>
              <w:spacing w:after="40" w:before="40"/>
            </w:pPr>
            <w:r>
              <w:rPr>
                <w:rFonts w:ascii="Calibri" w:hAnsi="Calibri"/>
                <w:sz w:val="19"/>
              </w:rPr>
            </w:r>
            <w:r>
              <w:rPr>
                <w:rFonts w:ascii="Calibri" w:hAnsi="Calibri"/>
                <w:sz w:val="19"/>
              </w:rPr>
              <w:t>Free</w:t>
            </w:r>
          </w:p>
        </w:tc>
      </w:tr>
      <w:tr>
        <w:tc>
          <w:tcPr>
            <w:tcW w:type="dxa" w:w="2340"/>
            <w:shd w:fill="F5F5F5"/>
          </w:tcPr>
          <w:p>
            <w:pPr>
              <w:spacing w:after="40" w:before="40"/>
            </w:pPr>
            <w:r>
              <w:rPr>
                <w:rFonts w:ascii="Calibri" w:hAnsi="Calibri"/>
                <w:sz w:val="19"/>
              </w:rPr>
            </w:r>
            <w:r>
              <w:rPr>
                <w:rFonts w:ascii="Calibri" w:hAnsi="Calibri"/>
                <w:sz w:val="19"/>
              </w:rPr>
              <w:t>DPWG</w:t>
            </w:r>
          </w:p>
        </w:tc>
        <w:tc>
          <w:tcPr>
            <w:tcW w:type="dxa" w:w="2340"/>
            <w:shd w:fill="F5F5F5"/>
          </w:tcPr>
          <w:p>
            <w:pPr>
              <w:spacing w:after="40" w:before="40"/>
            </w:pPr>
            <w:r>
              <w:rPr>
                <w:rFonts w:ascii="Calibri" w:hAnsi="Calibri"/>
                <w:sz w:val="19"/>
              </w:rPr>
            </w:r>
            <w:r>
              <w:rPr>
                <w:rFonts w:ascii="Calibri" w:hAnsi="Calibri"/>
                <w:sz w:val="19"/>
              </w:rPr>
              <w:t>Dutch PGx therapeutic recommendations</w:t>
            </w:r>
          </w:p>
        </w:tc>
        <w:tc>
          <w:tcPr>
            <w:tcW w:type="dxa" w:w="2340"/>
            <w:shd w:fill="F5F5F5"/>
          </w:tcPr>
          <w:p>
            <w:pPr>
              <w:spacing w:after="40" w:before="40"/>
            </w:pPr>
            <w:r>
              <w:rPr>
                <w:rFonts w:ascii="Calibri" w:hAnsi="Calibri"/>
                <w:sz w:val="19"/>
              </w:rPr>
            </w:r>
            <w:r>
              <w:rPr>
                <w:rFonts w:ascii="Calibri" w:hAnsi="Calibri"/>
                <w:sz w:val="19"/>
              </w:rPr>
              <w:t>Open access</w:t>
            </w:r>
          </w:p>
        </w:tc>
        <w:tc>
          <w:tcPr>
            <w:tcW w:type="dxa" w:w="2340"/>
            <w:shd w:fill="F5F5F5"/>
          </w:tcPr>
          <w:p>
            <w:pPr>
              <w:spacing w:after="40" w:before="40"/>
            </w:pPr>
            <w:r>
              <w:rPr>
                <w:rFonts w:ascii="Calibri" w:hAnsi="Calibri"/>
                <w:sz w:val="19"/>
              </w:rPr>
            </w:r>
            <w:r>
              <w:rPr>
                <w:rFonts w:ascii="Calibri" w:hAnsi="Calibri"/>
                <w:sz w:val="19"/>
              </w:rPr>
              <w:t>Free</w:t>
            </w:r>
          </w:p>
        </w:tc>
      </w:tr>
      <w:tr>
        <w:tc>
          <w:tcPr>
            <w:tcW w:type="dxa" w:w="2340"/>
          </w:tcPr>
          <w:p>
            <w:pPr>
              <w:spacing w:after="40" w:before="40"/>
            </w:pPr>
            <w:r>
              <w:rPr>
                <w:rFonts w:ascii="Calibri" w:hAnsi="Calibri"/>
                <w:sz w:val="19"/>
              </w:rPr>
            </w:r>
            <w:r>
              <w:rPr>
                <w:rFonts w:ascii="Calibri" w:hAnsi="Calibri"/>
                <w:sz w:val="19"/>
              </w:rPr>
              <w:t>FDA Table of PGx Biomarkers</w:t>
            </w:r>
          </w:p>
        </w:tc>
        <w:tc>
          <w:tcPr>
            <w:tcW w:type="dxa" w:w="2340"/>
          </w:tcPr>
          <w:p>
            <w:pPr>
              <w:spacing w:after="40" w:before="40"/>
            </w:pPr>
            <w:r>
              <w:rPr>
                <w:rFonts w:ascii="Calibri" w:hAnsi="Calibri"/>
                <w:sz w:val="19"/>
              </w:rPr>
            </w:r>
            <w:r>
              <w:rPr>
                <w:rFonts w:ascii="Calibri" w:hAnsi="Calibri"/>
                <w:sz w:val="19"/>
              </w:rPr>
              <w:t>Drug label PGx information</w:t>
            </w:r>
          </w:p>
        </w:tc>
        <w:tc>
          <w:tcPr>
            <w:tcW w:type="dxa" w:w="2340"/>
          </w:tcPr>
          <w:p>
            <w:pPr>
              <w:spacing w:after="40" w:before="40"/>
            </w:pPr>
            <w:r>
              <w:rPr>
                <w:rFonts w:ascii="Calibri" w:hAnsi="Calibri"/>
                <w:sz w:val="19"/>
              </w:rPr>
            </w:r>
            <w:r>
              <w:rPr>
                <w:rFonts w:ascii="Calibri" w:hAnsi="Calibri"/>
                <w:sz w:val="19"/>
              </w:rPr>
              <w:t>Open access (FDA.gov)</w:t>
            </w:r>
          </w:p>
        </w:tc>
        <w:tc>
          <w:tcPr>
            <w:tcW w:type="dxa" w:w="2340"/>
          </w:tcPr>
          <w:p>
            <w:pPr>
              <w:spacing w:after="40" w:before="40"/>
            </w:pPr>
            <w:r>
              <w:rPr>
                <w:rFonts w:ascii="Calibri" w:hAnsi="Calibri"/>
                <w:sz w:val="19"/>
              </w:rPr>
            </w:r>
            <w:r>
              <w:rPr>
                <w:rFonts w:ascii="Calibri" w:hAnsi="Calibri"/>
                <w:sz w:val="19"/>
              </w:rPr>
              <w:t>Free</w:t>
            </w:r>
          </w:p>
        </w:tc>
      </w:tr>
      <w:tr>
        <w:tc>
          <w:tcPr>
            <w:tcW w:type="dxa" w:w="2340"/>
            <w:shd w:fill="F5F5F5"/>
          </w:tcPr>
          <w:p>
            <w:pPr>
              <w:spacing w:after="40" w:before="40"/>
            </w:pPr>
            <w:r>
              <w:rPr>
                <w:rFonts w:ascii="Calibri" w:hAnsi="Calibri"/>
                <w:sz w:val="19"/>
              </w:rPr>
            </w:r>
            <w:r>
              <w:rPr>
                <w:rFonts w:ascii="Calibri" w:hAnsi="Calibri"/>
                <w:sz w:val="19"/>
              </w:rPr>
              <w:t>ClinVar</w:t>
            </w:r>
          </w:p>
        </w:tc>
        <w:tc>
          <w:tcPr>
            <w:tcW w:type="dxa" w:w="2340"/>
            <w:shd w:fill="F5F5F5"/>
          </w:tcPr>
          <w:p>
            <w:pPr>
              <w:spacing w:after="40" w:before="40"/>
            </w:pPr>
            <w:r>
              <w:rPr>
                <w:rFonts w:ascii="Calibri" w:hAnsi="Calibri"/>
                <w:sz w:val="19"/>
              </w:rPr>
            </w:r>
            <w:r>
              <w:rPr>
                <w:rFonts w:ascii="Calibri" w:hAnsi="Calibri"/>
                <w:sz w:val="19"/>
              </w:rPr>
              <w:t>PGx variant classifications</w:t>
            </w:r>
          </w:p>
        </w:tc>
        <w:tc>
          <w:tcPr>
            <w:tcW w:type="dxa" w:w="2340"/>
            <w:shd w:fill="F5F5F5"/>
          </w:tcPr>
          <w:p>
            <w:pPr>
              <w:spacing w:after="40" w:before="40"/>
            </w:pPr>
            <w:r>
              <w:rPr>
                <w:rFonts w:ascii="Calibri" w:hAnsi="Calibri"/>
                <w:sz w:val="19"/>
              </w:rPr>
            </w:r>
            <w:r>
              <w:rPr>
                <w:rFonts w:ascii="Calibri" w:hAnsi="Calibri"/>
                <w:sz w:val="19"/>
              </w:rPr>
              <w:t>Open access (NCBI)</w:t>
            </w:r>
          </w:p>
        </w:tc>
        <w:tc>
          <w:tcPr>
            <w:tcW w:type="dxa" w:w="2340"/>
            <w:shd w:fill="F5F5F5"/>
          </w:tcPr>
          <w:p>
            <w:pPr>
              <w:spacing w:after="40" w:before="40"/>
            </w:pPr>
            <w:r>
              <w:rPr>
                <w:rFonts w:ascii="Calibri" w:hAnsi="Calibri"/>
                <w:sz w:val="19"/>
              </w:rPr>
            </w:r>
            <w:r>
              <w:rPr>
                <w:rFonts w:ascii="Calibri" w:hAnsi="Calibri"/>
                <w:sz w:val="19"/>
              </w:rPr>
              <w:t>Free</w:t>
            </w:r>
          </w:p>
        </w:tc>
      </w:tr>
      <w:tr>
        <w:tc>
          <w:tcPr>
            <w:tcW w:type="dxa" w:w="2340"/>
          </w:tcPr>
          <w:p>
            <w:pPr>
              <w:spacing w:after="40" w:before="40"/>
            </w:pPr>
            <w:r>
              <w:rPr>
                <w:rFonts w:ascii="Calibri" w:hAnsi="Calibri"/>
                <w:sz w:val="19"/>
              </w:rPr>
            </w:r>
            <w:r>
              <w:rPr>
                <w:rFonts w:ascii="Calibri" w:hAnsi="Calibri"/>
                <w:sz w:val="19"/>
              </w:rPr>
              <w:t>gnomAD</w:t>
            </w:r>
          </w:p>
        </w:tc>
        <w:tc>
          <w:tcPr>
            <w:tcW w:type="dxa" w:w="2340"/>
          </w:tcPr>
          <w:p>
            <w:pPr>
              <w:spacing w:after="40" w:before="40"/>
            </w:pPr>
            <w:r>
              <w:rPr>
                <w:rFonts w:ascii="Calibri" w:hAnsi="Calibri"/>
                <w:sz w:val="19"/>
              </w:rPr>
            </w:r>
            <w:r>
              <w:rPr>
                <w:rFonts w:ascii="Calibri" w:hAnsi="Calibri"/>
                <w:sz w:val="19"/>
              </w:rPr>
              <w:t>Population allele frequencies</w:t>
            </w:r>
          </w:p>
        </w:tc>
        <w:tc>
          <w:tcPr>
            <w:tcW w:type="dxa" w:w="2340"/>
          </w:tcPr>
          <w:p>
            <w:pPr>
              <w:spacing w:after="40" w:before="40"/>
            </w:pPr>
            <w:r>
              <w:rPr>
                <w:rFonts w:ascii="Calibri" w:hAnsi="Calibri"/>
                <w:sz w:val="19"/>
              </w:rPr>
            </w:r>
            <w:r>
              <w:rPr>
                <w:rFonts w:ascii="Calibri" w:hAnsi="Calibri"/>
                <w:sz w:val="19"/>
              </w:rPr>
              <w:t>Open access</w:t>
            </w:r>
          </w:p>
        </w:tc>
        <w:tc>
          <w:tcPr>
            <w:tcW w:type="dxa" w:w="2340"/>
          </w:tcPr>
          <w:p>
            <w:pPr>
              <w:spacing w:after="40" w:before="40"/>
            </w:pPr>
            <w:r>
              <w:rPr>
                <w:rFonts w:ascii="Calibri" w:hAnsi="Calibri"/>
                <w:sz w:val="19"/>
              </w:rPr>
            </w:r>
            <w:r>
              <w:rPr>
                <w:rFonts w:ascii="Calibri" w:hAnsi="Calibri"/>
                <w:sz w:val="19"/>
              </w:rPr>
              <w:t>Free</w:t>
            </w:r>
          </w:p>
        </w:tc>
      </w:tr>
      <w:tr>
        <w:tc>
          <w:tcPr>
            <w:tcW w:type="dxa" w:w="2340"/>
            <w:shd w:fill="F5F5F5"/>
          </w:tcPr>
          <w:p>
            <w:pPr>
              <w:spacing w:after="40" w:before="40"/>
            </w:pPr>
            <w:r>
              <w:rPr>
                <w:rFonts w:ascii="Calibri" w:hAnsi="Calibri"/>
                <w:sz w:val="19"/>
              </w:rPr>
            </w:r>
            <w:r>
              <w:rPr>
                <w:rFonts w:ascii="Calibri" w:hAnsi="Calibri"/>
                <w:sz w:val="19"/>
              </w:rPr>
              <w:t>1000 Genomes</w:t>
            </w:r>
          </w:p>
        </w:tc>
        <w:tc>
          <w:tcPr>
            <w:tcW w:type="dxa" w:w="2340"/>
            <w:shd w:fill="F5F5F5"/>
          </w:tcPr>
          <w:p>
            <w:pPr>
              <w:spacing w:after="40" w:before="40"/>
            </w:pPr>
            <w:r>
              <w:rPr>
                <w:rFonts w:ascii="Calibri" w:hAnsi="Calibri"/>
                <w:sz w:val="19"/>
              </w:rPr>
            </w:r>
            <w:r>
              <w:rPr>
                <w:rFonts w:ascii="Calibri" w:hAnsi="Calibri"/>
                <w:sz w:val="19"/>
              </w:rPr>
              <w:t>Population reference genotypes</w:t>
            </w:r>
          </w:p>
        </w:tc>
        <w:tc>
          <w:tcPr>
            <w:tcW w:type="dxa" w:w="2340"/>
            <w:shd w:fill="F5F5F5"/>
          </w:tcPr>
          <w:p>
            <w:pPr>
              <w:spacing w:after="40" w:before="40"/>
            </w:pPr>
            <w:r>
              <w:rPr>
                <w:rFonts w:ascii="Calibri" w:hAnsi="Calibri"/>
                <w:sz w:val="19"/>
              </w:rPr>
            </w:r>
            <w:r>
              <w:rPr>
                <w:rFonts w:ascii="Calibri" w:hAnsi="Calibri"/>
                <w:sz w:val="19"/>
              </w:rPr>
              <w:t>Open access</w:t>
            </w:r>
          </w:p>
        </w:tc>
        <w:tc>
          <w:tcPr>
            <w:tcW w:type="dxa" w:w="2340"/>
            <w:shd w:fill="F5F5F5"/>
          </w:tcPr>
          <w:p>
            <w:pPr>
              <w:spacing w:after="40" w:before="40"/>
            </w:pPr>
            <w:r>
              <w:rPr>
                <w:rFonts w:ascii="Calibri" w:hAnsi="Calibri"/>
                <w:sz w:val="19"/>
              </w:rPr>
            </w:r>
            <w:r>
              <w:rPr>
                <w:rFonts w:ascii="Calibri" w:hAnsi="Calibri"/>
                <w:sz w:val="19"/>
              </w:rPr>
              <w:t>Free</w:t>
            </w:r>
          </w:p>
        </w:tc>
      </w:tr>
      <w:tr>
        <w:tc>
          <w:tcPr>
            <w:tcW w:type="dxa" w:w="2340"/>
          </w:tcPr>
          <w:p>
            <w:pPr>
              <w:spacing w:after="40" w:before="40"/>
            </w:pPr>
            <w:r>
              <w:rPr>
                <w:rFonts w:ascii="Calibri" w:hAnsi="Calibri"/>
                <w:sz w:val="19"/>
              </w:rPr>
            </w:r>
            <w:r>
              <w:rPr>
                <w:rFonts w:ascii="Calibri" w:hAnsi="Calibri"/>
                <w:sz w:val="19"/>
              </w:rPr>
              <w:t>ClinicalTrials.gov</w:t>
            </w:r>
          </w:p>
        </w:tc>
        <w:tc>
          <w:tcPr>
            <w:tcW w:type="dxa" w:w="2340"/>
          </w:tcPr>
          <w:p>
            <w:pPr>
              <w:spacing w:after="40" w:before="40"/>
            </w:pPr>
            <w:r>
              <w:rPr>
                <w:rFonts w:ascii="Calibri" w:hAnsi="Calibri"/>
                <w:sz w:val="19"/>
              </w:rPr>
            </w:r>
            <w:r>
              <w:rPr>
                <w:rFonts w:ascii="Calibri" w:hAnsi="Calibri"/>
                <w:sz w:val="19"/>
              </w:rPr>
              <w:t>PGx clinical trials</w:t>
            </w:r>
          </w:p>
        </w:tc>
        <w:tc>
          <w:tcPr>
            <w:tcW w:type="dxa" w:w="2340"/>
          </w:tcPr>
          <w:p>
            <w:pPr>
              <w:spacing w:after="40" w:before="40"/>
            </w:pPr>
            <w:r>
              <w:rPr>
                <w:rFonts w:ascii="Calibri" w:hAnsi="Calibri"/>
                <w:sz w:val="19"/>
              </w:rPr>
            </w:r>
            <w:r>
              <w:rPr>
                <w:rFonts w:ascii="Calibri" w:hAnsi="Calibri"/>
                <w:sz w:val="19"/>
              </w:rPr>
              <w:t>Open access</w:t>
            </w:r>
          </w:p>
        </w:tc>
        <w:tc>
          <w:tcPr>
            <w:tcW w:type="dxa" w:w="2340"/>
          </w:tcPr>
          <w:p>
            <w:pPr>
              <w:spacing w:after="40" w:before="40"/>
            </w:pPr>
            <w:r>
              <w:rPr>
                <w:rFonts w:ascii="Calibri" w:hAnsi="Calibri"/>
                <w:sz w:val="19"/>
              </w:rPr>
            </w:r>
            <w:r>
              <w:rPr>
                <w:rFonts w:ascii="Calibri" w:hAnsi="Calibri"/>
                <w:sz w:val="19"/>
              </w:rPr>
              <w:t>Free</w:t>
            </w:r>
          </w:p>
        </w:tc>
      </w:tr>
      <w:tr>
        <w:tc>
          <w:tcPr>
            <w:tcW w:type="dxa" w:w="2340"/>
            <w:shd w:fill="F5F5F5"/>
          </w:tcPr>
          <w:p>
            <w:pPr>
              <w:spacing w:after="40" w:before="40"/>
            </w:pPr>
            <w:r>
              <w:rPr>
                <w:rFonts w:ascii="Calibri" w:hAnsi="Calibri"/>
                <w:sz w:val="19"/>
              </w:rPr>
            </w:r>
            <w:r>
              <w:rPr>
                <w:rFonts w:ascii="Calibri" w:hAnsi="Calibri"/>
                <w:sz w:val="19"/>
              </w:rPr>
              <w:t>PubMed/PMC</w:t>
            </w:r>
          </w:p>
        </w:tc>
        <w:tc>
          <w:tcPr>
            <w:tcW w:type="dxa" w:w="2340"/>
            <w:shd w:fill="F5F5F5"/>
          </w:tcPr>
          <w:p>
            <w:pPr>
              <w:spacing w:after="40" w:before="40"/>
            </w:pPr>
            <w:r>
              <w:rPr>
                <w:rFonts w:ascii="Calibri" w:hAnsi="Calibri"/>
                <w:sz w:val="19"/>
              </w:rPr>
            </w:r>
            <w:r>
              <w:rPr>
                <w:rFonts w:ascii="Calibri" w:hAnsi="Calibri"/>
                <w:sz w:val="19"/>
              </w:rPr>
              <w:t>PGx literature</w:t>
            </w:r>
          </w:p>
        </w:tc>
        <w:tc>
          <w:tcPr>
            <w:tcW w:type="dxa" w:w="2340"/>
            <w:shd w:fill="F5F5F5"/>
          </w:tcPr>
          <w:p>
            <w:pPr>
              <w:spacing w:after="40" w:before="40"/>
            </w:pPr>
            <w:r>
              <w:rPr>
                <w:rFonts w:ascii="Calibri" w:hAnsi="Calibri"/>
                <w:sz w:val="19"/>
              </w:rPr>
            </w:r>
            <w:r>
              <w:rPr>
                <w:rFonts w:ascii="Calibri" w:hAnsi="Calibri"/>
                <w:sz w:val="19"/>
              </w:rPr>
              <w:t>Open access</w:t>
            </w:r>
          </w:p>
        </w:tc>
        <w:tc>
          <w:tcPr>
            <w:tcW w:type="dxa" w:w="2340"/>
            <w:shd w:fill="F5F5F5"/>
          </w:tcPr>
          <w:p>
            <w:pPr>
              <w:spacing w:after="40" w:before="40"/>
            </w:pPr>
            <w:r>
              <w:rPr>
                <w:rFonts w:ascii="Calibri" w:hAnsi="Calibri"/>
                <w:sz w:val="19"/>
              </w:rPr>
            </w:r>
            <w:r>
              <w:rPr>
                <w:rFonts w:ascii="Calibri" w:hAnsi="Calibri"/>
                <w:sz w:val="19"/>
              </w:rPr>
              <w:t>Free</w:t>
            </w:r>
          </w:p>
        </w:tc>
      </w:tr>
    </w:tbl>
    <w:p/>
    <w:p>
      <w:r>
        <w:t xml:space="preserve">All primary data sources for the Pharmacogenomics Agent are </w:t>
      </w:r>
      <w:r>
        <w:rPr>
          <w:b/>
        </w:rPr>
        <w:t>free and open access</w:t>
      </w:r>
      <w:r>
        <w:t>, making this one of the most data-accessible agents in the HCLS AI Factory.</w:t>
      </w:r>
    </w:p>
    <w:p>
      <w:pPr>
        <w:pStyle w:val="Heading3"/>
      </w:pPr>
      <w:r>
        <w:t>17.2 Data Ingestion Pipeline</w:t>
      </w:r>
    </w:p>
    <w:p>
      <w:pPr>
        <w:pStyle w:val="ListNumber"/>
        <w:spacing w:after="60"/>
      </w:pPr>
      <w:r>
        <w:rPr>
          <w:b/>
        </w:rPr>
        <w:t>CPIC Guidelines:</w:t>
      </w:r>
      <w:r>
        <w:t xml:space="preserve"> Parse structured guideline PDFs and supplementary data tables → embed in </w:t>
      </w:r>
      <w:r>
        <w:rPr>
          <w:rFonts w:ascii="Consolas" w:hAnsi="Consolas"/>
          <w:color w:val="C7254E"/>
          <w:sz w:val="19"/>
        </w:rPr>
        <w:t>pgx_drug_guidelines</w:t>
      </w:r>
    </w:p>
    <w:p>
      <w:pPr>
        <w:pStyle w:val="ListNumber"/>
        <w:spacing w:after="60"/>
      </w:pPr>
      <w:r>
        <w:rPr>
          <w:b/>
        </w:rPr>
        <w:t>PharmVar:</w:t>
      </w:r>
      <w:r>
        <w:t xml:space="preserve"> Download allele definition tables → populate </w:t>
      </w:r>
      <w:r>
        <w:rPr>
          <w:rFonts w:ascii="Consolas" w:hAnsi="Consolas"/>
          <w:color w:val="C7254E"/>
          <w:sz w:val="19"/>
        </w:rPr>
        <w:t>pgx_gene_reference</w:t>
      </w:r>
    </w:p>
    <w:p>
      <w:pPr>
        <w:pStyle w:val="ListNumber"/>
        <w:spacing w:after="60"/>
      </w:pPr>
      <w:r>
        <w:rPr>
          <w:b/>
        </w:rPr>
        <w:t>PharmGKB:</w:t>
      </w:r>
      <w:r>
        <w:t xml:space="preserve"> API access for clinical annotations → populate </w:t>
      </w:r>
      <w:r>
        <w:rPr>
          <w:rFonts w:ascii="Consolas" w:hAnsi="Consolas"/>
          <w:color w:val="C7254E"/>
          <w:sz w:val="19"/>
        </w:rPr>
        <w:t>pgx_drug_interactions</w:t>
      </w:r>
    </w:p>
    <w:p>
      <w:pPr>
        <w:pStyle w:val="ListNumber"/>
        <w:spacing w:after="60"/>
      </w:pPr>
      <w:r>
        <w:rPr>
          <w:b/>
        </w:rPr>
        <w:t>FDA Labels:</w:t>
      </w:r>
      <w:r>
        <w:t xml:space="preserve"> Parse pharmacogenomic labeling sections → populate </w:t>
      </w:r>
      <w:r>
        <w:rPr>
          <w:rFonts w:ascii="Consolas" w:hAnsi="Consolas"/>
          <w:color w:val="C7254E"/>
          <w:sz w:val="19"/>
        </w:rPr>
        <w:t>pgx_fda_labels</w:t>
      </w:r>
    </w:p>
    <w:p>
      <w:pPr>
        <w:pStyle w:val="ListNumber"/>
        <w:spacing w:after="60"/>
      </w:pPr>
      <w:r>
        <w:rPr>
          <w:b/>
        </w:rPr>
        <w:t>gnomAD:</w:t>
      </w:r>
      <w:r>
        <w:t xml:space="preserve"> Extract PGx-relevant allele frequencies by population → populate </w:t>
      </w:r>
      <w:r>
        <w:rPr>
          <w:rFonts w:ascii="Consolas" w:hAnsi="Consolas"/>
          <w:color w:val="C7254E"/>
          <w:sz w:val="19"/>
        </w:rPr>
        <w:t>pgx_population_data</w:t>
      </w:r>
    </w:p>
    <w:p>
      <w:pPr>
        <w:pStyle w:val="ListNumber"/>
        <w:spacing w:after="60"/>
      </w:pPr>
      <w:r>
        <w:rPr>
          <w:b/>
        </w:rPr>
        <w:t>PubMed:</w:t>
      </w:r>
      <w:r>
        <w:t xml:space="preserve"> Systematic search for PGx implementation studies → populate </w:t>
      </w:r>
      <w:r>
        <w:rPr>
          <w:rFonts w:ascii="Consolas" w:hAnsi="Consolas"/>
          <w:color w:val="C7254E"/>
          <w:sz w:val="19"/>
        </w:rPr>
        <w:t>pgx_clinical_evidence</w:t>
      </w:r>
    </w:p>
    <w:p>
      <w:pPr>
        <w:spacing w:before="160" w:after="160"/>
        <w:jc w:val="center"/>
      </w:pPr>
      <w:r>
        <w:rPr>
          <w:color w:val="76B900"/>
          <w:sz w:val="16"/>
        </w:rPr>
        <w:t>━━━━━━━━━━━━━━━━━━━━━━━━━━━━━━━━━━━━━━━━━━━━━━━━━━━━━━━━━━━━</w:t>
      </w:r>
    </w:p>
    <w:p>
      <w:r>
        <w:br w:type="page"/>
      </w:r>
    </w:p>
    <w:p>
      <w:pPr>
        <w:pStyle w:val="Heading2"/>
      </w:pPr>
      <w:r>
        <w:t>18. Validation and Testing Strategy</w:t>
      </w:r>
    </w:p>
    <w:p>
      <w:pPr>
        <w:pStyle w:val="Heading3"/>
      </w:pPr>
      <w:r>
        <w:t>18.1 Validation Tiers</w:t>
      </w:r>
    </w:p>
    <w:p>
      <w:r>
        <w:rPr>
          <w:b/>
        </w:rPr>
        <w:t>Tier 1: Variant Concordance (Unit)</w:t>
      </w:r>
    </w:p>
    <w:p>
      <w:pPr>
        <w:pStyle w:val="ListBullet"/>
        <w:spacing w:after="60"/>
      </w:pPr>
      <w:r>
        <w:t>Gold standard: GeT-RM (Genetic Testing Reference Materials) samples with known PGx genotypes</w:t>
      </w:r>
    </w:p>
    <w:p>
      <w:pPr>
        <w:pStyle w:val="ListBullet"/>
        <w:spacing w:after="60"/>
      </w:pPr>
      <w:r>
        <w:t>Test: VCF → star allele caller → compare to GeT-RM consensus genotype</w:t>
      </w:r>
    </w:p>
    <w:p>
      <w:pPr>
        <w:pStyle w:val="ListBullet"/>
        <w:spacing w:after="60"/>
      </w:pPr>
      <w:r>
        <w:t>Target: &gt;99% concordance for simple genes, &gt;95% for CYP2D6</w:t>
      </w:r>
    </w:p>
    <w:p>
      <w:r>
        <w:rPr>
          <w:b/>
        </w:rPr>
        <w:t>Tier 2: Phenotype Accuracy (Integration)</w:t>
      </w:r>
    </w:p>
    <w:p>
      <w:pPr>
        <w:pStyle w:val="ListBullet"/>
        <w:spacing w:after="60"/>
      </w:pPr>
      <w:r>
        <w:t>Gold standard: CPIC allele functionality tables</w:t>
      </w:r>
    </w:p>
    <w:p>
      <w:pPr>
        <w:pStyle w:val="ListBullet"/>
        <w:spacing w:after="60"/>
      </w:pPr>
      <w:r>
        <w:t>Test: All possible diplotype combinations → phenotype → compare to CPIC assignment</w:t>
      </w:r>
    </w:p>
    <w:p>
      <w:pPr>
        <w:pStyle w:val="ListBullet"/>
        <w:spacing w:after="60"/>
      </w:pPr>
      <w:r>
        <w:t>Target: 100% concordance with CPIC standardized terms</w:t>
      </w:r>
    </w:p>
    <w:p>
      <w:r>
        <w:rPr>
          <w:b/>
        </w:rPr>
        <w:t>Tier 3: Recommendation Accuracy (Clinical)</w:t>
      </w:r>
    </w:p>
    <w:p>
      <w:pPr>
        <w:pStyle w:val="ListBullet"/>
        <w:spacing w:after="60"/>
      </w:pPr>
      <w:r>
        <w:t>Gold standard: CPIC guideline recommendations + clinical pharmacist review</w:t>
      </w:r>
    </w:p>
    <w:p>
      <w:pPr>
        <w:pStyle w:val="ListBullet"/>
        <w:spacing w:after="60"/>
      </w:pPr>
      <w:r>
        <w:t>Test: Simulated patient cases with known genotypes + medication lists → recommendations</w:t>
      </w:r>
    </w:p>
    <w:p>
      <w:pPr>
        <w:pStyle w:val="ListBullet"/>
        <w:spacing w:after="60"/>
      </w:pPr>
      <w:r>
        <w:t>Target: 100% concordance with CPIC Level A guidelines for CRITICAL alerts</w:t>
      </w:r>
    </w:p>
    <w:p>
      <w:r>
        <w:rPr>
          <w:b/>
        </w:rPr>
        <w:t>Tier 4: Clinical Utility (Outcomes)</w:t>
      </w:r>
    </w:p>
    <w:p>
      <w:pPr>
        <w:pStyle w:val="ListBullet"/>
        <w:spacing w:after="60"/>
      </w:pPr>
      <w:r>
        <w:t>Post-implementation: Track ADR rates, time to therapeutic dose, prescriber adoption</w:t>
      </w:r>
    </w:p>
    <w:p>
      <w:pPr>
        <w:pStyle w:val="ListBullet"/>
        <w:spacing w:after="60"/>
      </w:pPr>
      <w:r>
        <w:t>Compare PGx-guided vs. standard prescribing outcomes</w:t>
      </w:r>
    </w:p>
    <w:p>
      <w:pPr>
        <w:pStyle w:val="ListBullet"/>
        <w:spacing w:after="60"/>
      </w:pPr>
      <w:r>
        <w:t>Measure cost avoidance from prevented ADRs</w:t>
      </w:r>
    </w:p>
    <w:p>
      <w:pPr>
        <w:pStyle w:val="Heading3"/>
      </w:pPr>
      <w:r>
        <w:t>18.2 Test Case Library</w:t>
      </w:r>
    </w:p>
    <w:p>
      <w:r>
        <w:t>50+ synthetic test cases covering:</w:t>
      </w:r>
    </w:p>
    <w:p>
      <w:pPr>
        <w:pStyle w:val="ListBullet"/>
        <w:spacing w:after="60"/>
      </w:pPr>
      <w:r>
        <w:t>All 25+ pharmacogenes with multiple diplotype combinations</w:t>
      </w:r>
    </w:p>
    <w:p>
      <w:pPr>
        <w:pStyle w:val="ListBullet"/>
        <w:spacing w:after="60"/>
      </w:pPr>
      <w:r>
        <w:t>All CPIC Level A drug-gene pairs</w:t>
      </w:r>
    </w:p>
    <w:p>
      <w:pPr>
        <w:pStyle w:val="ListBullet"/>
        <w:spacing w:after="60"/>
      </w:pPr>
      <w:r>
        <w:t>Multi-gene scenarios (warfarin with CYP2C9 + VKORC1 + CYP4F2)</w:t>
      </w:r>
    </w:p>
    <w:p>
      <w:pPr>
        <w:pStyle w:val="ListBullet"/>
        <w:spacing w:after="60"/>
      </w:pPr>
      <w:r>
        <w:t>Phenoconversion scenarios</w:t>
      </w:r>
    </w:p>
    <w:p>
      <w:pPr>
        <w:pStyle w:val="ListBullet"/>
        <w:spacing w:after="60"/>
      </w:pPr>
      <w:r>
        <w:t>HLA screening edge cases</w:t>
      </w:r>
    </w:p>
    <w:p>
      <w:pPr>
        <w:pStyle w:val="ListBullet"/>
        <w:spacing w:after="60"/>
      </w:pPr>
      <w:r>
        <w:t>Population-specific allele frequency considerations</w:t>
      </w:r>
    </w:p>
    <w:p>
      <w:pPr>
        <w:pStyle w:val="ListBullet"/>
        <w:spacing w:after="60"/>
      </w:pPr>
      <w:r>
        <w:t>Polypharmacy with ≥10 medications</w:t>
      </w:r>
    </w:p>
    <w:p>
      <w:pPr>
        <w:spacing w:before="160" w:after="160"/>
        <w:jc w:val="center"/>
      </w:pPr>
      <w:r>
        <w:rPr>
          <w:color w:val="76B900"/>
          <w:sz w:val="16"/>
        </w:rPr>
        <w:t>━━━━━━━━━━━━━━━━━━━━━━━━━━━━━━━━━━━━━━━━━━━━━━━━━━━━━━━━━━━━</w:t>
      </w:r>
    </w:p>
    <w:p>
      <w:r>
        <w:br w:type="page"/>
      </w:r>
    </w:p>
    <w:p>
      <w:pPr>
        <w:pStyle w:val="Heading2"/>
      </w:pPr>
      <w:r>
        <w:t>19. Regulatory Considerations</w:t>
      </w:r>
    </w:p>
    <w:p>
      <w:pPr>
        <w:pStyle w:val="Heading3"/>
      </w:pPr>
      <w:r>
        <w:t>19.1 FDA Classification</w:t>
      </w:r>
    </w:p>
    <w:p>
      <w:r>
        <w:t xml:space="preserve">The Pharmacogenomics Intelligence Agent operates as a </w:t>
      </w:r>
      <w:r>
        <w:rPr>
          <w:b/>
        </w:rPr>
        <w:t>clinical decision support (CDS) tool</w:t>
      </w:r>
      <w:r>
        <w:t xml:space="preserve"> that:</w:t>
      </w:r>
    </w:p>
    <w:p>
      <w:pPr>
        <w:pStyle w:val="ListBullet"/>
        <w:spacing w:after="60"/>
      </w:pPr>
      <w:r>
        <w:t>Presents PGx information from validated sources (CPIC, DPWG, FDA labels)</w:t>
      </w:r>
    </w:p>
    <w:p>
      <w:pPr>
        <w:pStyle w:val="ListBullet"/>
        <w:spacing w:after="60"/>
      </w:pPr>
      <w:r>
        <w:t>Does NOT make autonomous prescribing decisions</w:t>
      </w:r>
    </w:p>
    <w:p>
      <w:pPr>
        <w:pStyle w:val="ListBullet"/>
        <w:spacing w:after="60"/>
      </w:pPr>
      <w:r>
        <w:t>Requires clinician review and judgment for all recommendations</w:t>
      </w:r>
    </w:p>
    <w:p>
      <w:pPr>
        <w:pStyle w:val="ListBullet"/>
        <w:spacing w:after="60"/>
      </w:pPr>
      <w:r>
        <w:t>Falls under FDA 21st Century Cures Act CDS exemptions (criteria i-iv) when:</w:t>
      </w:r>
    </w:p>
    <w:p>
      <w:pPr>
        <w:pStyle w:val="ListBullet"/>
        <w:spacing w:after="60"/>
        <w:ind w:left="1440"/>
      </w:pPr>
      <w:r>
        <w:t>Not intended to replace clinical judgment</w:t>
      </w:r>
    </w:p>
    <w:p>
      <w:pPr>
        <w:pStyle w:val="ListBullet"/>
        <w:spacing w:after="60"/>
        <w:ind w:left="1440"/>
      </w:pPr>
      <w:r>
        <w:t>Displays underlying evidence for clinician review</w:t>
      </w:r>
    </w:p>
    <w:p>
      <w:pPr>
        <w:pStyle w:val="ListBullet"/>
        <w:spacing w:after="60"/>
        <w:ind w:left="1440"/>
      </w:pPr>
      <w:r>
        <w:t>Does not generate alarms that trigger automatic action</w:t>
      </w:r>
    </w:p>
    <w:p>
      <w:pPr>
        <w:pStyle w:val="Heading3"/>
      </w:pPr>
      <w:r>
        <w:t>19.2 Compliance Framework</w:t>
      </w:r>
    </w:p>
    <w:p>
      <w:pPr>
        <w:pStyle w:val="ListBullet"/>
        <w:spacing w:after="60"/>
      </w:pPr>
      <w:r>
        <w:rPr>
          <w:b/>
        </w:rPr>
        <w:t>HIPAA:</w:t>
      </w:r>
      <w:r>
        <w:t xml:space="preserve"> Patient genomic data stays on local DGX Spark. No PHI transmitted to cloud.</w:t>
      </w:r>
    </w:p>
    <w:p>
      <w:pPr>
        <w:pStyle w:val="ListBullet"/>
        <w:spacing w:after="60"/>
      </w:pPr>
      <w:r>
        <w:rPr>
          <w:b/>
        </w:rPr>
        <w:t>CLIA:</w:t>
      </w:r>
      <w:r>
        <w:t xml:space="preserve"> Star allele calling from research-grade WGS is informational. Clinical-grade results require CLIA-certified laboratory confirmation.</w:t>
      </w:r>
    </w:p>
    <w:p>
      <w:pPr>
        <w:pStyle w:val="ListBullet"/>
        <w:spacing w:after="60"/>
      </w:pPr>
      <w:r>
        <w:rPr>
          <w:b/>
        </w:rPr>
        <w:t>GDPR:</w:t>
      </w:r>
      <w:r>
        <w:t xml:space="preserve"> On-device processing eliminates cross-border data transfer concerns.</w:t>
      </w:r>
    </w:p>
    <w:p>
      <w:pPr>
        <w:pStyle w:val="ListBullet"/>
        <w:spacing w:after="60"/>
      </w:pPr>
      <w:r>
        <w:rPr>
          <w:b/>
        </w:rPr>
        <w:t>State PGx laws:</w:t>
      </w:r>
      <w:r>
        <w:t xml:space="preserve"> Some states require genetic counseling before PGx testing. The agent provides educational content but does not replace genetic counseling.</w:t>
      </w:r>
    </w:p>
    <w:p>
      <w:pPr>
        <w:spacing w:before="160" w:after="160"/>
        <w:jc w:val="center"/>
      </w:pPr>
      <w:r>
        <w:rPr>
          <w:color w:val="76B900"/>
          <w:sz w:val="16"/>
        </w:rPr>
        <w:t>━━━━━━━━━━━━━━━━━━━━━━━━━━━━━━━━━━━━━━━━━━━━━━━━━━━━━━━━━━━━</w:t>
      </w:r>
    </w:p>
    <w:p>
      <w:r>
        <w:br w:type="page"/>
      </w:r>
    </w:p>
    <w:p>
      <w:pPr>
        <w:pStyle w:val="Heading2"/>
      </w:pPr>
      <w:r>
        <w:t>20. DGX Compute Progression</w:t>
      </w:r>
    </w:p>
    <w:p>
      <w:pPr>
        <w:pStyle w:val="Heading3"/>
      </w:pPr>
      <w:r>
        <w:t>20.1 DGX Spark (Current Target)</w:t>
      </w:r>
    </w:p>
    <w:p>
      <w:pPr>
        <w:pStyle w:val="ListBullet"/>
        <w:spacing w:after="60"/>
      </w:pPr>
      <w:r>
        <w:rPr>
          <w:b/>
        </w:rPr>
        <w:t>GPU:</w:t>
      </w:r>
      <w:r>
        <w:t xml:space="preserve"> NVIDIA GPU with 128 GB unified memory</w:t>
      </w:r>
    </w:p>
    <w:p>
      <w:pPr>
        <w:pStyle w:val="ListBullet"/>
        <w:spacing w:after="60"/>
      </w:pPr>
      <w:r>
        <w:rPr>
          <w:b/>
        </w:rPr>
        <w:t>CPU:</w:t>
      </w:r>
      <w:r>
        <w:t xml:space="preserve"> NVIDIA Grace (72 ARM Neoverse cores)</w:t>
      </w:r>
    </w:p>
    <w:p>
      <w:pPr>
        <w:pStyle w:val="ListBullet"/>
        <w:spacing w:after="60"/>
      </w:pPr>
      <w:r>
        <w:rPr>
          <w:b/>
        </w:rPr>
        <w:t>RAM:</w:t>
      </w:r>
      <w:r>
        <w:t xml:space="preserve"> 128 GB unified (CPU+GPU shared)</w:t>
      </w:r>
    </w:p>
    <w:p>
      <w:pPr>
        <w:pStyle w:val="ListBullet"/>
        <w:spacing w:after="60"/>
      </w:pPr>
      <w:r>
        <w:rPr>
          <w:b/>
        </w:rPr>
        <w:t>Storage:</w:t>
      </w:r>
      <w:r>
        <w:t xml:space="preserve"> 4 TB NVMe SSD</w:t>
      </w:r>
    </w:p>
    <w:p>
      <w:pPr>
        <w:pStyle w:val="ListBullet"/>
        <w:spacing w:after="60"/>
      </w:pPr>
      <w:r>
        <w:rPr>
          <w:b/>
        </w:rPr>
        <w:t>Price:</w:t>
      </w:r>
      <w:r>
        <w:t xml:space="preserve"> $3,999</w:t>
      </w:r>
    </w:p>
    <w:p>
      <w:pPr>
        <w:pStyle w:val="ListBullet"/>
        <w:spacing w:after="60"/>
      </w:pPr>
      <w:r>
        <w:rPr>
          <w:b/>
        </w:rPr>
        <w:t>PGx Agent footprint:</w:t>
      </w:r>
      <w:r>
        <w:t xml:space="preserve"> ~15 GB (collections + models + reference data)</w:t>
      </w:r>
    </w:p>
    <w:p>
      <w:pPr>
        <w:pStyle w:val="ListBullet"/>
        <w:spacing w:after="60"/>
      </w:pPr>
      <w:r>
        <w:rPr>
          <w:b/>
        </w:rPr>
        <w:t>Concurrent capacity:</w:t>
      </w:r>
      <w:r>
        <w:t xml:space="preserve"> 10 simultaneous users</w:t>
      </w:r>
    </w:p>
    <w:p>
      <w:pPr>
        <w:pStyle w:val="Heading3"/>
      </w:pPr>
      <w:r>
        <w:t>20.2 Scaling Path</w:t>
      </w:r>
    </w:p>
    <w:p>
      <w:r>
        <w:t>As PGx adoption grows (more patients, more queries):</w:t>
      </w:r>
    </w:p>
    <w:p>
      <w:pPr>
        <w:pStyle w:val="ListBullet"/>
        <w:spacing w:after="60"/>
      </w:pPr>
      <w:r>
        <w:rPr>
          <w:b/>
        </w:rPr>
        <w:t>DGX Spark cluster (2-4 nodes):</w:t>
      </w:r>
      <w:r>
        <w:t xml:space="preserve"> Support 50+ concurrent users, faster batch VCF processing</w:t>
      </w:r>
    </w:p>
    <w:p>
      <w:pPr>
        <w:pStyle w:val="ListBullet"/>
        <w:spacing w:after="60"/>
      </w:pPr>
      <w:r>
        <w:rPr>
          <w:b/>
        </w:rPr>
        <w:t>DGX Station / Workstation:</w:t>
      </w:r>
      <w:r>
        <w:t xml:space="preserve"> Support health system deployment with 100+ users</w:t>
      </w:r>
    </w:p>
    <w:p>
      <w:pPr>
        <w:pStyle w:val="ListBullet"/>
        <w:spacing w:after="60"/>
      </w:pPr>
      <w:r>
        <w:rPr>
          <w:b/>
        </w:rPr>
        <w:t>DGX SuperPOD:</w:t>
      </w:r>
      <w:r>
        <w:t xml:space="preserve"> Population-scale PGx analytics across millions of patients</w:t>
      </w:r>
    </w:p>
    <w:p>
      <w:pPr>
        <w:spacing w:before="160" w:after="160"/>
        <w:jc w:val="center"/>
      </w:pPr>
      <w:r>
        <w:rPr>
          <w:color w:val="76B900"/>
          <w:sz w:val="16"/>
        </w:rPr>
        <w:t>━━━━━━━━━━━━━━━━━━━━━━━━━━━━━━━━━━━━━━━━━━━━━━━━━━━━━━━━━━━━</w:t>
      </w:r>
    </w:p>
    <w:p>
      <w:r>
        <w:br w:type="page"/>
      </w:r>
    </w:p>
    <w:p>
      <w:pPr>
        <w:pStyle w:val="Heading2"/>
      </w:pPr>
      <w:r>
        <w:t>21. Implementation Roadmap</w:t>
      </w:r>
    </w:p>
    <w:p>
      <w:pPr>
        <w:pStyle w:val="Heading3"/>
      </w:pPr>
      <w:r>
        <w:t>Phase 1: Core PGx Engine (Weeks 1-6)</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spacing w:after="40" w:before="40"/>
            </w:pPr>
            <w:r/>
            <w:r>
              <w:rPr>
                <w:rFonts w:ascii="Calibri" w:hAnsi="Calibri"/>
                <w:b/>
                <w:color w:val="FFFFFF"/>
                <w:sz w:val="20"/>
              </w:rPr>
              <w:t>Week</w:t>
            </w:r>
          </w:p>
        </w:tc>
        <w:tc>
          <w:tcPr>
            <w:tcW w:type="dxa" w:w="4680"/>
            <w:shd w:fill="1A1A2E"/>
          </w:tcPr>
          <w:p>
            <w:pPr>
              <w:spacing w:after="40" w:before="40"/>
            </w:pPr>
            <w:r/>
            <w:r>
              <w:rPr>
                <w:rFonts w:ascii="Calibri" w:hAnsi="Calibri"/>
                <w:b/>
                <w:color w:val="FFFFFF"/>
                <w:sz w:val="20"/>
              </w:rPr>
              <w:t>Deliverable</w:t>
            </w:r>
          </w:p>
        </w:tc>
      </w:tr>
      <w:tr>
        <w:tc>
          <w:tcPr>
            <w:tcW w:type="dxa" w:w="4680"/>
          </w:tcPr>
          <w:p>
            <w:pPr>
              <w:spacing w:after="40" w:before="40"/>
            </w:pPr>
            <w:r>
              <w:rPr>
                <w:rFonts w:ascii="Calibri" w:hAnsi="Calibri"/>
                <w:sz w:val="19"/>
              </w:rPr>
            </w:r>
            <w:r>
              <w:rPr>
                <w:rFonts w:ascii="Calibri" w:hAnsi="Calibri"/>
                <w:sz w:val="19"/>
              </w:rPr>
              <w:t>1-2</w:t>
            </w:r>
          </w:p>
        </w:tc>
        <w:tc>
          <w:tcPr>
            <w:tcW w:type="dxa" w:w="4680"/>
          </w:tcPr>
          <w:p>
            <w:pPr>
              <w:spacing w:after="40" w:before="40"/>
            </w:pPr>
            <w:r>
              <w:rPr>
                <w:rFonts w:ascii="Calibri" w:hAnsi="Calibri"/>
                <w:sz w:val="19"/>
              </w:rPr>
            </w:r>
            <w:r>
              <w:rPr>
                <w:rFonts w:ascii="Calibri" w:hAnsi="Calibri"/>
                <w:sz w:val="19"/>
              </w:rPr>
              <w:t>VCF-to-PGx variant extraction pipeline; star allele caller for 15 simple genes</w:t>
            </w:r>
          </w:p>
        </w:tc>
      </w:tr>
      <w:tr>
        <w:tc>
          <w:tcPr>
            <w:tcW w:type="dxa" w:w="4680"/>
            <w:shd w:fill="F5F5F5"/>
          </w:tcPr>
          <w:p>
            <w:pPr>
              <w:spacing w:after="40" w:before="40"/>
            </w:pPr>
            <w:r>
              <w:rPr>
                <w:rFonts w:ascii="Calibri" w:hAnsi="Calibri"/>
                <w:sz w:val="19"/>
              </w:rPr>
            </w:r>
            <w:r>
              <w:rPr>
                <w:rFonts w:ascii="Calibri" w:hAnsi="Calibri"/>
                <w:sz w:val="19"/>
              </w:rPr>
              <w:t>3-4</w:t>
            </w:r>
          </w:p>
        </w:tc>
        <w:tc>
          <w:tcPr>
            <w:tcW w:type="dxa" w:w="4680"/>
            <w:shd w:fill="F5F5F5"/>
          </w:tcPr>
          <w:p>
            <w:pPr>
              <w:spacing w:after="40" w:before="40"/>
            </w:pPr>
            <w:r>
              <w:rPr>
                <w:rFonts w:ascii="Calibri" w:hAnsi="Calibri"/>
                <w:sz w:val="19"/>
              </w:rPr>
            </w:r>
            <w:r>
              <w:rPr>
                <w:rFonts w:ascii="Calibri" w:hAnsi="Calibri"/>
                <w:sz w:val="19"/>
              </w:rPr>
              <w:t>CYP2D6 complex allele handling; diplotype-to-phenotype translator</w:t>
            </w:r>
          </w:p>
        </w:tc>
      </w:tr>
      <w:tr>
        <w:tc>
          <w:tcPr>
            <w:tcW w:type="dxa" w:w="4680"/>
          </w:tcPr>
          <w:p>
            <w:pPr>
              <w:spacing w:after="40" w:before="40"/>
            </w:pPr>
            <w:r>
              <w:rPr>
                <w:rFonts w:ascii="Calibri" w:hAnsi="Calibri"/>
                <w:sz w:val="19"/>
              </w:rPr>
            </w:r>
            <w:r>
              <w:rPr>
                <w:rFonts w:ascii="Calibri" w:hAnsi="Calibri"/>
                <w:sz w:val="19"/>
              </w:rPr>
              <w:t>5-6</w:t>
            </w:r>
          </w:p>
        </w:tc>
        <w:tc>
          <w:tcPr>
            <w:tcW w:type="dxa" w:w="4680"/>
          </w:tcPr>
          <w:p>
            <w:pPr>
              <w:spacing w:after="40" w:before="40"/>
            </w:pPr>
            <w:r>
              <w:rPr>
                <w:rFonts w:ascii="Calibri" w:hAnsi="Calibri"/>
                <w:sz w:val="19"/>
              </w:rPr>
            </w:r>
            <w:r>
              <w:rPr>
                <w:rFonts w:ascii="Calibri" w:hAnsi="Calibri"/>
                <w:sz w:val="19"/>
              </w:rPr>
              <w:t>Milvus collections setup; CPIC guideline ingestion; basic drug-gene matching</w:t>
            </w:r>
          </w:p>
        </w:tc>
      </w:tr>
    </w:tbl>
    <w:p/>
    <w:p>
      <w:pPr>
        <w:pStyle w:val="Heading3"/>
      </w:pPr>
      <w:r>
        <w:t>Phase 2: Clinical Workflows (Weeks 7-12)</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spacing w:after="40" w:before="40"/>
            </w:pPr>
            <w:r/>
            <w:r>
              <w:rPr>
                <w:rFonts w:ascii="Calibri" w:hAnsi="Calibri"/>
                <w:b/>
                <w:color w:val="FFFFFF"/>
                <w:sz w:val="20"/>
              </w:rPr>
              <w:t>Week</w:t>
            </w:r>
          </w:p>
        </w:tc>
        <w:tc>
          <w:tcPr>
            <w:tcW w:type="dxa" w:w="4680"/>
            <w:shd w:fill="1A1A2E"/>
          </w:tcPr>
          <w:p>
            <w:pPr>
              <w:spacing w:after="40" w:before="40"/>
            </w:pPr>
            <w:r/>
            <w:r>
              <w:rPr>
                <w:rFonts w:ascii="Calibri" w:hAnsi="Calibri"/>
                <w:b/>
                <w:color w:val="FFFFFF"/>
                <w:sz w:val="20"/>
              </w:rPr>
              <w:t>Deliverable</w:t>
            </w:r>
          </w:p>
        </w:tc>
      </w:tr>
      <w:tr>
        <w:tc>
          <w:tcPr>
            <w:tcW w:type="dxa" w:w="4680"/>
          </w:tcPr>
          <w:p>
            <w:pPr>
              <w:spacing w:after="40" w:before="40"/>
            </w:pPr>
            <w:r>
              <w:rPr>
                <w:rFonts w:ascii="Calibri" w:hAnsi="Calibri"/>
                <w:sz w:val="19"/>
              </w:rPr>
            </w:r>
            <w:r>
              <w:rPr>
                <w:rFonts w:ascii="Calibri" w:hAnsi="Calibri"/>
                <w:sz w:val="19"/>
              </w:rPr>
              <w:t>7-8</w:t>
            </w:r>
          </w:p>
        </w:tc>
        <w:tc>
          <w:tcPr>
            <w:tcW w:type="dxa" w:w="4680"/>
          </w:tcPr>
          <w:p>
            <w:pPr>
              <w:spacing w:after="40" w:before="40"/>
            </w:pPr>
            <w:r>
              <w:rPr>
                <w:rFonts w:ascii="Calibri" w:hAnsi="Calibri"/>
                <w:sz w:val="19"/>
              </w:rPr>
            </w:r>
            <w:r>
              <w:rPr>
                <w:rFonts w:ascii="Calibri" w:hAnsi="Calibri"/>
                <w:sz w:val="19"/>
              </w:rPr>
              <w:t>Pre-emptive panel workflow; opioid safety workflow; HLA screening</w:t>
            </w:r>
          </w:p>
        </w:tc>
      </w:tr>
      <w:tr>
        <w:tc>
          <w:tcPr>
            <w:tcW w:type="dxa" w:w="4680"/>
            <w:shd w:fill="F5F5F5"/>
          </w:tcPr>
          <w:p>
            <w:pPr>
              <w:spacing w:after="40" w:before="40"/>
            </w:pPr>
            <w:r>
              <w:rPr>
                <w:rFonts w:ascii="Calibri" w:hAnsi="Calibri"/>
                <w:sz w:val="19"/>
              </w:rPr>
            </w:r>
            <w:r>
              <w:rPr>
                <w:rFonts w:ascii="Calibri" w:hAnsi="Calibri"/>
                <w:sz w:val="19"/>
              </w:rPr>
              <w:t>9-10</w:t>
            </w:r>
          </w:p>
        </w:tc>
        <w:tc>
          <w:tcPr>
            <w:tcW w:type="dxa" w:w="4680"/>
            <w:shd w:fill="F5F5F5"/>
          </w:tcPr>
          <w:p>
            <w:pPr>
              <w:spacing w:after="40" w:before="40"/>
            </w:pPr>
            <w:r>
              <w:rPr>
                <w:rFonts w:ascii="Calibri" w:hAnsi="Calibri"/>
                <w:sz w:val="19"/>
              </w:rPr>
            </w:r>
            <w:r>
              <w:rPr>
                <w:rFonts w:ascii="Calibri" w:hAnsi="Calibri"/>
                <w:sz w:val="19"/>
              </w:rPr>
              <w:t>Warfarin dosing calculator; antidepressant selection workflow</w:t>
            </w:r>
          </w:p>
        </w:tc>
      </w:tr>
      <w:tr>
        <w:tc>
          <w:tcPr>
            <w:tcW w:type="dxa" w:w="4680"/>
          </w:tcPr>
          <w:p>
            <w:pPr>
              <w:spacing w:after="40" w:before="40"/>
            </w:pPr>
            <w:r>
              <w:rPr>
                <w:rFonts w:ascii="Calibri" w:hAnsi="Calibri"/>
                <w:sz w:val="19"/>
              </w:rPr>
            </w:r>
            <w:r>
              <w:rPr>
                <w:rFonts w:ascii="Calibri" w:hAnsi="Calibri"/>
                <w:sz w:val="19"/>
              </w:rPr>
              <w:t>11-12</w:t>
            </w:r>
          </w:p>
        </w:tc>
        <w:tc>
          <w:tcPr>
            <w:tcW w:type="dxa" w:w="4680"/>
          </w:tcPr>
          <w:p>
            <w:pPr>
              <w:spacing w:after="40" w:before="40"/>
            </w:pPr>
            <w:r>
              <w:rPr>
                <w:rFonts w:ascii="Calibri" w:hAnsi="Calibri"/>
                <w:sz w:val="19"/>
              </w:rPr>
            </w:r>
            <w:r>
              <w:rPr>
                <w:rFonts w:ascii="Calibri" w:hAnsi="Calibri"/>
                <w:sz w:val="19"/>
              </w:rPr>
              <w:t>Chemotherapy safety (DPYD, TPMT, NUDT15); statin myopathy workflow</w:t>
            </w:r>
          </w:p>
        </w:tc>
      </w:tr>
    </w:tbl>
    <w:p/>
    <w:p>
      <w:pPr>
        <w:pStyle w:val="Heading3"/>
      </w:pPr>
      <w:r>
        <w:t>Phase 3: Advanced Features (Weeks 13-18)</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spacing w:after="40" w:before="40"/>
            </w:pPr>
            <w:r/>
            <w:r>
              <w:rPr>
                <w:rFonts w:ascii="Calibri" w:hAnsi="Calibri"/>
                <w:b/>
                <w:color w:val="FFFFFF"/>
                <w:sz w:val="20"/>
              </w:rPr>
              <w:t>Week</w:t>
            </w:r>
          </w:p>
        </w:tc>
        <w:tc>
          <w:tcPr>
            <w:tcW w:type="dxa" w:w="4680"/>
            <w:shd w:fill="1A1A2E"/>
          </w:tcPr>
          <w:p>
            <w:pPr>
              <w:spacing w:after="40" w:before="40"/>
            </w:pPr>
            <w:r/>
            <w:r>
              <w:rPr>
                <w:rFonts w:ascii="Calibri" w:hAnsi="Calibri"/>
                <w:b/>
                <w:color w:val="FFFFFF"/>
                <w:sz w:val="20"/>
              </w:rPr>
              <w:t>Deliverable</w:t>
            </w:r>
          </w:p>
        </w:tc>
      </w:tr>
      <w:tr>
        <w:tc>
          <w:tcPr>
            <w:tcW w:type="dxa" w:w="4680"/>
          </w:tcPr>
          <w:p>
            <w:pPr>
              <w:spacing w:after="40" w:before="40"/>
            </w:pPr>
            <w:r>
              <w:rPr>
                <w:rFonts w:ascii="Calibri" w:hAnsi="Calibri"/>
                <w:sz w:val="19"/>
              </w:rPr>
            </w:r>
            <w:r>
              <w:rPr>
                <w:rFonts w:ascii="Calibri" w:hAnsi="Calibri"/>
                <w:sz w:val="19"/>
              </w:rPr>
              <w:t>13-14</w:t>
            </w:r>
          </w:p>
        </w:tc>
        <w:tc>
          <w:tcPr>
            <w:tcW w:type="dxa" w:w="4680"/>
          </w:tcPr>
          <w:p>
            <w:pPr>
              <w:spacing w:after="40" w:before="40"/>
            </w:pPr>
            <w:r>
              <w:rPr>
                <w:rFonts w:ascii="Calibri" w:hAnsi="Calibri"/>
                <w:sz w:val="19"/>
              </w:rPr>
            </w:r>
            <w:r>
              <w:rPr>
                <w:rFonts w:ascii="Calibri" w:hAnsi="Calibri"/>
                <w:sz w:val="19"/>
              </w:rPr>
              <w:t>Phenoconversion detection engine; polypharmacy drug-drug-gene interaction analysis</w:t>
            </w:r>
          </w:p>
        </w:tc>
      </w:tr>
      <w:tr>
        <w:tc>
          <w:tcPr>
            <w:tcW w:type="dxa" w:w="4680"/>
            <w:shd w:fill="F5F5F5"/>
          </w:tcPr>
          <w:p>
            <w:pPr>
              <w:spacing w:after="40" w:before="40"/>
            </w:pPr>
            <w:r>
              <w:rPr>
                <w:rFonts w:ascii="Calibri" w:hAnsi="Calibri"/>
                <w:sz w:val="19"/>
              </w:rPr>
            </w:r>
            <w:r>
              <w:rPr>
                <w:rFonts w:ascii="Calibri" w:hAnsi="Calibri"/>
                <w:sz w:val="19"/>
              </w:rPr>
              <w:t>15-16</w:t>
            </w:r>
          </w:p>
        </w:tc>
        <w:tc>
          <w:tcPr>
            <w:tcW w:type="dxa" w:w="4680"/>
            <w:shd w:fill="F5F5F5"/>
          </w:tcPr>
          <w:p>
            <w:pPr>
              <w:spacing w:after="40" w:before="40"/>
            </w:pPr>
            <w:r>
              <w:rPr>
                <w:rFonts w:ascii="Calibri" w:hAnsi="Calibri"/>
                <w:sz w:val="19"/>
              </w:rPr>
            </w:r>
            <w:r>
              <w:rPr>
                <w:rFonts w:ascii="Calibri" w:hAnsi="Calibri"/>
                <w:sz w:val="19"/>
              </w:rPr>
              <w:t>Streamlit UI (10 tabs); PDF/FHIR report generation; PGx Passport</w:t>
            </w:r>
          </w:p>
        </w:tc>
      </w:tr>
      <w:tr>
        <w:tc>
          <w:tcPr>
            <w:tcW w:type="dxa" w:w="4680"/>
          </w:tcPr>
          <w:p>
            <w:pPr>
              <w:spacing w:after="40" w:before="40"/>
            </w:pPr>
            <w:r>
              <w:rPr>
                <w:rFonts w:ascii="Calibri" w:hAnsi="Calibri"/>
                <w:sz w:val="19"/>
              </w:rPr>
            </w:r>
            <w:r>
              <w:rPr>
                <w:rFonts w:ascii="Calibri" w:hAnsi="Calibri"/>
                <w:sz w:val="19"/>
              </w:rPr>
              <w:t>17-18</w:t>
            </w:r>
          </w:p>
        </w:tc>
        <w:tc>
          <w:tcPr>
            <w:tcW w:type="dxa" w:w="4680"/>
          </w:tcPr>
          <w:p>
            <w:pPr>
              <w:spacing w:after="40" w:before="40"/>
            </w:pPr>
            <w:r>
              <w:rPr>
                <w:rFonts w:ascii="Calibri" w:hAnsi="Calibri"/>
                <w:sz w:val="19"/>
              </w:rPr>
            </w:r>
            <w:r>
              <w:rPr>
                <w:rFonts w:ascii="Calibri" w:hAnsi="Calibri"/>
                <w:sz w:val="19"/>
              </w:rPr>
              <w:t>Population analytics; validation suite (50+ test cases); performance optimization</w:t>
            </w:r>
          </w:p>
        </w:tc>
      </w:tr>
    </w:tbl>
    <w:p/>
    <w:p>
      <w:pPr>
        <w:spacing w:before="160" w:after="160"/>
        <w:jc w:val="center"/>
      </w:pPr>
      <w:r>
        <w:rPr>
          <w:color w:val="76B900"/>
          <w:sz w:val="16"/>
        </w:rPr>
        <w:t>━━━━━━━━━━━━━━━━━━━━━━━━━━━━━━━━━━━━━━━━━━━━━━━━━━━━━━━━━━━━</w:t>
      </w:r>
    </w:p>
    <w:p>
      <w:r>
        <w:br w:type="page"/>
      </w:r>
    </w:p>
    <w:p>
      <w:pPr>
        <w:pStyle w:val="Heading2"/>
      </w:pPr>
      <w:r>
        <w:t>22. Risk Analysis</w:t>
      </w:r>
    </w:p>
    <w:p>
      <w:pPr>
        <w:pStyle w:val="Heading3"/>
      </w:pPr>
      <w:r>
        <w:t>22.1 Critical Risks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spacing w:after="40" w:before="40"/>
            </w:pPr>
            <w:r/>
            <w:r>
              <w:rPr>
                <w:rFonts w:ascii="Calibri" w:hAnsi="Calibri"/>
                <w:b/>
                <w:color w:val="FFFFFF"/>
                <w:sz w:val="20"/>
              </w:rPr>
              <w:t>Risk</w:t>
            </w:r>
          </w:p>
        </w:tc>
        <w:tc>
          <w:tcPr>
            <w:tcW w:type="dxa" w:w="3120"/>
            <w:shd w:fill="1A1A2E"/>
          </w:tcPr>
          <w:p>
            <w:pPr>
              <w:spacing w:after="40" w:before="40"/>
            </w:pPr>
            <w:r/>
            <w:r>
              <w:rPr>
                <w:rFonts w:ascii="Calibri" w:hAnsi="Calibri"/>
                <w:b/>
                <w:color w:val="FFFFFF"/>
                <w:sz w:val="20"/>
              </w:rPr>
              <w:t>Severity</w:t>
            </w:r>
          </w:p>
        </w:tc>
        <w:tc>
          <w:tcPr>
            <w:tcW w:type="dxa" w:w="3120"/>
            <w:shd w:fill="1A1A2E"/>
          </w:tcPr>
          <w:p>
            <w:pPr>
              <w:spacing w:after="40" w:before="40"/>
            </w:pPr>
            <w:r/>
            <w:r>
              <w:rPr>
                <w:rFonts w:ascii="Calibri" w:hAnsi="Calibri"/>
                <w:b/>
                <w:color w:val="FFFFFF"/>
                <w:sz w:val="20"/>
              </w:rPr>
              <w:t>Mitigation</w:t>
            </w:r>
          </w:p>
        </w:tc>
      </w:tr>
      <w:tr>
        <w:tc>
          <w:tcPr>
            <w:tcW w:type="dxa" w:w="3120"/>
          </w:tcPr>
          <w:p>
            <w:pPr>
              <w:spacing w:after="40" w:before="40"/>
            </w:pPr>
            <w:r>
              <w:rPr>
                <w:rFonts w:ascii="Calibri" w:hAnsi="Calibri"/>
                <w:sz w:val="19"/>
              </w:rPr>
            </w:r>
            <w:r>
              <w:rPr>
                <w:rFonts w:ascii="Calibri" w:hAnsi="Calibri"/>
                <w:sz w:val="19"/>
              </w:rPr>
              <w:t>Incorrect star allele calling leads to wrong phenotype and wrong drug recommendation</w:t>
            </w:r>
          </w:p>
        </w:tc>
        <w:tc>
          <w:tcPr>
            <w:tcW w:type="dxa" w:w="3120"/>
          </w:tcPr>
          <w:p>
            <w:pPr>
              <w:spacing w:after="40" w:before="40"/>
            </w:pPr>
            <w:r>
              <w:rPr>
                <w:rFonts w:ascii="Calibri" w:hAnsi="Calibri"/>
                <w:sz w:val="19"/>
              </w:rPr>
            </w:r>
            <w:r>
              <w:rPr>
                <w:rFonts w:ascii="Calibri" w:hAnsi="Calibri"/>
                <w:b/>
                <w:sz w:val="19"/>
              </w:rPr>
              <w:t>Critical</w:t>
            </w:r>
            <w:r>
              <w:rPr>
                <w:rFonts w:ascii="Calibri" w:hAnsi="Calibri"/>
                <w:sz w:val="19"/>
              </w:rPr>
              <w:t xml:space="preserve"> -- patient harm</w:t>
            </w:r>
          </w:p>
        </w:tc>
        <w:tc>
          <w:tcPr>
            <w:tcW w:type="dxa" w:w="3120"/>
          </w:tcPr>
          <w:p>
            <w:pPr>
              <w:spacing w:after="40" w:before="40"/>
            </w:pPr>
            <w:r>
              <w:rPr>
                <w:rFonts w:ascii="Calibri" w:hAnsi="Calibri"/>
                <w:sz w:val="19"/>
              </w:rPr>
            </w:r>
            <w:r>
              <w:rPr>
                <w:rFonts w:ascii="Calibri" w:hAnsi="Calibri"/>
                <w:sz w:val="19"/>
              </w:rPr>
              <w:t>Multi-tier validation against GeT-RM; CLIA disclaimer for research-grade WGS; mandatory clinician review</w:t>
            </w:r>
          </w:p>
        </w:tc>
      </w:tr>
      <w:tr>
        <w:tc>
          <w:tcPr>
            <w:tcW w:type="dxa" w:w="3120"/>
            <w:shd w:fill="F5F5F5"/>
          </w:tcPr>
          <w:p>
            <w:pPr>
              <w:spacing w:after="40" w:before="40"/>
            </w:pPr>
            <w:r>
              <w:rPr>
                <w:rFonts w:ascii="Calibri" w:hAnsi="Calibri"/>
                <w:sz w:val="19"/>
              </w:rPr>
            </w:r>
            <w:r>
              <w:rPr>
                <w:rFonts w:ascii="Calibri" w:hAnsi="Calibri"/>
                <w:sz w:val="19"/>
              </w:rPr>
              <w:t>CYP2D6 structural variants missed from short-read WGS</w:t>
            </w:r>
          </w:p>
        </w:tc>
        <w:tc>
          <w:tcPr>
            <w:tcW w:type="dxa" w:w="3120"/>
            <w:shd w:fill="F5F5F5"/>
          </w:tcPr>
          <w:p>
            <w:pPr>
              <w:spacing w:after="40" w:before="40"/>
            </w:pPr>
            <w:r>
              <w:rPr>
                <w:rFonts w:ascii="Calibri" w:hAnsi="Calibri"/>
                <w:sz w:val="19"/>
              </w:rPr>
            </w:r>
            <w:r>
              <w:rPr>
                <w:rFonts w:ascii="Calibri" w:hAnsi="Calibri"/>
                <w:b/>
                <w:sz w:val="19"/>
              </w:rPr>
              <w:t>High</w:t>
            </w:r>
            <w:r>
              <w:rPr>
                <w:rFonts w:ascii="Calibri" w:hAnsi="Calibri"/>
                <w:sz w:val="19"/>
              </w:rPr>
              <w:t xml:space="preserve"> -- incomplete profile</w:t>
            </w:r>
          </w:p>
        </w:tc>
        <w:tc>
          <w:tcPr>
            <w:tcW w:type="dxa" w:w="3120"/>
            <w:shd w:fill="F5F5F5"/>
          </w:tcPr>
          <w:p>
            <w:pPr>
              <w:spacing w:after="40" w:before="40"/>
            </w:pPr>
            <w:r>
              <w:rPr>
                <w:rFonts w:ascii="Calibri" w:hAnsi="Calibri"/>
                <w:sz w:val="19"/>
              </w:rPr>
            </w:r>
            <w:r>
              <w:rPr>
                <w:rFonts w:ascii="Calibri" w:hAnsi="Calibri"/>
                <w:sz w:val="19"/>
              </w:rPr>
              <w:t>Clear documentation of limitations; flag when structural variant data unavailable; recommend confirmatory testing</w:t>
            </w:r>
          </w:p>
        </w:tc>
      </w:tr>
      <w:tr>
        <w:tc>
          <w:tcPr>
            <w:tcW w:type="dxa" w:w="3120"/>
          </w:tcPr>
          <w:p>
            <w:pPr>
              <w:spacing w:after="40" w:before="40"/>
            </w:pPr>
            <w:r>
              <w:rPr>
                <w:rFonts w:ascii="Calibri" w:hAnsi="Calibri"/>
                <w:sz w:val="19"/>
              </w:rPr>
            </w:r>
            <w:r>
              <w:rPr>
                <w:rFonts w:ascii="Calibri" w:hAnsi="Calibri"/>
                <w:sz w:val="19"/>
              </w:rPr>
              <w:t>Guideline updates not propagated, stale recommendations served</w:t>
            </w:r>
          </w:p>
        </w:tc>
        <w:tc>
          <w:tcPr>
            <w:tcW w:type="dxa" w:w="3120"/>
          </w:tcPr>
          <w:p>
            <w:pPr>
              <w:spacing w:after="40" w:before="40"/>
            </w:pPr>
            <w:r>
              <w:rPr>
                <w:rFonts w:ascii="Calibri" w:hAnsi="Calibri"/>
                <w:sz w:val="19"/>
              </w:rPr>
            </w:r>
            <w:r>
              <w:rPr>
                <w:rFonts w:ascii="Calibri" w:hAnsi="Calibri"/>
                <w:b/>
                <w:sz w:val="19"/>
              </w:rPr>
              <w:t>High</w:t>
            </w:r>
            <w:r>
              <w:rPr>
                <w:rFonts w:ascii="Calibri" w:hAnsi="Calibri"/>
                <w:sz w:val="19"/>
              </w:rPr>
              <w:t xml:space="preserve"> -- outdated guidance</w:t>
            </w:r>
          </w:p>
        </w:tc>
        <w:tc>
          <w:tcPr>
            <w:tcW w:type="dxa" w:w="3120"/>
          </w:tcPr>
          <w:p>
            <w:pPr>
              <w:spacing w:after="40" w:before="40"/>
            </w:pPr>
            <w:r>
              <w:rPr>
                <w:rFonts w:ascii="Calibri" w:hAnsi="Calibri"/>
                <w:sz w:val="19"/>
              </w:rPr>
            </w:r>
            <w:r>
              <w:rPr>
                <w:rFonts w:ascii="Calibri" w:hAnsi="Calibri"/>
                <w:sz w:val="19"/>
              </w:rPr>
              <w:t>Automated CPIC RSS monitoring; version stamping on all recommendations; manual review process for updates</w:t>
            </w:r>
          </w:p>
        </w:tc>
      </w:tr>
      <w:tr>
        <w:tc>
          <w:tcPr>
            <w:tcW w:type="dxa" w:w="3120"/>
            <w:shd w:fill="F5F5F5"/>
          </w:tcPr>
          <w:p>
            <w:pPr>
              <w:spacing w:after="40" w:before="40"/>
            </w:pPr>
            <w:r>
              <w:rPr>
                <w:rFonts w:ascii="Calibri" w:hAnsi="Calibri"/>
                <w:sz w:val="19"/>
              </w:rPr>
            </w:r>
            <w:r>
              <w:rPr>
                <w:rFonts w:ascii="Calibri" w:hAnsi="Calibri"/>
                <w:sz w:val="19"/>
              </w:rPr>
              <w:t>Clinician over-reliance on PGx recommendations without clinical context</w:t>
            </w:r>
          </w:p>
        </w:tc>
        <w:tc>
          <w:tcPr>
            <w:tcW w:type="dxa" w:w="3120"/>
            <w:shd w:fill="F5F5F5"/>
          </w:tcPr>
          <w:p>
            <w:pPr>
              <w:spacing w:after="40" w:before="40"/>
            </w:pPr>
            <w:r>
              <w:rPr>
                <w:rFonts w:ascii="Calibri" w:hAnsi="Calibri"/>
                <w:sz w:val="19"/>
              </w:rPr>
            </w:r>
            <w:r>
              <w:rPr>
                <w:rFonts w:ascii="Calibri" w:hAnsi="Calibri"/>
                <w:b/>
                <w:sz w:val="19"/>
              </w:rPr>
              <w:t>High</w:t>
            </w:r>
            <w:r>
              <w:rPr>
                <w:rFonts w:ascii="Calibri" w:hAnsi="Calibri"/>
                <w:sz w:val="19"/>
              </w:rPr>
              <w:t xml:space="preserve"> -- inappropriate automation</w:t>
            </w:r>
          </w:p>
        </w:tc>
        <w:tc>
          <w:tcPr>
            <w:tcW w:type="dxa" w:w="3120"/>
            <w:shd w:fill="F5F5F5"/>
          </w:tcPr>
          <w:p>
            <w:pPr>
              <w:spacing w:after="40" w:before="40"/>
            </w:pPr>
            <w:r>
              <w:rPr>
                <w:rFonts w:ascii="Calibri" w:hAnsi="Calibri"/>
                <w:sz w:val="19"/>
              </w:rPr>
            </w:r>
            <w:r>
              <w:rPr>
                <w:rFonts w:ascii="Calibri" w:hAnsi="Calibri"/>
                <w:sz w:val="19"/>
              </w:rPr>
              <w:t>CDS design emphasizes "decision SUPPORT" not "decision MAKING"; all outputs include "clinician review required"</w:t>
            </w:r>
          </w:p>
        </w:tc>
      </w:tr>
      <w:tr>
        <w:tc>
          <w:tcPr>
            <w:tcW w:type="dxa" w:w="3120"/>
          </w:tcPr>
          <w:p>
            <w:pPr>
              <w:spacing w:after="40" w:before="40"/>
            </w:pPr>
            <w:r>
              <w:rPr>
                <w:rFonts w:ascii="Calibri" w:hAnsi="Calibri"/>
                <w:sz w:val="19"/>
              </w:rPr>
            </w:r>
            <w:r>
              <w:rPr>
                <w:rFonts w:ascii="Calibri" w:hAnsi="Calibri"/>
                <w:sz w:val="19"/>
              </w:rPr>
              <w:t>Phenoconversion modeling errors in complex polypharmacy</w:t>
            </w:r>
          </w:p>
        </w:tc>
        <w:tc>
          <w:tcPr>
            <w:tcW w:type="dxa" w:w="3120"/>
          </w:tcPr>
          <w:p>
            <w:pPr>
              <w:spacing w:after="40" w:before="40"/>
            </w:pPr>
            <w:r>
              <w:rPr>
                <w:rFonts w:ascii="Calibri" w:hAnsi="Calibri"/>
                <w:sz w:val="19"/>
              </w:rPr>
            </w:r>
            <w:r>
              <w:rPr>
                <w:rFonts w:ascii="Calibri" w:hAnsi="Calibri"/>
                <w:b/>
                <w:sz w:val="19"/>
              </w:rPr>
              <w:t>Medium</w:t>
            </w:r>
            <w:r>
              <w:rPr>
                <w:rFonts w:ascii="Calibri" w:hAnsi="Calibri"/>
                <w:sz w:val="19"/>
              </w:rPr>
              <w:t xml:space="preserve"> -- missed interactions</w:t>
            </w:r>
          </w:p>
        </w:tc>
        <w:tc>
          <w:tcPr>
            <w:tcW w:type="dxa" w:w="3120"/>
          </w:tcPr>
          <w:p>
            <w:pPr>
              <w:spacing w:after="40" w:before="40"/>
            </w:pPr>
            <w:r>
              <w:rPr>
                <w:rFonts w:ascii="Calibri" w:hAnsi="Calibri"/>
                <w:sz w:val="19"/>
              </w:rPr>
            </w:r>
            <w:r>
              <w:rPr>
                <w:rFonts w:ascii="Calibri" w:hAnsi="Calibri"/>
                <w:sz w:val="19"/>
              </w:rPr>
              <w:t>Conservative alerting (flag potential phenoconversion even with weak inhibitors); clear uncertainty language</w:t>
            </w:r>
          </w:p>
        </w:tc>
      </w:tr>
    </w:tbl>
    <w:p/>
    <w:p>
      <w:pPr>
        <w:pStyle w:val="Heading3"/>
      </w:pPr>
      <w:r>
        <w:t>22.2 Ethical Considerations</w:t>
      </w:r>
    </w:p>
    <w:p>
      <w:pPr>
        <w:pStyle w:val="ListBullet"/>
        <w:spacing w:after="60"/>
      </w:pPr>
      <w:r>
        <w:rPr>
          <w:b/>
        </w:rPr>
        <w:t>Health equity:</w:t>
      </w:r>
      <w:r>
        <w:t xml:space="preserve"> PGx guidelines are predominantly derived from European-ancestry populations. Allele frequency databases for African, Asian, and Latino populations are less complete. The agent must clearly communicate when evidence is population-limited.</w:t>
      </w:r>
    </w:p>
    <w:p>
      <w:pPr>
        <w:pStyle w:val="ListBullet"/>
        <w:spacing w:after="60"/>
      </w:pPr>
      <w:r>
        <w:rPr>
          <w:b/>
        </w:rPr>
        <w:t>Access equity:</w:t>
      </w:r>
      <w:r>
        <w:t xml:space="preserve"> The $3,999 DGX Spark + open-source model makes PGx CDS accessible to under-resourced clinics, but genomic sequencing itself remains costly.</w:t>
      </w:r>
    </w:p>
    <w:p>
      <w:pPr>
        <w:pStyle w:val="ListBullet"/>
        <w:spacing w:after="60"/>
      </w:pPr>
      <w:r>
        <w:rPr>
          <w:b/>
        </w:rPr>
        <w:t>Genetic determinism:</w:t>
      </w:r>
      <w:r>
        <w:t xml:space="preserve"> PGx phenotype is one factor in drug response. Environment, adherence, comorbidities, age, and other medications all contribute. The agent must contextualize genetic findings appropriately.</w:t>
      </w:r>
    </w:p>
    <w:p>
      <w:pPr>
        <w:pStyle w:val="ListBullet"/>
        <w:spacing w:after="60"/>
      </w:pPr>
      <w:r>
        <w:rPr>
          <w:b/>
        </w:rPr>
        <w:t>Incidental findings:</w:t>
      </w:r>
      <w:r>
        <w:t xml:space="preserve"> WGS-based PGx extraction may reveal disease-risk variants (e.g., BRCA1/2) incidentally. The agent must have a clear policy for managing incidental findings.</w:t>
      </w:r>
    </w:p>
    <w:p>
      <w:pPr>
        <w:spacing w:before="160" w:after="160"/>
        <w:jc w:val="center"/>
      </w:pPr>
      <w:r>
        <w:rPr>
          <w:color w:val="76B900"/>
          <w:sz w:val="16"/>
        </w:rPr>
        <w:t>━━━━━━━━━━━━━━━━━━━━━━━━━━━━━━━━━━━━━━━━━━━━━━━━━━━━━━━━━━━━</w:t>
      </w:r>
    </w:p>
    <w:p>
      <w:r>
        <w:br w:type="page"/>
      </w:r>
    </w:p>
    <w:p>
      <w:pPr>
        <w:pStyle w:val="Heading2"/>
      </w:pPr>
      <w:r>
        <w:t>23. Competitive Landscape</w:t>
      </w:r>
    </w:p>
    <w:p>
      <w:pPr>
        <w:pStyle w:val="Heading3"/>
      </w:pPr>
      <w:r>
        <w:t>23.1 Detailed Competitive 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1A2E"/>
          </w:tcPr>
          <w:p>
            <w:pPr>
              <w:spacing w:after="40" w:before="40"/>
            </w:pPr>
            <w:r/>
            <w:r>
              <w:rPr>
                <w:rFonts w:ascii="Calibri" w:hAnsi="Calibri"/>
                <w:b/>
                <w:color w:val="FFFFFF"/>
                <w:sz w:val="20"/>
              </w:rPr>
              <w:t>Feature</w:t>
            </w:r>
          </w:p>
        </w:tc>
        <w:tc>
          <w:tcPr>
            <w:tcW w:type="dxa" w:w="1560"/>
            <w:shd w:fill="1A1A2E"/>
          </w:tcPr>
          <w:p>
            <w:pPr>
              <w:spacing w:after="40" w:before="40"/>
            </w:pPr>
            <w:r/>
            <w:r>
              <w:rPr>
                <w:rFonts w:ascii="Calibri" w:hAnsi="Calibri"/>
                <w:b/>
                <w:color w:val="FFFFFF"/>
                <w:sz w:val="20"/>
              </w:rPr>
              <w:t>Our Agent</w:t>
            </w:r>
          </w:p>
        </w:tc>
        <w:tc>
          <w:tcPr>
            <w:tcW w:type="dxa" w:w="1560"/>
            <w:shd w:fill="1A1A2E"/>
          </w:tcPr>
          <w:p>
            <w:pPr>
              <w:spacing w:after="40" w:before="40"/>
            </w:pPr>
            <w:r/>
            <w:r>
              <w:rPr>
                <w:rFonts w:ascii="Calibri" w:hAnsi="Calibri"/>
                <w:b/>
                <w:color w:val="FFFFFF"/>
                <w:sz w:val="20"/>
              </w:rPr>
              <w:t>OneOme RightMed</w:t>
            </w:r>
          </w:p>
        </w:tc>
        <w:tc>
          <w:tcPr>
            <w:tcW w:type="dxa" w:w="1560"/>
            <w:shd w:fill="1A1A2E"/>
          </w:tcPr>
          <w:p>
            <w:pPr>
              <w:spacing w:after="40" w:before="40"/>
            </w:pPr>
            <w:r/>
            <w:r>
              <w:rPr>
                <w:rFonts w:ascii="Calibri" w:hAnsi="Calibri"/>
                <w:b/>
                <w:color w:val="FFFFFF"/>
                <w:sz w:val="20"/>
              </w:rPr>
              <w:t>Myriad GeneSight</w:t>
            </w:r>
          </w:p>
        </w:tc>
        <w:tc>
          <w:tcPr>
            <w:tcW w:type="dxa" w:w="1560"/>
            <w:shd w:fill="1A1A2E"/>
          </w:tcPr>
          <w:p>
            <w:pPr>
              <w:spacing w:after="40" w:before="40"/>
            </w:pPr>
            <w:r/>
            <w:r>
              <w:rPr>
                <w:rFonts w:ascii="Calibri" w:hAnsi="Calibri"/>
                <w:b/>
                <w:color w:val="FFFFFF"/>
                <w:sz w:val="20"/>
              </w:rPr>
              <w:t>Invitae PGx</w:t>
            </w:r>
          </w:p>
        </w:tc>
        <w:tc>
          <w:tcPr>
            <w:tcW w:type="dxa" w:w="1560"/>
            <w:shd w:fill="1A1A2E"/>
          </w:tcPr>
          <w:p>
            <w:pPr>
              <w:spacing w:after="40" w:before="40"/>
            </w:pPr>
            <w:r/>
            <w:r>
              <w:rPr>
                <w:rFonts w:ascii="Calibri" w:hAnsi="Calibri"/>
                <w:b/>
                <w:color w:val="FFFFFF"/>
                <w:sz w:val="20"/>
              </w:rPr>
              <w:t>CPIC Guidelines</w:t>
            </w:r>
          </w:p>
        </w:tc>
      </w:tr>
      <w:tr>
        <w:tc>
          <w:tcPr>
            <w:tcW w:type="dxa" w:w="1560"/>
          </w:tcPr>
          <w:p>
            <w:pPr>
              <w:spacing w:after="40" w:before="40"/>
            </w:pPr>
            <w:r>
              <w:rPr>
                <w:rFonts w:ascii="Calibri" w:hAnsi="Calibri"/>
                <w:sz w:val="19"/>
              </w:rPr>
            </w:r>
            <w:r>
              <w:rPr>
                <w:rFonts w:ascii="Calibri" w:hAnsi="Calibri"/>
                <w:sz w:val="19"/>
              </w:rPr>
              <w:t>Genes covered</w:t>
            </w:r>
          </w:p>
        </w:tc>
        <w:tc>
          <w:tcPr>
            <w:tcW w:type="dxa" w:w="1560"/>
          </w:tcPr>
          <w:p>
            <w:pPr>
              <w:spacing w:after="40" w:before="40"/>
            </w:pPr>
            <w:r>
              <w:rPr>
                <w:rFonts w:ascii="Calibri" w:hAnsi="Calibri"/>
                <w:sz w:val="19"/>
              </w:rPr>
            </w:r>
            <w:r>
              <w:rPr>
                <w:rFonts w:ascii="Calibri" w:hAnsi="Calibri"/>
                <w:sz w:val="19"/>
              </w:rPr>
              <w:t>25+</w:t>
            </w:r>
          </w:p>
        </w:tc>
        <w:tc>
          <w:tcPr>
            <w:tcW w:type="dxa" w:w="1560"/>
          </w:tcPr>
          <w:p>
            <w:pPr>
              <w:spacing w:after="40" w:before="40"/>
            </w:pPr>
            <w:r>
              <w:rPr>
                <w:rFonts w:ascii="Calibri" w:hAnsi="Calibri"/>
                <w:sz w:val="19"/>
              </w:rPr>
            </w:r>
            <w:r>
              <w:rPr>
                <w:rFonts w:ascii="Calibri" w:hAnsi="Calibri"/>
                <w:sz w:val="19"/>
              </w:rPr>
              <w:t>24</w:t>
            </w:r>
          </w:p>
        </w:tc>
        <w:tc>
          <w:tcPr>
            <w:tcW w:type="dxa" w:w="1560"/>
          </w:tcPr>
          <w:p>
            <w:pPr>
              <w:spacing w:after="40" w:before="40"/>
            </w:pPr>
            <w:r>
              <w:rPr>
                <w:rFonts w:ascii="Calibri" w:hAnsi="Calibri"/>
                <w:sz w:val="19"/>
              </w:rPr>
            </w:r>
            <w:r>
              <w:rPr>
                <w:rFonts w:ascii="Calibri" w:hAnsi="Calibri"/>
                <w:sz w:val="19"/>
              </w:rPr>
              <w:t>12 (psych only)</w:t>
            </w:r>
          </w:p>
        </w:tc>
        <w:tc>
          <w:tcPr>
            <w:tcW w:type="dxa" w:w="1560"/>
          </w:tcPr>
          <w:p>
            <w:pPr>
              <w:spacing w:after="40" w:before="40"/>
            </w:pPr>
            <w:r>
              <w:rPr>
                <w:rFonts w:ascii="Calibri" w:hAnsi="Calibri"/>
                <w:sz w:val="19"/>
              </w:rPr>
            </w:r>
            <w:r>
              <w:rPr>
                <w:rFonts w:ascii="Calibri" w:hAnsi="Calibri"/>
                <w:sz w:val="19"/>
              </w:rPr>
              <w:t>14</w:t>
            </w:r>
          </w:p>
        </w:tc>
        <w:tc>
          <w:tcPr>
            <w:tcW w:type="dxa" w:w="1560"/>
          </w:tcPr>
          <w:p>
            <w:pPr>
              <w:spacing w:after="40" w:before="40"/>
            </w:pPr>
            <w:r>
              <w:rPr>
                <w:rFonts w:ascii="Calibri" w:hAnsi="Calibri"/>
                <w:sz w:val="19"/>
              </w:rPr>
            </w:r>
            <w:r>
              <w:rPr>
                <w:rFonts w:ascii="Calibri" w:hAnsi="Calibri"/>
                <w:sz w:val="19"/>
              </w:rPr>
              <w:t>27 (guidelines)</w:t>
            </w:r>
          </w:p>
        </w:tc>
      </w:tr>
      <w:tr>
        <w:tc>
          <w:tcPr>
            <w:tcW w:type="dxa" w:w="1560"/>
            <w:shd w:fill="F5F5F5"/>
          </w:tcPr>
          <w:p>
            <w:pPr>
              <w:spacing w:after="40" w:before="40"/>
            </w:pPr>
            <w:r>
              <w:rPr>
                <w:rFonts w:ascii="Calibri" w:hAnsi="Calibri"/>
                <w:sz w:val="19"/>
              </w:rPr>
            </w:r>
            <w:r>
              <w:rPr>
                <w:rFonts w:ascii="Calibri" w:hAnsi="Calibri"/>
                <w:sz w:val="19"/>
              </w:rPr>
              <w:t>Drug-gene pairs</w:t>
            </w:r>
          </w:p>
        </w:tc>
        <w:tc>
          <w:tcPr>
            <w:tcW w:type="dxa" w:w="1560"/>
            <w:shd w:fill="F5F5F5"/>
          </w:tcPr>
          <w:p>
            <w:pPr>
              <w:spacing w:after="40" w:before="40"/>
            </w:pPr>
            <w:r>
              <w:rPr>
                <w:rFonts w:ascii="Calibri" w:hAnsi="Calibri"/>
                <w:sz w:val="19"/>
              </w:rPr>
            </w:r>
            <w:r>
              <w:rPr>
                <w:rFonts w:ascii="Calibri" w:hAnsi="Calibri"/>
                <w:sz w:val="19"/>
              </w:rPr>
              <w:t>400+</w:t>
            </w:r>
          </w:p>
        </w:tc>
        <w:tc>
          <w:tcPr>
            <w:tcW w:type="dxa" w:w="1560"/>
            <w:shd w:fill="F5F5F5"/>
          </w:tcPr>
          <w:p>
            <w:pPr>
              <w:spacing w:after="40" w:before="40"/>
            </w:pPr>
            <w:r>
              <w:rPr>
                <w:rFonts w:ascii="Calibri" w:hAnsi="Calibri"/>
                <w:sz w:val="19"/>
              </w:rPr>
            </w:r>
            <w:r>
              <w:rPr>
                <w:rFonts w:ascii="Calibri" w:hAnsi="Calibri"/>
                <w:sz w:val="19"/>
              </w:rPr>
              <w:t>~300</w:t>
            </w:r>
          </w:p>
        </w:tc>
        <w:tc>
          <w:tcPr>
            <w:tcW w:type="dxa" w:w="1560"/>
            <w:shd w:fill="F5F5F5"/>
          </w:tcPr>
          <w:p>
            <w:pPr>
              <w:spacing w:after="40" w:before="40"/>
            </w:pPr>
            <w:r>
              <w:rPr>
                <w:rFonts w:ascii="Calibri" w:hAnsi="Calibri"/>
                <w:sz w:val="19"/>
              </w:rPr>
            </w:r>
            <w:r>
              <w:rPr>
                <w:rFonts w:ascii="Calibri" w:hAnsi="Calibri"/>
                <w:sz w:val="19"/>
              </w:rPr>
              <w:t>~60</w:t>
            </w:r>
          </w:p>
        </w:tc>
        <w:tc>
          <w:tcPr>
            <w:tcW w:type="dxa" w:w="1560"/>
            <w:shd w:fill="F5F5F5"/>
          </w:tcPr>
          <w:p>
            <w:pPr>
              <w:spacing w:after="40" w:before="40"/>
            </w:pPr>
            <w:r>
              <w:rPr>
                <w:rFonts w:ascii="Calibri" w:hAnsi="Calibri"/>
                <w:sz w:val="19"/>
              </w:rPr>
            </w:r>
            <w:r>
              <w:rPr>
                <w:rFonts w:ascii="Calibri" w:hAnsi="Calibri"/>
                <w:sz w:val="19"/>
              </w:rPr>
              <w:t>~150</w:t>
            </w:r>
          </w:p>
        </w:tc>
        <w:tc>
          <w:tcPr>
            <w:tcW w:type="dxa" w:w="1560"/>
            <w:shd w:fill="F5F5F5"/>
          </w:tcPr>
          <w:p>
            <w:pPr>
              <w:spacing w:after="40" w:before="40"/>
            </w:pPr>
            <w:r>
              <w:rPr>
                <w:rFonts w:ascii="Calibri" w:hAnsi="Calibri"/>
                <w:sz w:val="19"/>
              </w:rPr>
            </w:r>
            <w:r>
              <w:rPr>
                <w:rFonts w:ascii="Calibri" w:hAnsi="Calibri"/>
                <w:sz w:val="19"/>
              </w:rPr>
              <w:t>~80</w:t>
            </w:r>
          </w:p>
        </w:tc>
      </w:tr>
      <w:tr>
        <w:tc>
          <w:tcPr>
            <w:tcW w:type="dxa" w:w="1560"/>
          </w:tcPr>
          <w:p>
            <w:pPr>
              <w:spacing w:after="40" w:before="40"/>
            </w:pPr>
            <w:r>
              <w:rPr>
                <w:rFonts w:ascii="Calibri" w:hAnsi="Calibri"/>
                <w:sz w:val="19"/>
              </w:rPr>
            </w:r>
            <w:r>
              <w:rPr>
                <w:rFonts w:ascii="Calibri" w:hAnsi="Calibri"/>
                <w:sz w:val="19"/>
              </w:rPr>
              <w:t>WGS integration</w:t>
            </w:r>
          </w:p>
        </w:tc>
        <w:tc>
          <w:tcPr>
            <w:tcW w:type="dxa" w:w="1560"/>
          </w:tcPr>
          <w:p>
            <w:pPr>
              <w:spacing w:after="40" w:before="40"/>
            </w:pPr>
            <w:r>
              <w:rPr>
                <w:rFonts w:ascii="Calibri" w:hAnsi="Calibri"/>
                <w:sz w:val="19"/>
              </w:rPr>
            </w:r>
            <w:r>
              <w:rPr>
                <w:rFonts w:ascii="Calibri" w:hAnsi="Calibri"/>
                <w:sz w:val="19"/>
              </w:rPr>
              <w:t>Yes (VCF pipeline)</w:t>
            </w:r>
          </w:p>
        </w:tc>
        <w:tc>
          <w:tcPr>
            <w:tcW w:type="dxa" w:w="1560"/>
          </w:tcPr>
          <w:p>
            <w:pPr>
              <w:spacing w:after="40" w:before="40"/>
            </w:pPr>
            <w:r>
              <w:rPr>
                <w:rFonts w:ascii="Calibri" w:hAnsi="Calibri"/>
                <w:sz w:val="19"/>
              </w:rPr>
            </w:r>
            <w:r>
              <w:rPr>
                <w:rFonts w:ascii="Calibri" w:hAnsi="Calibri"/>
                <w:sz w:val="19"/>
              </w:rPr>
              <w:t>No (panel only)</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N/A</w:t>
            </w:r>
          </w:p>
        </w:tc>
      </w:tr>
      <w:tr>
        <w:tc>
          <w:tcPr>
            <w:tcW w:type="dxa" w:w="1560"/>
            <w:shd w:fill="F5F5F5"/>
          </w:tcPr>
          <w:p>
            <w:pPr>
              <w:spacing w:after="40" w:before="40"/>
            </w:pPr>
            <w:r>
              <w:rPr>
                <w:rFonts w:ascii="Calibri" w:hAnsi="Calibri"/>
                <w:sz w:val="19"/>
              </w:rPr>
            </w:r>
            <w:r>
              <w:rPr>
                <w:rFonts w:ascii="Calibri" w:hAnsi="Calibri"/>
                <w:sz w:val="19"/>
              </w:rPr>
              <w:t>Multi-gene modeling</w:t>
            </w:r>
          </w:p>
        </w:tc>
        <w:tc>
          <w:tcPr>
            <w:tcW w:type="dxa" w:w="1560"/>
            <w:shd w:fill="F5F5F5"/>
          </w:tcPr>
          <w:p>
            <w:pPr>
              <w:spacing w:after="40" w:before="40"/>
            </w:pPr>
            <w:r>
              <w:rPr>
                <w:rFonts w:ascii="Calibri" w:hAnsi="Calibri"/>
                <w:sz w:val="19"/>
              </w:rPr>
            </w:r>
            <w:r>
              <w:rPr>
                <w:rFonts w:ascii="Calibri" w:hAnsi="Calibri"/>
                <w:sz w:val="19"/>
              </w:rPr>
              <w:t>Yes</w:t>
            </w:r>
          </w:p>
        </w:tc>
        <w:tc>
          <w:tcPr>
            <w:tcW w:type="dxa" w:w="1560"/>
            <w:shd w:fill="F5F5F5"/>
          </w:tcPr>
          <w:p>
            <w:pPr>
              <w:spacing w:after="40" w:before="40"/>
            </w:pPr>
            <w:r>
              <w:rPr>
                <w:rFonts w:ascii="Calibri" w:hAnsi="Calibri"/>
                <w:sz w:val="19"/>
              </w:rPr>
            </w:r>
            <w:r>
              <w:rPr>
                <w:rFonts w:ascii="Calibri" w:hAnsi="Calibri"/>
                <w:sz w:val="19"/>
              </w:rPr>
              <w:t>Limited</w:t>
            </w:r>
          </w:p>
        </w:tc>
        <w:tc>
          <w:tcPr>
            <w:tcW w:type="dxa" w:w="1560"/>
            <w:shd w:fill="F5F5F5"/>
          </w:tcPr>
          <w:p>
            <w:pPr>
              <w:spacing w:after="40" w:before="40"/>
            </w:pPr>
            <w:r>
              <w:rPr>
                <w:rFonts w:ascii="Calibri" w:hAnsi="Calibri"/>
                <w:sz w:val="19"/>
              </w:rPr>
            </w:r>
            <w:r>
              <w:rPr>
                <w:rFonts w:ascii="Calibri" w:hAnsi="Calibri"/>
                <w:sz w:val="19"/>
              </w:rPr>
              <w:t>No</w:t>
            </w:r>
          </w:p>
        </w:tc>
        <w:tc>
          <w:tcPr>
            <w:tcW w:type="dxa" w:w="1560"/>
            <w:shd w:fill="F5F5F5"/>
          </w:tcPr>
          <w:p>
            <w:pPr>
              <w:spacing w:after="40" w:before="40"/>
            </w:pPr>
            <w:r>
              <w:rPr>
                <w:rFonts w:ascii="Calibri" w:hAnsi="Calibri"/>
                <w:sz w:val="19"/>
              </w:rPr>
            </w:r>
            <w:r>
              <w:rPr>
                <w:rFonts w:ascii="Calibri" w:hAnsi="Calibri"/>
                <w:sz w:val="19"/>
              </w:rPr>
              <w:t>No</w:t>
            </w:r>
          </w:p>
        </w:tc>
        <w:tc>
          <w:tcPr>
            <w:tcW w:type="dxa" w:w="1560"/>
            <w:shd w:fill="F5F5F5"/>
          </w:tcPr>
          <w:p>
            <w:pPr>
              <w:spacing w:after="40" w:before="40"/>
            </w:pPr>
            <w:r>
              <w:rPr>
                <w:rFonts w:ascii="Calibri" w:hAnsi="Calibri"/>
                <w:sz w:val="19"/>
              </w:rPr>
            </w:r>
            <w:r>
              <w:rPr>
                <w:rFonts w:ascii="Calibri" w:hAnsi="Calibri"/>
                <w:sz w:val="19"/>
              </w:rPr>
              <w:t>Manual</w:t>
            </w:r>
          </w:p>
        </w:tc>
      </w:tr>
      <w:tr>
        <w:tc>
          <w:tcPr>
            <w:tcW w:type="dxa" w:w="1560"/>
          </w:tcPr>
          <w:p>
            <w:pPr>
              <w:spacing w:after="40" w:before="40"/>
            </w:pPr>
            <w:r>
              <w:rPr>
                <w:rFonts w:ascii="Calibri" w:hAnsi="Calibri"/>
                <w:sz w:val="19"/>
              </w:rPr>
            </w:r>
            <w:r>
              <w:rPr>
                <w:rFonts w:ascii="Calibri" w:hAnsi="Calibri"/>
                <w:sz w:val="19"/>
              </w:rPr>
              <w:t>Phenoconversion</w:t>
            </w:r>
          </w:p>
        </w:tc>
        <w:tc>
          <w:tcPr>
            <w:tcW w:type="dxa" w:w="1560"/>
          </w:tcPr>
          <w:p>
            <w:pPr>
              <w:spacing w:after="40" w:before="40"/>
            </w:pPr>
            <w:r>
              <w:rPr>
                <w:rFonts w:ascii="Calibri" w:hAnsi="Calibri"/>
                <w:sz w:val="19"/>
              </w:rPr>
            </w:r>
            <w:r>
              <w:rPr>
                <w:rFonts w:ascii="Calibri" w:hAnsi="Calibri"/>
                <w:sz w:val="19"/>
              </w:rPr>
              <w:t>Yes</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Mentioned</w:t>
            </w:r>
          </w:p>
        </w:tc>
      </w:tr>
      <w:tr>
        <w:tc>
          <w:tcPr>
            <w:tcW w:type="dxa" w:w="1560"/>
            <w:shd w:fill="F5F5F5"/>
          </w:tcPr>
          <w:p>
            <w:pPr>
              <w:spacing w:after="40" w:before="40"/>
            </w:pPr>
            <w:r>
              <w:rPr>
                <w:rFonts w:ascii="Calibri" w:hAnsi="Calibri"/>
                <w:sz w:val="19"/>
              </w:rPr>
            </w:r>
            <w:r>
              <w:rPr>
                <w:rFonts w:ascii="Calibri" w:hAnsi="Calibri"/>
                <w:sz w:val="19"/>
              </w:rPr>
              <w:t>HLA screening</w:t>
            </w:r>
          </w:p>
        </w:tc>
        <w:tc>
          <w:tcPr>
            <w:tcW w:type="dxa" w:w="1560"/>
            <w:shd w:fill="F5F5F5"/>
          </w:tcPr>
          <w:p>
            <w:pPr>
              <w:spacing w:after="40" w:before="40"/>
            </w:pPr>
            <w:r>
              <w:rPr>
                <w:rFonts w:ascii="Calibri" w:hAnsi="Calibri"/>
                <w:sz w:val="19"/>
              </w:rPr>
            </w:r>
            <w:r>
              <w:rPr>
                <w:rFonts w:ascii="Calibri" w:hAnsi="Calibri"/>
                <w:sz w:val="19"/>
              </w:rPr>
              <w:t>12+ alleles</w:t>
            </w:r>
          </w:p>
        </w:tc>
        <w:tc>
          <w:tcPr>
            <w:tcW w:type="dxa" w:w="1560"/>
            <w:shd w:fill="F5F5F5"/>
          </w:tcPr>
          <w:p>
            <w:pPr>
              <w:spacing w:after="40" w:before="40"/>
            </w:pPr>
            <w:r>
              <w:rPr>
                <w:rFonts w:ascii="Calibri" w:hAnsi="Calibri"/>
                <w:sz w:val="19"/>
              </w:rPr>
            </w:r>
            <w:r>
              <w:rPr>
                <w:rFonts w:ascii="Calibri" w:hAnsi="Calibri"/>
                <w:sz w:val="19"/>
              </w:rPr>
              <w:t>3</w:t>
            </w:r>
          </w:p>
        </w:tc>
        <w:tc>
          <w:tcPr>
            <w:tcW w:type="dxa" w:w="1560"/>
            <w:shd w:fill="F5F5F5"/>
          </w:tcPr>
          <w:p>
            <w:pPr>
              <w:spacing w:after="40" w:before="40"/>
            </w:pPr>
            <w:r>
              <w:rPr>
                <w:rFonts w:ascii="Calibri" w:hAnsi="Calibri"/>
                <w:sz w:val="19"/>
              </w:rPr>
            </w:r>
            <w:r>
              <w:rPr>
                <w:rFonts w:ascii="Calibri" w:hAnsi="Calibri"/>
                <w:sz w:val="19"/>
              </w:rPr>
              <w:t>None</w:t>
            </w:r>
          </w:p>
        </w:tc>
        <w:tc>
          <w:tcPr>
            <w:tcW w:type="dxa" w:w="1560"/>
            <w:shd w:fill="F5F5F5"/>
          </w:tcPr>
          <w:p>
            <w:pPr>
              <w:spacing w:after="40" w:before="40"/>
            </w:pPr>
            <w:r>
              <w:rPr>
                <w:rFonts w:ascii="Calibri" w:hAnsi="Calibri"/>
                <w:sz w:val="19"/>
              </w:rPr>
            </w:r>
            <w:r>
              <w:rPr>
                <w:rFonts w:ascii="Calibri" w:hAnsi="Calibri"/>
                <w:sz w:val="19"/>
              </w:rPr>
              <w:t>2</w:t>
            </w:r>
          </w:p>
        </w:tc>
        <w:tc>
          <w:tcPr>
            <w:tcW w:type="dxa" w:w="1560"/>
            <w:shd w:fill="F5F5F5"/>
          </w:tcPr>
          <w:p>
            <w:pPr>
              <w:spacing w:after="40" w:before="40"/>
            </w:pPr>
            <w:r>
              <w:rPr>
                <w:rFonts w:ascii="Calibri" w:hAnsi="Calibri"/>
                <w:sz w:val="19"/>
              </w:rPr>
            </w:r>
            <w:r>
              <w:rPr>
                <w:rFonts w:ascii="Calibri" w:hAnsi="Calibri"/>
                <w:sz w:val="19"/>
              </w:rPr>
              <w:t>6</w:t>
            </w:r>
          </w:p>
        </w:tc>
      </w:tr>
      <w:tr>
        <w:tc>
          <w:tcPr>
            <w:tcW w:type="dxa" w:w="1560"/>
          </w:tcPr>
          <w:p>
            <w:pPr>
              <w:spacing w:after="40" w:before="40"/>
            </w:pPr>
            <w:r>
              <w:rPr>
                <w:rFonts w:ascii="Calibri" w:hAnsi="Calibri"/>
                <w:sz w:val="19"/>
              </w:rPr>
            </w:r>
            <w:r>
              <w:rPr>
                <w:rFonts w:ascii="Calibri" w:hAnsi="Calibri"/>
                <w:sz w:val="19"/>
              </w:rPr>
              <w:t>Natural language query</w:t>
            </w:r>
          </w:p>
        </w:tc>
        <w:tc>
          <w:tcPr>
            <w:tcW w:type="dxa" w:w="1560"/>
          </w:tcPr>
          <w:p>
            <w:pPr>
              <w:spacing w:after="40" w:before="40"/>
            </w:pPr>
            <w:r>
              <w:rPr>
                <w:rFonts w:ascii="Calibri" w:hAnsi="Calibri"/>
                <w:sz w:val="19"/>
              </w:rPr>
            </w:r>
            <w:r>
              <w:rPr>
                <w:rFonts w:ascii="Calibri" w:hAnsi="Calibri"/>
                <w:sz w:val="19"/>
              </w:rPr>
              <w:t>Yes (RAG + Claude)</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c>
          <w:tcPr>
            <w:tcW w:type="dxa" w:w="1560"/>
          </w:tcPr>
          <w:p>
            <w:pPr>
              <w:spacing w:after="40" w:before="40"/>
            </w:pPr>
            <w:r>
              <w:rPr>
                <w:rFonts w:ascii="Calibri" w:hAnsi="Calibri"/>
                <w:sz w:val="19"/>
              </w:rPr>
            </w:r>
            <w:r>
              <w:rPr>
                <w:rFonts w:ascii="Calibri" w:hAnsi="Calibri"/>
                <w:sz w:val="19"/>
              </w:rPr>
              <w:t>No</w:t>
            </w:r>
          </w:p>
        </w:tc>
      </w:tr>
      <w:tr>
        <w:tc>
          <w:tcPr>
            <w:tcW w:type="dxa" w:w="1560"/>
            <w:shd w:fill="F5F5F5"/>
          </w:tcPr>
          <w:p>
            <w:pPr>
              <w:spacing w:after="40" w:before="40"/>
            </w:pPr>
            <w:r>
              <w:rPr>
                <w:rFonts w:ascii="Calibri" w:hAnsi="Calibri"/>
                <w:sz w:val="19"/>
              </w:rPr>
            </w:r>
            <w:r>
              <w:rPr>
                <w:rFonts w:ascii="Calibri" w:hAnsi="Calibri"/>
                <w:sz w:val="19"/>
              </w:rPr>
              <w:t>On-device / HIPAA</w:t>
            </w:r>
          </w:p>
        </w:tc>
        <w:tc>
          <w:tcPr>
            <w:tcW w:type="dxa" w:w="1560"/>
            <w:shd w:fill="F5F5F5"/>
          </w:tcPr>
          <w:p>
            <w:pPr>
              <w:spacing w:after="40" w:before="40"/>
            </w:pPr>
            <w:r>
              <w:rPr>
                <w:rFonts w:ascii="Calibri" w:hAnsi="Calibri"/>
                <w:sz w:val="19"/>
              </w:rPr>
            </w:r>
            <w:r>
              <w:rPr>
                <w:rFonts w:ascii="Calibri" w:hAnsi="Calibri"/>
                <w:sz w:val="19"/>
              </w:rPr>
              <w:t>Yes (DGX Spark)</w:t>
            </w:r>
          </w:p>
        </w:tc>
        <w:tc>
          <w:tcPr>
            <w:tcW w:type="dxa" w:w="1560"/>
            <w:shd w:fill="F5F5F5"/>
          </w:tcPr>
          <w:p>
            <w:pPr>
              <w:spacing w:after="40" w:before="40"/>
            </w:pPr>
            <w:r>
              <w:rPr>
                <w:rFonts w:ascii="Calibri" w:hAnsi="Calibri"/>
                <w:sz w:val="19"/>
              </w:rPr>
            </w:r>
            <w:r>
              <w:rPr>
                <w:rFonts w:ascii="Calibri" w:hAnsi="Calibri"/>
                <w:sz w:val="19"/>
              </w:rPr>
              <w:t>Cloud-based</w:t>
            </w:r>
          </w:p>
        </w:tc>
        <w:tc>
          <w:tcPr>
            <w:tcW w:type="dxa" w:w="1560"/>
            <w:shd w:fill="F5F5F5"/>
          </w:tcPr>
          <w:p>
            <w:pPr>
              <w:spacing w:after="40" w:before="40"/>
            </w:pPr>
            <w:r>
              <w:rPr>
                <w:rFonts w:ascii="Calibri" w:hAnsi="Calibri"/>
                <w:sz w:val="19"/>
              </w:rPr>
            </w:r>
            <w:r>
              <w:rPr>
                <w:rFonts w:ascii="Calibri" w:hAnsi="Calibri"/>
                <w:sz w:val="19"/>
              </w:rPr>
              <w:t>Cloud-based</w:t>
            </w:r>
          </w:p>
        </w:tc>
        <w:tc>
          <w:tcPr>
            <w:tcW w:type="dxa" w:w="1560"/>
            <w:shd w:fill="F5F5F5"/>
          </w:tcPr>
          <w:p>
            <w:pPr>
              <w:spacing w:after="40" w:before="40"/>
            </w:pPr>
            <w:r>
              <w:rPr>
                <w:rFonts w:ascii="Calibri" w:hAnsi="Calibri"/>
                <w:sz w:val="19"/>
              </w:rPr>
            </w:r>
            <w:r>
              <w:rPr>
                <w:rFonts w:ascii="Calibri" w:hAnsi="Calibri"/>
                <w:sz w:val="19"/>
              </w:rPr>
              <w:t>Cloud-based</w:t>
            </w:r>
          </w:p>
        </w:tc>
        <w:tc>
          <w:tcPr>
            <w:tcW w:type="dxa" w:w="1560"/>
            <w:shd w:fill="F5F5F5"/>
          </w:tcPr>
          <w:p>
            <w:pPr>
              <w:spacing w:after="40" w:before="40"/>
            </w:pPr>
            <w:r>
              <w:rPr>
                <w:rFonts w:ascii="Calibri" w:hAnsi="Calibri"/>
                <w:sz w:val="19"/>
              </w:rPr>
            </w:r>
            <w:r>
              <w:rPr>
                <w:rFonts w:ascii="Calibri" w:hAnsi="Calibri"/>
                <w:sz w:val="19"/>
              </w:rPr>
              <w:t>N/A</w:t>
            </w:r>
          </w:p>
        </w:tc>
      </w:tr>
      <w:tr>
        <w:tc>
          <w:tcPr>
            <w:tcW w:type="dxa" w:w="1560"/>
          </w:tcPr>
          <w:p>
            <w:pPr>
              <w:spacing w:after="40" w:before="40"/>
            </w:pPr>
            <w:r>
              <w:rPr>
                <w:rFonts w:ascii="Calibri" w:hAnsi="Calibri"/>
                <w:sz w:val="19"/>
              </w:rPr>
            </w:r>
            <w:r>
              <w:rPr>
                <w:rFonts w:ascii="Calibri" w:hAnsi="Calibri"/>
                <w:sz w:val="19"/>
              </w:rPr>
              <w:t>Cost</w:t>
            </w:r>
          </w:p>
        </w:tc>
        <w:tc>
          <w:tcPr>
            <w:tcW w:type="dxa" w:w="1560"/>
          </w:tcPr>
          <w:p>
            <w:pPr>
              <w:spacing w:after="40" w:before="40"/>
            </w:pPr>
            <w:r>
              <w:rPr>
                <w:rFonts w:ascii="Calibri" w:hAnsi="Calibri"/>
                <w:sz w:val="19"/>
              </w:rPr>
            </w:r>
            <w:r>
              <w:rPr>
                <w:rFonts w:ascii="Calibri" w:hAnsi="Calibri"/>
                <w:sz w:val="19"/>
              </w:rPr>
              <w:t>$3,999 (one-time HW)</w:t>
            </w:r>
          </w:p>
        </w:tc>
        <w:tc>
          <w:tcPr>
            <w:tcW w:type="dxa" w:w="1560"/>
          </w:tcPr>
          <w:p>
            <w:pPr>
              <w:spacing w:after="40" w:before="40"/>
            </w:pPr>
            <w:r>
              <w:rPr>
                <w:rFonts w:ascii="Calibri" w:hAnsi="Calibri"/>
                <w:sz w:val="19"/>
              </w:rPr>
            </w:r>
            <w:r>
              <w:rPr>
                <w:rFonts w:ascii="Calibri" w:hAnsi="Calibri"/>
                <w:sz w:val="19"/>
              </w:rPr>
              <w:t>Per-test subscription</w:t>
            </w:r>
          </w:p>
        </w:tc>
        <w:tc>
          <w:tcPr>
            <w:tcW w:type="dxa" w:w="1560"/>
          </w:tcPr>
          <w:p>
            <w:pPr>
              <w:spacing w:after="40" w:before="40"/>
            </w:pPr>
            <w:r>
              <w:rPr>
                <w:rFonts w:ascii="Calibri" w:hAnsi="Calibri"/>
                <w:sz w:val="19"/>
              </w:rPr>
            </w:r>
            <w:r>
              <w:rPr>
                <w:rFonts w:ascii="Calibri" w:hAnsi="Calibri"/>
                <w:sz w:val="19"/>
              </w:rPr>
              <w:t>Per-test ($400+)</w:t>
            </w:r>
          </w:p>
        </w:tc>
        <w:tc>
          <w:tcPr>
            <w:tcW w:type="dxa" w:w="1560"/>
          </w:tcPr>
          <w:p>
            <w:pPr>
              <w:spacing w:after="40" w:before="40"/>
            </w:pPr>
            <w:r>
              <w:rPr>
                <w:rFonts w:ascii="Calibri" w:hAnsi="Calibri"/>
                <w:sz w:val="19"/>
              </w:rPr>
            </w:r>
            <w:r>
              <w:rPr>
                <w:rFonts w:ascii="Calibri" w:hAnsi="Calibri"/>
                <w:sz w:val="19"/>
              </w:rPr>
              <w:t>Per-test</w:t>
            </w:r>
          </w:p>
        </w:tc>
        <w:tc>
          <w:tcPr>
            <w:tcW w:type="dxa" w:w="1560"/>
          </w:tcPr>
          <w:p>
            <w:pPr>
              <w:spacing w:after="40" w:before="40"/>
            </w:pPr>
            <w:r>
              <w:rPr>
                <w:rFonts w:ascii="Calibri" w:hAnsi="Calibri"/>
                <w:sz w:val="19"/>
              </w:rPr>
            </w:r>
            <w:r>
              <w:rPr>
                <w:rFonts w:ascii="Calibri" w:hAnsi="Calibri"/>
                <w:sz w:val="19"/>
              </w:rPr>
              <w:t>Free (text)</w:t>
            </w:r>
          </w:p>
        </w:tc>
      </w:tr>
      <w:tr>
        <w:tc>
          <w:tcPr>
            <w:tcW w:type="dxa" w:w="1560"/>
            <w:shd w:fill="F5F5F5"/>
          </w:tcPr>
          <w:p>
            <w:pPr>
              <w:spacing w:after="40" w:before="40"/>
            </w:pPr>
            <w:r>
              <w:rPr>
                <w:rFonts w:ascii="Calibri" w:hAnsi="Calibri"/>
                <w:sz w:val="19"/>
              </w:rPr>
            </w:r>
            <w:r>
              <w:rPr>
                <w:rFonts w:ascii="Calibri" w:hAnsi="Calibri"/>
                <w:sz w:val="19"/>
              </w:rPr>
              <w:t>Open source</w:t>
            </w:r>
          </w:p>
        </w:tc>
        <w:tc>
          <w:tcPr>
            <w:tcW w:type="dxa" w:w="1560"/>
            <w:shd w:fill="F5F5F5"/>
          </w:tcPr>
          <w:p>
            <w:pPr>
              <w:spacing w:after="40" w:before="40"/>
            </w:pPr>
            <w:r>
              <w:rPr>
                <w:rFonts w:ascii="Calibri" w:hAnsi="Calibri"/>
                <w:sz w:val="19"/>
              </w:rPr>
            </w:r>
            <w:r>
              <w:rPr>
                <w:rFonts w:ascii="Calibri" w:hAnsi="Calibri"/>
                <w:sz w:val="19"/>
              </w:rPr>
              <w:t>Yes (Apache 2.0)</w:t>
            </w:r>
          </w:p>
        </w:tc>
        <w:tc>
          <w:tcPr>
            <w:tcW w:type="dxa" w:w="1560"/>
            <w:shd w:fill="F5F5F5"/>
          </w:tcPr>
          <w:p>
            <w:pPr>
              <w:spacing w:after="40" w:before="40"/>
            </w:pPr>
            <w:r>
              <w:rPr>
                <w:rFonts w:ascii="Calibri" w:hAnsi="Calibri"/>
                <w:sz w:val="19"/>
              </w:rPr>
            </w:r>
            <w:r>
              <w:rPr>
                <w:rFonts w:ascii="Calibri" w:hAnsi="Calibri"/>
                <w:sz w:val="19"/>
              </w:rPr>
              <w:t>No</w:t>
            </w:r>
          </w:p>
        </w:tc>
        <w:tc>
          <w:tcPr>
            <w:tcW w:type="dxa" w:w="1560"/>
            <w:shd w:fill="F5F5F5"/>
          </w:tcPr>
          <w:p>
            <w:pPr>
              <w:spacing w:after="40" w:before="40"/>
            </w:pPr>
            <w:r>
              <w:rPr>
                <w:rFonts w:ascii="Calibri" w:hAnsi="Calibri"/>
                <w:sz w:val="19"/>
              </w:rPr>
            </w:r>
            <w:r>
              <w:rPr>
                <w:rFonts w:ascii="Calibri" w:hAnsi="Calibri"/>
                <w:sz w:val="19"/>
              </w:rPr>
              <w:t>No</w:t>
            </w:r>
          </w:p>
        </w:tc>
        <w:tc>
          <w:tcPr>
            <w:tcW w:type="dxa" w:w="1560"/>
            <w:shd w:fill="F5F5F5"/>
          </w:tcPr>
          <w:p>
            <w:pPr>
              <w:spacing w:after="40" w:before="40"/>
            </w:pPr>
            <w:r>
              <w:rPr>
                <w:rFonts w:ascii="Calibri" w:hAnsi="Calibri"/>
                <w:sz w:val="19"/>
              </w:rPr>
            </w:r>
            <w:r>
              <w:rPr>
                <w:rFonts w:ascii="Calibri" w:hAnsi="Calibri"/>
                <w:sz w:val="19"/>
              </w:rPr>
              <w:t>No</w:t>
            </w:r>
          </w:p>
        </w:tc>
        <w:tc>
          <w:tcPr>
            <w:tcW w:type="dxa" w:w="1560"/>
            <w:shd w:fill="F5F5F5"/>
          </w:tcPr>
          <w:p>
            <w:pPr>
              <w:spacing w:after="40" w:before="40"/>
            </w:pPr>
            <w:r>
              <w:rPr>
                <w:rFonts w:ascii="Calibri" w:hAnsi="Calibri"/>
                <w:sz w:val="19"/>
              </w:rPr>
            </w:r>
            <w:r>
              <w:rPr>
                <w:rFonts w:ascii="Calibri" w:hAnsi="Calibri"/>
                <w:sz w:val="19"/>
              </w:rPr>
              <w:t>Yes (guidelines)</w:t>
            </w:r>
          </w:p>
        </w:tc>
      </w:tr>
    </w:tbl>
    <w:p/>
    <w:p>
      <w:pPr>
        <w:pStyle w:val="Heading3"/>
      </w:pPr>
      <w:r>
        <w:t>23.2 Unique Differentiators</w:t>
      </w:r>
    </w:p>
    <w:p>
      <w:pPr>
        <w:pStyle w:val="ListNumber"/>
        <w:spacing w:after="60"/>
      </w:pPr>
      <w:r>
        <w:rPr>
          <w:b/>
        </w:rPr>
        <w:t>Genome-first:</w:t>
      </w:r>
      <w:r>
        <w:t xml:space="preserve"> Only solution that starts from WGS/WES VCF data rather than a targeted panel</w:t>
      </w:r>
    </w:p>
    <w:p>
      <w:pPr>
        <w:pStyle w:val="ListNumber"/>
        <w:spacing w:after="60"/>
      </w:pPr>
      <w:r>
        <w:rPr>
          <w:b/>
        </w:rPr>
        <w:t>Multi-collection RAG:</w:t>
      </w:r>
      <w:r>
        <w:t xml:space="preserve"> Searches across 14 specialized knowledge bases simultaneously</w:t>
      </w:r>
    </w:p>
    <w:p>
      <w:pPr>
        <w:pStyle w:val="ListNumber"/>
        <w:spacing w:after="60"/>
      </w:pPr>
      <w:r>
        <w:rPr>
          <w:b/>
        </w:rPr>
        <w:t>Phenoconversion modeling:</w:t>
      </w:r>
      <w:r>
        <w:t xml:space="preserve"> Detects when concurrent medications alter the patient's effective metabolizer status -- no competitor does this</w:t>
      </w:r>
    </w:p>
    <w:p>
      <w:pPr>
        <w:pStyle w:val="ListNumber"/>
        <w:spacing w:after="60"/>
      </w:pPr>
      <w:r>
        <w:rPr>
          <w:b/>
        </w:rPr>
        <w:t>Natural language interface:</w:t>
      </w:r>
      <w:r>
        <w:t xml:space="preserve"> Clinicians ask questions in English, not star allele codes</w:t>
      </w:r>
    </w:p>
    <w:p>
      <w:pPr>
        <w:pStyle w:val="ListNumber"/>
        <w:spacing w:after="60"/>
      </w:pPr>
      <w:r>
        <w:rPr>
          <w:b/>
        </w:rPr>
        <w:t>Local deployment:</w:t>
      </w:r>
      <w:r>
        <w:t xml:space="preserve"> Patient genomic data never leaves the clinic</w:t>
      </w:r>
    </w:p>
    <w:p>
      <w:pPr>
        <w:pStyle w:val="ListNumber"/>
        <w:spacing w:after="60"/>
      </w:pPr>
      <w:r>
        <w:rPr>
          <w:b/>
        </w:rPr>
        <w:t>Zero per-test cost:</w:t>
      </w:r>
      <w:r>
        <w:t xml:space="preserve"> After initial hardware investment, unlimited PGx consultations</w:t>
      </w:r>
    </w:p>
    <w:p>
      <w:pPr>
        <w:spacing w:before="160" w:after="160"/>
        <w:jc w:val="center"/>
      </w:pPr>
      <w:r>
        <w:rPr>
          <w:color w:val="76B900"/>
          <w:sz w:val="16"/>
        </w:rPr>
        <w:t>━━━━━━━━━━━━━━━━━━━━━━━━━━━━━━━━━━━━━━━━━━━━━━━━━━━━━━━━━━━━</w:t>
      </w:r>
    </w:p>
    <w:p>
      <w:r>
        <w:br w:type="page"/>
      </w:r>
    </w:p>
    <w:p>
      <w:pPr>
        <w:pStyle w:val="Heading2"/>
      </w:pPr>
      <w:r>
        <w:t>24. Discussion</w:t>
      </w:r>
    </w:p>
    <w:p>
      <w:pPr>
        <w:pStyle w:val="Heading3"/>
      </w:pPr>
      <w:r>
        <w:t>24.1 Transformative Impact</w:t>
      </w:r>
    </w:p>
    <w:p>
      <w:r>
        <w:t>The Pharmacogenomics Intelligence Agent addresses one of the most actionable gaps in modern medicine: the translation of genomic data into safe prescribing decisions. Unlike many precision medicine applications that remain aspirational, pharmacogenomics has Level A evidence from CPIC for dozens of drug-gene pairs, FDA boxed warnings for genetic testing, and demonstrated cost-effectiveness across multiple healthcare systems. The barriers to adoption are not scientific -- they are practical: complexity, integration, and clinical workflow friction.</w:t>
      </w:r>
    </w:p>
    <w:p>
      <w:r>
        <w:t>By embedding PGx intelligence into a natural language interface backed by multi-collection RAG, the agent eliminates the need for clinicians to understand star allele nomenclature, activity scores, or guideline interpretation. A physician can simply ask: "Is this drug safe for my patient?" and receive a grounded, evidence-cited answer in seconds.</w:t>
      </w:r>
    </w:p>
    <w:p>
      <w:pPr>
        <w:pStyle w:val="Heading3"/>
      </w:pPr>
      <w:r>
        <w:t>24.2 Integration with Existing Agents</w:t>
      </w:r>
    </w:p>
    <w:p>
      <w:r>
        <w:t>The Pharmacogenomics Agent completes a critical circle in the HCLS AI Factory:</w:t>
      </w:r>
    </w:p>
    <w:p>
      <w:pPr>
        <w:pStyle w:val="ListBullet"/>
        <w:spacing w:after="60"/>
      </w:pPr>
      <w:r>
        <w:t xml:space="preserve">The </w:t>
      </w:r>
      <w:r>
        <w:rPr>
          <w:b/>
        </w:rPr>
        <w:t>Genomics Pipeline</w:t>
      </w:r>
      <w:r>
        <w:t xml:space="preserve"> generates the variants</w:t>
      </w:r>
    </w:p>
    <w:p>
      <w:pPr>
        <w:pStyle w:val="ListBullet"/>
        <w:spacing w:after="60"/>
      </w:pPr>
      <w:r>
        <w:t xml:space="preserve">The </w:t>
      </w:r>
      <w:r>
        <w:rPr>
          <w:b/>
        </w:rPr>
        <w:t>Biomarker Agent</w:t>
      </w:r>
      <w:r>
        <w:t xml:space="preserve"> provides initial PGx screening</w:t>
      </w:r>
    </w:p>
    <w:p>
      <w:pPr>
        <w:pStyle w:val="ListBullet"/>
        <w:spacing w:after="60"/>
      </w:pPr>
      <w:r>
        <w:t xml:space="preserve">The </w:t>
      </w:r>
      <w:r>
        <w:rPr>
          <w:b/>
        </w:rPr>
        <w:t>Pharmacogenomics Agent</w:t>
      </w:r>
      <w:r>
        <w:t xml:space="preserve"> provides deep clinical PGx consultation</w:t>
      </w:r>
    </w:p>
    <w:p>
      <w:pPr>
        <w:pStyle w:val="ListBullet"/>
        <w:spacing w:after="60"/>
      </w:pPr>
      <w:r>
        <w:t xml:space="preserve">The </w:t>
      </w:r>
      <w:r>
        <w:rPr>
          <w:b/>
        </w:rPr>
        <w:t>Oncology Agent</w:t>
      </w:r>
      <w:r>
        <w:t xml:space="preserve"> uses PGx for chemotherapy safety</w:t>
      </w:r>
    </w:p>
    <w:p>
      <w:pPr>
        <w:pStyle w:val="ListBullet"/>
        <w:spacing w:after="60"/>
      </w:pPr>
      <w:r>
        <w:t xml:space="preserve">The </w:t>
      </w:r>
      <w:r>
        <w:rPr>
          <w:b/>
        </w:rPr>
        <w:t>Autoimmune Agent</w:t>
      </w:r>
      <w:r>
        <w:t xml:space="preserve"> uses PGx for immunosuppressant dosing</w:t>
      </w:r>
    </w:p>
    <w:p>
      <w:pPr>
        <w:pStyle w:val="ListBullet"/>
        <w:spacing w:after="60"/>
      </w:pPr>
      <w:r>
        <w:t xml:space="preserve">The </w:t>
      </w:r>
      <w:r>
        <w:rPr>
          <w:b/>
        </w:rPr>
        <w:t>Cardiology Agent</w:t>
      </w:r>
      <w:r>
        <w:t xml:space="preserve"> uses PGx for anticoagulant and statin optimization</w:t>
      </w:r>
    </w:p>
    <w:p>
      <w:pPr>
        <w:pStyle w:val="Heading3"/>
      </w:pPr>
      <w:r>
        <w:t>24.3 The Vision: PGx as Standard of Care</w:t>
      </w:r>
    </w:p>
    <w:p>
      <w:r>
        <w:t>The ultimate goal is a future where every patient's genome is processed once and their PGx profile is available for every prescribing decision for life. The Pharmacogenomics Intelligence Agent makes this vision technically feasible on a $3,999 device -- democratizing access to pharmacogenomic intelligence that currently requires multi-million-dollar institutional programs.</w:t>
      </w:r>
    </w:p>
    <w:p>
      <w:r>
        <w:t>With 106,000 ADR deaths per year in the U.S. alone, and 95-99% of patients carrying actionable PGx variants, the potential impact is measured not in efficiency gains but in lives saved.</w:t>
      </w:r>
    </w:p>
    <w:p>
      <w:pPr>
        <w:spacing w:before="160" w:after="160"/>
        <w:jc w:val="center"/>
      </w:pPr>
      <w:r>
        <w:rPr>
          <w:color w:val="76B900"/>
          <w:sz w:val="16"/>
        </w:rPr>
        <w:t>━━━━━━━━━━━━━━━━━━━━━━━━━━━━━━━━━━━━━━━━━━━━━━━━━━━━━━━━━━━━</w:t>
      </w:r>
    </w:p>
    <w:p>
      <w:r>
        <w:br w:type="page"/>
      </w:r>
    </w:p>
    <w:p>
      <w:pPr>
        <w:pStyle w:val="Heading2"/>
      </w:pPr>
      <w:r>
        <w:t>25. Conclusion</w:t>
      </w:r>
    </w:p>
    <w:p>
      <w:r>
        <w:t>This paper has presented the comprehensive architecture, clinical rationale, and product requirements for the Pharmacogenomics Intelligence Agent -- a multi-collection RAG system that transforms raw genomic data into actionable, evidence-grounded prescribing guidance for over 400 drug-gene interactions across 25+ pharmacogenes. The agent addresses the most preventable cause of drug-related death by bridging the gap between genomic knowledge and clinical practice through natural language clinical decision support.</w:t>
      </w:r>
    </w:p>
    <w:p>
      <w:r>
        <w:t>Key architectural innovations include:</w:t>
      </w:r>
    </w:p>
    <w:p>
      <w:pPr>
        <w:pStyle w:val="ListBullet"/>
        <w:spacing w:after="60"/>
      </w:pPr>
      <w:r>
        <w:rPr>
          <w:b/>
        </w:rPr>
        <w:t>VCF-to-prescribing pipeline:</w:t>
      </w:r>
      <w:r>
        <w:t xml:space="preserve"> Direct integration with the HCLS AI Factory genomics pipeline</w:t>
      </w:r>
    </w:p>
    <w:p>
      <w:pPr>
        <w:pStyle w:val="ListBullet"/>
        <w:spacing w:after="60"/>
      </w:pPr>
      <w:r>
        <w:rPr>
          <w:b/>
        </w:rPr>
        <w:t>14 specialized Milvus collections</w:t>
      </w:r>
      <w:r>
        <w:t xml:space="preserve"> covering CPIC/DPWG/FDA guidelines, PharmGKB annotations, HLA hypersensitivity screening, phenoconversion modeling, dosing algorithms, and population-specific data</w:t>
      </w:r>
    </w:p>
    <w:p>
      <w:pPr>
        <w:pStyle w:val="ListBullet"/>
        <w:spacing w:after="60"/>
      </w:pPr>
      <w:r>
        <w:rPr>
          <w:b/>
        </w:rPr>
        <w:t>Multi-gene interaction engine</w:t>
      </w:r>
      <w:r>
        <w:t xml:space="preserve"> for complex scenarios (warfarin, psychiatric polypharmacy, transplant immunosuppression)</w:t>
      </w:r>
    </w:p>
    <w:p>
      <w:pPr>
        <w:pStyle w:val="ListBullet"/>
        <w:spacing w:after="60"/>
      </w:pPr>
      <w:r>
        <w:rPr>
          <w:b/>
        </w:rPr>
        <w:t>Phenoconversion detector</w:t>
      </w:r>
      <w:r>
        <w:t xml:space="preserve"> that identifies when concurrent medications alter effective metabolizer status -- a capability no competing product offers</w:t>
      </w:r>
    </w:p>
    <w:p>
      <w:pPr>
        <w:pStyle w:val="ListBullet"/>
        <w:spacing w:after="60"/>
      </w:pPr>
      <w:r>
        <w:rPr>
          <w:b/>
        </w:rPr>
        <w:t>8 clinical workflows</w:t>
      </w:r>
      <w:r>
        <w:t xml:space="preserve"> covering the highest-impact prescribing scenarios where PGx testing has CPIC Level A evidence</w:t>
      </w:r>
    </w:p>
    <w:p>
      <w:pPr>
        <w:pStyle w:val="ListBullet"/>
        <w:spacing w:after="60"/>
      </w:pPr>
      <w:r>
        <w:rPr>
          <w:b/>
        </w:rPr>
        <w:t>Privacy-first architecture</w:t>
      </w:r>
      <w:r>
        <w:t xml:space="preserve"> with all patient genomic data remaining on the local DGX Spark device</w:t>
      </w:r>
    </w:p>
    <w:p>
      <w:r>
        <w:t>The agent represents the seventh intelligence module in the HCLS AI Factory platform, bringing the total agent portfolio to: Precision Biomarker, Precision Oncology, CAR-T Intelligence, Imaging Intelligence, Precision Autoimmune, Cardiology Intelligence, and Pharmacogenomics Intelligence -- a comprehensive precision medicine platform that takes patient care from genome to safe prescription on a single $3,999 device.</w:t>
      </w:r>
    </w:p>
    <w:p>
      <w:pPr>
        <w:spacing w:before="160" w:after="160"/>
        <w:jc w:val="center"/>
      </w:pPr>
      <w:r>
        <w:rPr>
          <w:color w:val="76B900"/>
          <w:sz w:val="16"/>
        </w:rPr>
        <w:t>━━━━━━━━━━━━━━━━━━━━━━━━━━━━━━━━━━━━━━━━━━━━━━━━━━━━━━━━━━━━</w:t>
      </w:r>
    </w:p>
    <w:p>
      <w:r>
        <w:br w:type="page"/>
      </w:r>
    </w:p>
    <w:p>
      <w:pPr>
        <w:pStyle w:val="Heading2"/>
      </w:pPr>
      <w:r>
        <w:t>26. References</w:t>
      </w:r>
    </w:p>
    <w:p>
      <w:pPr>
        <w:pStyle w:val="ListNumber"/>
        <w:spacing w:after="60"/>
      </w:pPr>
      <w:r>
        <w:t>Lazarou J, Pomeranz BH, Corey PN. Incidence of adverse drug reactions in hospitalized patients: a meta-analysis of prospective studies. JAMA. 1998;279(15):1200-1205. PMID: 9555760</w:t>
      </w:r>
    </w:p>
    <w:p>
      <w:pPr>
        <w:pStyle w:val="ListNumber"/>
        <w:spacing w:after="60"/>
      </w:pPr>
      <w:r>
        <w:t>Relling MV, Klein TE. CPIC: Clinical Pharmacogenetics Implementation Consortium of the Pharmacogenomics Research Network. Clin Pharmacol Ther. 2011;89(3):464-467. PMID: 21270786</w:t>
      </w:r>
    </w:p>
    <w:p>
      <w:pPr>
        <w:pStyle w:val="ListNumber"/>
        <w:spacing w:after="60"/>
      </w:pPr>
      <w:r>
        <w:t>Caudle KE, et al. Standardizing CYP2D6 Genotype to Phenotype Translation: Consensus Recommendations from the Clinical Pharmacogenetics Implementation Consortium and Dutch Pharmacogenetics Working Group. Clin Transl Sci. 2020;13(1):116-124. PMID: 31647186</w:t>
      </w:r>
    </w:p>
    <w:p>
      <w:pPr>
        <w:pStyle w:val="ListNumber"/>
        <w:spacing w:after="60"/>
      </w:pPr>
      <w:r>
        <w:t>Crews KR, et al. Clinical Pharmacogenetics Implementation Consortium Guidelines for Cytochrome P450 2D6 Genotype and Codeine Therapy: 2014 Update. Clin Pharmacol Ther. 2014;95(4):376-382. PMID: 24458010</w:t>
      </w:r>
    </w:p>
    <w:p>
      <w:pPr>
        <w:pStyle w:val="ListNumber"/>
        <w:spacing w:after="60"/>
      </w:pPr>
      <w:r>
        <w:t>Scott SA, et al. Clinical Pharmacogenetics Implementation Consortium Guidelines for CYP2C19 Genotype and Clopidogrel Therapy: 2013 Update. Clin Pharmacol Ther. 2013;94(3):317-323. PMID: 23698643</w:t>
      </w:r>
    </w:p>
    <w:p>
      <w:pPr>
        <w:pStyle w:val="ListNumber"/>
        <w:spacing w:after="60"/>
      </w:pPr>
      <w:r>
        <w:t>Johnson JA, et al. Clinical Pharmacogenetics Implementation Consortium Guidelines for CYP2C9 and VKORC1 Genotypes and Warfarin Dosing: 2017 Update. Clin Pharmacol Ther. 2017;102(3):397-404. PMID: 28198005</w:t>
      </w:r>
    </w:p>
    <w:p>
      <w:pPr>
        <w:pStyle w:val="ListNumber"/>
        <w:spacing w:after="60"/>
      </w:pPr>
      <w:r>
        <w:t>SEARCH Collaborative Group. SLCO1B1 variants and statin-induced myopathy -- a genomewide study. N Engl J Med. 2008;359(8):789-799. PMID: 18650507</w:t>
      </w:r>
    </w:p>
    <w:p>
      <w:pPr>
        <w:pStyle w:val="ListNumber"/>
        <w:spacing w:after="60"/>
      </w:pPr>
      <w:r>
        <w:t>Amstutz U, et al. Clinical Pharmacogenetics Implementation Consortium (CPIC) Guideline for Dihydropyrimidine Dehydrogenase Genotype and Fluoropyrimidine Dosing: 2017 Update. Clin Pharmacol Ther. 2018;103(2):210-216. PMID: 29152729</w:t>
      </w:r>
    </w:p>
    <w:p>
      <w:pPr>
        <w:pStyle w:val="ListNumber"/>
        <w:spacing w:after="60"/>
      </w:pPr>
      <w:r>
        <w:t>Mallal S, et al. HLA-B</w:t>
      </w:r>
      <w:r>
        <w:t>*</w:t>
      </w:r>
      <w:r>
        <w:t>5701 screening for hypersensitivity to abacavir. N Engl J Med. 2008;358(6):568-579. PMID: 18256392</w:t>
      </w:r>
    </w:p>
    <w:p>
      <w:pPr>
        <w:pStyle w:val="ListNumber"/>
        <w:spacing w:after="60"/>
      </w:pPr>
      <w:r>
        <w:t>Hershfield MS, et al. Clinical Pharmacogenetics Implementation Consortium Guidelines for Human Leukocyte Antigen-B Genotype and Allopurinol Dosing. Clin Pharmacol Ther. 2013;93(2):153-158. PMID: 23232549</w:t>
      </w:r>
    </w:p>
    <w:p>
      <w:pPr>
        <w:pStyle w:val="ListNumber"/>
        <w:spacing w:after="60"/>
      </w:pPr>
      <w:r>
        <w:t>Leckband SG, et al. Clinical Pharmacogenetics Implementation Consortium Guidelines for HLA-B Genotype and Carbamazepine Dosing. Clin Pharmacol Ther. 2013;94(3):324-328. PMID: 23695185</w:t>
      </w:r>
    </w:p>
    <w:p>
      <w:pPr>
        <w:pStyle w:val="ListNumber"/>
        <w:spacing w:after="60"/>
      </w:pPr>
      <w:r>
        <w:t>International Warfarin Pharmacogenetics Consortium. Estimation of the warfarin dose with clinical and pharmacogenetic data. N Engl J Med. 2009;360(8):753-764. PMID: 19228618</w:t>
      </w:r>
    </w:p>
    <w:p>
      <w:pPr>
        <w:pStyle w:val="ListNumber"/>
        <w:spacing w:after="60"/>
      </w:pPr>
      <w:r>
        <w:t>Birdwell KA, et al. Clinical Pharmacogenetics Implementation Consortium (CPIC) Guidelines for CYP3A5 Genotype and Tacrolimus Dosing. Clin Pharmacol Ther. 2015;98(1):19-24. PMID: 25801146</w:t>
      </w:r>
    </w:p>
    <w:p>
      <w:pPr>
        <w:pStyle w:val="ListNumber"/>
        <w:spacing w:after="60"/>
      </w:pPr>
      <w:r>
        <w:t>Relling MV, et al. Clinical Pharmacogenetics Implementation Consortium Guideline for Thiopurine Dosing Based on TPMT and NUDT15 Genotypes: 2018 Update. Clin Pharmacol Ther. 2019;105(5):1095-1105. PMID: 30447069</w:t>
      </w:r>
    </w:p>
    <w:p>
      <w:pPr>
        <w:pStyle w:val="ListNumber"/>
        <w:spacing w:after="60"/>
      </w:pPr>
      <w:r>
        <w:t>Hicks JK, et al. Clinical Pharmacogenetics Implementation Consortium Guideline (CPIC) for CYP2D6 and CYP2C19 Genotypes and Dosing of Tricyclic Antidepressants: 2016 Update. Clin Pharmacol Ther. 2017;102(1):37-44. PMID: 27997040</w:t>
      </w:r>
    </w:p>
    <w:p>
      <w:pPr>
        <w:pStyle w:val="ListNumber"/>
        <w:spacing w:after="60"/>
      </w:pPr>
      <w:r>
        <w:t>Hicks JK, et al. Clinical Pharmacogenetics Implementation Consortium (CPIC) Guideline for CYP2D6 and CYP2C19 Genotypes and Dosing of Selective Serotonin Reuptake Inhibitors. Clin Pharmacol Ther. 2015;98(2):127-134. PMID: 25974703</w:t>
      </w:r>
    </w:p>
    <w:p>
      <w:pPr>
        <w:pStyle w:val="ListNumber"/>
        <w:spacing w:after="60"/>
      </w:pPr>
      <w:r>
        <w:t>PharmGKB. https://www.pharmgkb.org/</w:t>
      </w:r>
    </w:p>
    <w:p>
      <w:pPr>
        <w:pStyle w:val="ListNumber"/>
        <w:spacing w:after="60"/>
      </w:pPr>
      <w:r>
        <w:t>PharmVar. https://www.pharmvar.org/</w:t>
      </w:r>
    </w:p>
    <w:p>
      <w:pPr>
        <w:pStyle w:val="ListNumber"/>
        <w:spacing w:after="60"/>
      </w:pPr>
      <w:r>
        <w:t>CPIC. https://cpicpgx.org/</w:t>
      </w:r>
    </w:p>
    <w:p>
      <w:pPr>
        <w:pStyle w:val="ListNumber"/>
        <w:spacing w:after="60"/>
      </w:pPr>
      <w:r>
        <w:t>Dunnenberger HM, et al. Preemptive clinical pharmacogenetics implementation: current programs in five US medical centers. Annu Rev Pharmacol Toxicol. 2015;55:89-106. PMID: 25292429</w:t>
      </w:r>
    </w:p>
    <w:p>
      <w:pPr>
        <w:pStyle w:val="ListNumber"/>
        <w:spacing w:after="60"/>
      </w:pPr>
      <w:r>
        <w:t>Weitzel KW, et al. The IGNITE network: a model for genomic medicine implementation and research. BMC Med Genomics. 2016;9:1. PMID: 26729011</w:t>
      </w:r>
    </w:p>
    <w:p>
      <w:pPr>
        <w:pStyle w:val="ListNumber"/>
        <w:spacing w:after="60"/>
      </w:pPr>
      <w:r>
        <w:t>Swen JJ, et al. Pharmacogenetics: from bench to byte -- an update of guidelines. Clin Pharmacol Ther. 2011;89(5):662-673. PMID: 21412232</w:t>
      </w:r>
    </w:p>
    <w:p>
      <w:pPr>
        <w:pStyle w:val="ListNumber"/>
        <w:spacing w:after="60"/>
      </w:pPr>
      <w:r>
        <w:t>FDA Table of Pharmacogenomic Biomarkers in Drug Labeling. https://www.fda.gov/drugs/science-and-research-drugs/table-pharmacogenomic-biomarkers-drug-labeling</w:t>
      </w:r>
    </w:p>
    <w:p>
      <w:pPr>
        <w:pStyle w:val="ListNumber"/>
        <w:spacing w:after="60"/>
      </w:pPr>
      <w:r>
        <w:t>Bousman CA, et al. Pharmacogenetic tests and depressive symptom remission: a meta-analysis of randomized controlled trials. Pharmacogenomics. 2019;20(1):37-47. PMID: 30520364</w:t>
      </w:r>
    </w:p>
    <w:p>
      <w:pPr>
        <w:pStyle w:val="ListNumber"/>
        <w:spacing w:after="60"/>
      </w:pPr>
      <w:r>
        <w:t>Empey PE, et al. Multisite investigation of outcomes with implementation of CYP2C19 genotype-guided antiplatelet therapy after percutaneous coronary intervention. JACC Cardiovasc Interv. 2018;11(2):181-191. PMID: 29348010</w:t>
      </w:r>
    </w:p>
    <w:p>
      <w:pPr>
        <w:pStyle w:val="ListNumber"/>
        <w:spacing w:after="60"/>
      </w:pPr>
      <w:r>
        <w:t>Samwald M, et al. Incidence of exposure of patients in the United States to multiple drugs for which pharmacogenomic guidelines are available. PLoS One. 2016;11(10):e0164972. PMID: 27736993</w:t>
      </w:r>
    </w:p>
    <w:p>
      <w:r>
        <w:br w:type="page"/>
      </w:r>
    </w:p>
    <w:p>
      <w:pPr>
        <w:spacing w:before="4000"/>
        <w:jc w:val="center"/>
      </w:pPr>
      <w:r>
        <w:rPr>
          <w:color w:val="76B900"/>
          <w:sz w:val="24"/>
        </w:rPr>
        <w:t>━━━━━━━━━━━━━━━━━━━━━━━━━━━━━━━━━━━━━━━━</w:t>
      </w:r>
    </w:p>
    <w:p>
      <w:pPr>
        <w:jc w:val="center"/>
      </w:pPr>
      <w:r>
        <w:rPr>
          <w:b/>
          <w:color w:val="76B900"/>
          <w:sz w:val="28"/>
        </w:rPr>
        <w:t>HCLS AI Factory — Precision Medicine Platform</w:t>
      </w:r>
    </w:p>
    <w:p>
      <w:pPr>
        <w:jc w:val="center"/>
      </w:pPr>
      <w:r>
        <w:rPr>
          <w:color w:val="666666"/>
          <w:sz w:val="22"/>
        </w:rPr>
        <w:t>Powered by NVIDIA DGX Spark</w:t>
      </w:r>
    </w:p>
    <w:p>
      <w:pPr>
        <w:jc w:val="center"/>
      </w:pPr>
      <w:r>
        <w:rPr>
          <w:color w:val="0645AD"/>
          <w:sz w:val="20"/>
        </w:rPr>
        <w:t>https://github.com/ajones1923/hcls-ai-factory</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76B900"/>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