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76B900"/>
          <w:sz w:val="44"/>
        </w:rPr>
        <w:t>Precision Autoimmune Intelligence Agent</w:t>
      </w:r>
    </w:p>
    <w:p>
      <w:pPr>
        <w:jc w:val="center"/>
      </w:pPr>
      <w:r>
        <w:rPr>
          <w:color w:val="333333"/>
          <w:sz w:val="32"/>
        </w:rPr>
        <w:t>Production Demo Status Report</w:t>
      </w:r>
    </w:p>
    <w:p/>
    <w:p>
      <w:pPr>
        <w:jc w:val="center"/>
      </w:pPr>
      <w:r>
        <w:rPr>
          <w:b/>
          <w:sz w:val="24"/>
        </w:rPr>
        <w:t>HCLS AI Factory — NVIDIA DGX Spark | 10/10 Demo Ready</w:t>
      </w:r>
    </w:p>
    <w:p>
      <w:pPr>
        <w:jc w:val="center"/>
      </w:pPr>
      <w:r>
        <w:t>Date: March 2026 | License: Apache 2.0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Production Demo Ready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NVIDIA DGX Spark (GB10, 128 GB unified memory)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Streamlit 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http://localhost:8531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API 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http://localhost:8532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Pass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455/455 (100%)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Duration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0.81 seconds</w:t>
            </w:r>
          </w:p>
        </w:tc>
      </w:tr>
    </w:tbl>
    <w:p/>
    <w:p>
      <w:r>
        <w:br w:type="page"/>
      </w:r>
    </w:p>
    <w:p>
      <w:pPr>
        <w:pStyle w:val="Heading1"/>
      </w:pPr>
      <w:r>
        <w:t>The Agent</w:t>
      </w:r>
    </w:p>
    <w:p>
      <w:r>
        <w:t>The Precision Autoimmune Intelligence Agent is a RAG-powered clinical decision-support system for autoimmune disease analysis. It combines 6 deterministic clinical analysis engines with a 14-collection multi-collection RAG search pipeline, 14 Pydantic data models, and a 10-tab Streamlit UI. The system analyzes autoantibody panels, HLA-disease associations, disease activity scores, flare risk predictions, and biologic therapy recommendations with pharmacogenomic (PGx) context.</w:t>
      </w:r>
    </w:p>
    <w:p>
      <w:pPr>
        <w:pStyle w:val="Heading1"/>
      </w:pPr>
      <w:r>
        <w:t>The 10 Tabs</w:t>
      </w:r>
    </w:p>
    <w:p>
      <w:pPr>
        <w:pStyle w:val="Heading2"/>
      </w:pPr>
      <w:r>
        <w:t>1. Clinical Query</w:t>
      </w:r>
    </w:p>
    <w:p>
      <w:r>
        <w:t>Multi-collection RAG with streaming responses, evidence citations, conversation history, and disease area auto-detection.</w:t>
      </w:r>
    </w:p>
    <w:p>
      <w:pPr>
        <w:pStyle w:val="ListBullet"/>
      </w:pPr>
      <w:r>
        <w:t>Searches 14 Milvus collections in parallel with weighted scoring</w:t>
      </w:r>
    </w:p>
    <w:p>
      <w:pPr>
        <w:pStyle w:val="ListBullet"/>
      </w:pPr>
      <w:r>
        <w:t>Disease area detection: 11 keyword groups (RA, SLE, MS, AS, Sjögren's, SSc, IBD, Psoriasis, MG, Celiac, Thyroid/POTS)</w:t>
      </w:r>
    </w:p>
    <w:p>
      <w:pPr>
        <w:pStyle w:val="ListBullet"/>
      </w:pPr>
      <w:r>
        <w:t>Comparative query auto-detection ('vs' keyword triggers side-by-side analysis)</w:t>
      </w:r>
    </w:p>
    <w:p>
      <w:pPr>
        <w:pStyle w:val="ListBullet"/>
      </w:pPr>
      <w:r>
        <w:t>Streaming via Server-Sent Events with Claude Sonnet 4</w:t>
      </w:r>
    </w:p>
    <w:p>
      <w:pPr>
        <w:pStyle w:val="ListBullet"/>
      </w:pPr>
      <w:r>
        <w:t>Thread-safe conversation memory (sliding window, 3 turns)</w:t>
      </w:r>
    </w:p>
    <w:p>
      <w:pPr>
        <w:pStyle w:val="ListBullet"/>
      </w:pPr>
      <w:r>
        <w:t>Evidence citations with relevance badges (high/medium/low)</w:t>
      </w:r>
    </w:p>
    <w:p>
      <w:pPr>
        <w:pStyle w:val="Heading2"/>
      </w:pPr>
      <w:r>
        <w:t>2. Patient Analysis</w:t>
      </w:r>
    </w:p>
    <w:p>
      <w:r>
        <w:t>Full autoimmune analysis pipeline execution with critical alerts and summary dashboard.</w:t>
      </w:r>
    </w:p>
    <w:p>
      <w:pPr>
        <w:pStyle w:val="ListBullet"/>
      </w:pPr>
      <w:r>
        <w:t>Runs complete 6-step analysis: autoantibodies → HLA → activity → flare → biologics → alerts</w:t>
      </w:r>
    </w:p>
    <w:p>
      <w:pPr>
        <w:pStyle w:val="ListBullet"/>
      </w:pPr>
      <w:r>
        <w:t>Displays disease activity scores with threshold visualization</w:t>
      </w:r>
    </w:p>
    <w:p>
      <w:pPr>
        <w:pStyle w:val="ListBullet"/>
      </w:pPr>
      <w:r>
        <w:t>Shows flare risk predictions with contributing and protective factors</w:t>
      </w:r>
    </w:p>
    <w:p>
      <w:pPr>
        <w:pStyle w:val="ListBullet"/>
      </w:pPr>
      <w:r>
        <w:t>Lists biologic therapy recommendations with PGx context</w:t>
      </w:r>
    </w:p>
    <w:p>
      <w:pPr>
        <w:pStyle w:val="ListBullet"/>
      </w:pPr>
      <w:r>
        <w:t>Generates critical alerts for high activity, imminent flares, and strong HLA associations</w:t>
      </w:r>
    </w:p>
    <w:p>
      <w:pPr>
        <w:pStyle w:val="Heading2"/>
      </w:pPr>
      <w:r>
        <w:t>3. Document Ingest</w:t>
      </w:r>
    </w:p>
    <w:p>
      <w:r>
        <w:t>Upload clinical PDFs for processing and ingestion into the vector store.</w:t>
      </w:r>
    </w:p>
    <w:p>
      <w:pPr>
        <w:pStyle w:val="ListBullet"/>
      </w:pPr>
      <w:r>
        <w:t>Drag-and-drop PDF upload</w:t>
      </w:r>
    </w:p>
    <w:p>
      <w:pPr>
        <w:pStyle w:val="ListBullet"/>
      </w:pPr>
      <w:r>
        <w:t>Intelligent chunking (2,500 chars, 200 overlap)</w:t>
      </w:r>
    </w:p>
    <w:p>
      <w:pPr>
        <w:pStyle w:val="ListBullet"/>
      </w:pPr>
      <w:r>
        <w:t>Metadata extraction (patient_id, doc_type, specialty, provider, visit_date)</w:t>
      </w:r>
    </w:p>
    <w:p>
      <w:pPr>
        <w:pStyle w:val="ListBullet"/>
      </w:pPr>
      <w:r>
        <w:t>Progress tracking during batch ingestion</w:t>
      </w:r>
    </w:p>
    <w:p>
      <w:pPr>
        <w:pStyle w:val="Heading2"/>
      </w:pPr>
      <w:r>
        <w:t>4. Diagnostic Odyssey</w:t>
      </w:r>
    </w:p>
    <w:p>
      <w:r>
        <w:t>Timeline visualization and diagnostic delay analysis — the signature feature for surfacing missed diagnoses.</w:t>
      </w:r>
    </w:p>
    <w:p>
      <w:pPr>
        <w:pStyle w:val="ListBullet"/>
      </w:pPr>
      <w:r>
        <w:t>Reconstructs multi-year patient timelines from ingested clinical documents</w:t>
      </w:r>
    </w:p>
    <w:p>
      <w:pPr>
        <w:pStyle w:val="ListBullet"/>
      </w:pPr>
      <w:r>
        <w:t>Classifies 12 event types (symptom onset, diagnosis, misdiagnosis, lab result, imaging, biopsy, genetic test, treatment start/change, flare, referral, ER visit)</w:t>
      </w:r>
    </w:p>
    <w:p>
      <w:pPr>
        <w:pStyle w:val="ListBullet"/>
      </w:pPr>
      <w:r>
        <w:t>Calculates days from first symptom for each event</w:t>
      </w:r>
    </w:p>
    <w:p>
      <w:pPr>
        <w:pStyle w:val="ListBullet"/>
      </w:pPr>
      <w:r>
        <w:t>Surfaces missed follow-up opportunities and delayed referrals</w:t>
      </w:r>
    </w:p>
    <w:p>
      <w:pPr>
        <w:pStyle w:val="ListBullet"/>
      </w:pPr>
      <w:r>
        <w:t>Specialist visit tracking and gap analysis</w:t>
      </w:r>
    </w:p>
    <w:p>
      <w:pPr>
        <w:pStyle w:val="Heading2"/>
      </w:pPr>
      <w:r>
        <w:t>5. Autoantibody Panel</w:t>
      </w:r>
    </w:p>
    <w:p>
      <w:r>
        <w:t>Interactive autoantibody interpretation against 24 antibodies with disease associations.</w:t>
      </w:r>
    </w:p>
    <w:p>
      <w:pPr>
        <w:pStyle w:val="ListBullet"/>
      </w:pPr>
      <w:r>
        <w:t>24 autoantibodies with sensitivity, specificity, and clinical significance</w:t>
      </w:r>
    </w:p>
    <w:p>
      <w:pPr>
        <w:pStyle w:val="ListBullet"/>
      </w:pPr>
      <w:r>
        <w:t>30 total antibody-disease associations</w:t>
      </w:r>
    </w:p>
    <w:p>
      <w:pPr>
        <w:pStyle w:val="ListBullet"/>
      </w:pPr>
      <w:r>
        <w:t>Titer and pattern interpretation (homogeneous, speckled, centromere, etc.)</w:t>
      </w:r>
    </w:p>
    <w:p>
      <w:pPr>
        <w:pStyle w:val="ListBullet"/>
      </w:pPr>
      <w:r>
        <w:t>Disease probability ranking based on panel results</w:t>
      </w:r>
    </w:p>
    <w:p>
      <w:pPr>
        <w:pStyle w:val="Heading2"/>
      </w:pPr>
      <w:r>
        <w:t>6. HLA Analysis</w:t>
      </w:r>
    </w:p>
    <w:p>
      <w:r>
        <w:t>HLA allele-to-disease association lookup with odds ratios and population context.</w:t>
      </w:r>
    </w:p>
    <w:p>
      <w:pPr>
        <w:pStyle w:val="ListBullet"/>
      </w:pPr>
      <w:r>
        <w:t>22 HLA alleles with 34 total disease associations</w:t>
      </w:r>
    </w:p>
    <w:p>
      <w:pPr>
        <w:pStyle w:val="ListBullet"/>
      </w:pPr>
      <w:r>
        <w:t>Odds ratios from 0.3 (protective) to 87.4 (HLA-B*27:05 → AS)</w:t>
      </w:r>
    </w:p>
    <w:p>
      <w:pPr>
        <w:pStyle w:val="ListBullet"/>
      </w:pPr>
      <w:r>
        <w:t>Exact match and broad allele group matching (e.g., B*27:05 matches B*27)</w:t>
      </w:r>
    </w:p>
    <w:p>
      <w:pPr>
        <w:pStyle w:val="ListBullet"/>
      </w:pPr>
      <w:r>
        <w:t>Sorted by risk magnitude (highest odds ratio first)</w:t>
      </w:r>
    </w:p>
    <w:p>
      <w:pPr>
        <w:pStyle w:val="Heading2"/>
      </w:pPr>
      <w:r>
        <w:t>7. Disease Activity</w:t>
      </w:r>
    </w:p>
    <w:p>
      <w:r>
        <w:t>Activity scoring dashboards across 20 validated instruments for 13 diseases.</w:t>
      </w:r>
    </w:p>
    <w:p>
      <w:pPr>
        <w:pStyle w:val="ListBullet"/>
      </w:pPr>
      <w:r>
        <w:t>20 scoring systems: DAS28-CRP, DAS28-ESR, SLEDAI-2K, CDAI, BASDAI, SDAI, PASI, Mayo, Harvey-Bradshaw, ESSDAI, mRSS, EDSS, QMGS, Marsh, Burch-Wartofsky, ASDAS, MG-ADL, DAPSA, HbA1c-T1D, TSH-Hashimoto</w:t>
      </w:r>
    </w:p>
    <w:p>
      <w:pPr>
        <w:pStyle w:val="ListBullet"/>
      </w:pPr>
      <w:r>
        <w:t>5 activity levels: remission, low, moderate, high, very high</w:t>
      </w:r>
    </w:p>
    <w:p>
      <w:pPr>
        <w:pStyle w:val="ListBullet"/>
      </w:pPr>
      <w:r>
        <w:t>Threshold visualization with patient score positioning</w:t>
      </w:r>
    </w:p>
    <w:p>
      <w:pPr>
        <w:pStyle w:val="Heading2"/>
      </w:pPr>
      <w:r>
        <w:t>8. Flare Prediction</w:t>
      </w:r>
    </w:p>
    <w:p>
      <w:r>
        <w:t>Biomarker-based flare risk assessment with disease-specific early warning signs.</w:t>
      </w:r>
    </w:p>
    <w:p>
      <w:pPr>
        <w:pStyle w:val="ListBullet"/>
      </w:pPr>
      <w:r>
        <w:t>13 disease-specific flare biomarker patterns</w:t>
      </w:r>
    </w:p>
    <w:p>
      <w:pPr>
        <w:pStyle w:val="ListBullet"/>
      </w:pPr>
      <w:r>
        <w:t>4 risk levels: low (&lt;0.4), moderate (0.4-0.6), high (0.6-0.8), imminent (≥0.8)</w:t>
      </w:r>
    </w:p>
    <w:p>
      <w:pPr>
        <w:pStyle w:val="ListBullet"/>
      </w:pPr>
      <w:r>
        <w:t>Contributing factors (elevated CRP, low complement, etc.) and protective factors</w:t>
      </w:r>
    </w:p>
    <w:p>
      <w:pPr>
        <w:pStyle w:val="ListBullet"/>
      </w:pPr>
      <w:r>
        <w:t>Configurable risk thresholds via settings</w:t>
      </w:r>
    </w:p>
    <w:p>
      <w:pPr>
        <w:pStyle w:val="ListBullet"/>
      </w:pPr>
      <w:r>
        <w:t>Recommended monitoring schedule (repeat labs in 2-4 weeks)</w:t>
      </w:r>
    </w:p>
    <w:p>
      <w:pPr>
        <w:pStyle w:val="Heading2"/>
      </w:pPr>
      <w:r>
        <w:t>9. Therapy Advisor</w:t>
      </w:r>
    </w:p>
    <w:p>
      <w:r>
        <w:t>Biologic therapy recommendations filtered by disease indication and pharmacogenomic considerations.</w:t>
      </w:r>
    </w:p>
    <w:p>
      <w:pPr>
        <w:pStyle w:val="ListBullet"/>
      </w:pPr>
      <w:r>
        <w:t>22 biologic therapies across 10 drug classes</w:t>
      </w:r>
    </w:p>
    <w:p>
      <w:pPr>
        <w:pStyle w:val="ListBullet"/>
      </w:pPr>
      <w:r>
        <w:t>TNF inhibitors (5), anti-CD20 (2), IL-6R (2), IL-17A (3), BLyS (1), IL-12/23 (1), T-cell modulators (1), JAK inhibitors (4), IL-1 (1), TYK2 (1), integrin (2)</w:t>
      </w:r>
    </w:p>
    <w:p>
      <w:pPr>
        <w:pStyle w:val="ListBullet"/>
      </w:pPr>
      <w:r>
        <w:t>PGx considerations per drug (TPMT, NUDT15, HLA-B*58:01, CYP enzymes)</w:t>
      </w:r>
    </w:p>
    <w:p>
      <w:pPr>
        <w:pStyle w:val="ListBullet"/>
      </w:pPr>
      <w:r>
        <w:t>Contraindications and monitoring requirements</w:t>
      </w:r>
    </w:p>
    <w:p>
      <w:pPr>
        <w:pStyle w:val="Heading2"/>
      </w:pPr>
      <w:r>
        <w:t>10. Knowledge Base</w:t>
      </w:r>
    </w:p>
    <w:p>
      <w:r>
        <w:t>Collection statistics, evidence explorer, and knowledge version display.</w:t>
      </w:r>
    </w:p>
    <w:p>
      <w:pPr>
        <w:pStyle w:val="ListBullet"/>
      </w:pPr>
      <w:r>
        <w:t>14 collection inventory with vector counts</w:t>
      </w:r>
    </w:p>
    <w:p>
      <w:pPr>
        <w:pStyle w:val="ListBullet"/>
      </w:pPr>
      <w:r>
        <w:t>Knowledge base version tracking (v2.0.0)</w:t>
      </w:r>
    </w:p>
    <w:p>
      <w:pPr>
        <w:pStyle w:val="ListBullet"/>
      </w:pPr>
      <w:r>
        <w:t>Collection health monitoring</w:t>
      </w:r>
    </w:p>
    <w:p>
      <w:r>
        <w:br w:type="page"/>
      </w:r>
    </w:p>
    <w:p>
      <w:pPr>
        <w:pStyle w:val="Heading1"/>
      </w:pPr>
      <w:r>
        <w:t>Demo UX Polish</w:t>
      </w:r>
    </w:p>
    <w:p>
      <w:pPr>
        <w:pStyle w:val="Heading2"/>
      </w:pPr>
      <w:r>
        <w:t>Sidebar Patient Selector</w:t>
      </w:r>
    </w:p>
    <w:p>
      <w:r>
        <w:t>9 pre-loaded demo patients selectable via dropdown. Each selection loads a case summary card with age, sex, diagnosis, chief complaint, and diagnostic odyssey narrative.</w:t>
      </w:r>
    </w:p>
    <w:p>
      <w:pPr>
        <w:pStyle w:val="Heading2"/>
      </w:pPr>
      <w:r>
        <w:t>NVIDIA Branding</w:t>
      </w:r>
    </w:p>
    <w:p>
      <w:r>
        <w:t>Green (#76B900) throughout: tab headers, severity badges, chart colors, PDF headers, metric cards.</w:t>
      </w:r>
    </w:p>
    <w:p>
      <w:pPr>
        <w:pStyle w:val="Heading2"/>
      </w:pPr>
      <w:r>
        <w:t>Streaming Responses</w:t>
      </w:r>
    </w:p>
    <w:p>
      <w:r>
        <w:t>RAG queries stream token-by-token via SSE, creating a natural conversational feel during demos.</w:t>
      </w:r>
    </w:p>
    <w:p>
      <w:pPr>
        <w:pStyle w:val="Heading2"/>
      </w:pPr>
      <w:r>
        <w:t>One-Click Export</w:t>
      </w:r>
    </w:p>
    <w:p>
      <w:r>
        <w:t>Download buttons (Markdown, PDF, FHIR R4) directly on analysis results. No tab switching needed.</w:t>
      </w:r>
    </w:p>
    <w:p>
      <w:pPr>
        <w:pStyle w:val="Heading2"/>
      </w:pPr>
      <w:r>
        <w:t>Case Summary Cards</w:t>
      </w:r>
    </w:p>
    <w:p>
      <w:r>
        <w:t>Each patient's sidebar card shows their diagnostic odyssey narrative — the emotional hook for the demo audience.</w:t>
      </w:r>
    </w:p>
    <w:p>
      <w:r>
        <w:br w:type="page"/>
      </w:r>
    </w:p>
    <w:p>
      <w:pPr>
        <w:pStyle w:val="Heading1"/>
      </w:pPr>
      <w:r>
        <w:t>What the Audience Will Experience</w:t>
      </w:r>
    </w:p>
    <w:p>
      <w:r>
        <w:t>A 25-minute demo that tells a complete autoimmune precision medicine story.</w:t>
      </w:r>
    </w:p>
    <w:p>
      <w:pPr>
        <w:pStyle w:val="Heading2"/>
      </w:pPr>
      <w:r>
        <w:t>Minutes 1–5: Sarah Mitchell — The SLE Odyssey</w:t>
      </w:r>
    </w:p>
    <w:p>
      <w:pPr>
        <w:pStyle w:val="ListBullet"/>
      </w:pPr>
      <w:r>
        <w:t>Select Sarah Mitchell (34F) from sidebar → case summary loads</w:t>
      </w:r>
    </w:p>
    <w:p>
      <w:pPr>
        <w:pStyle w:val="ListBullet"/>
      </w:pPr>
      <w:r>
        <w:t>Tab 2 (Patient Analysis): Run full analysis → HIGH disease activity (SLEDAI-2K), FLARE RISK HIGH (score 0.60+)</w:t>
      </w:r>
    </w:p>
    <w:p>
      <w:pPr>
        <w:pStyle w:val="ListBullet"/>
      </w:pPr>
      <w:r>
        <w:t>Tab 5 (Autoantibody Panel): ANA (1:640 homogeneous), anti-dsDNA (1:320), anti-Smith → SLE pathognomonic</w:t>
      </w:r>
    </w:p>
    <w:p>
      <w:pPr>
        <w:pStyle w:val="ListBullet"/>
      </w:pPr>
      <w:r>
        <w:t>Tab 6 (HLA Analysis): HLA-DRB1*03:01 → SLE (OR=2.4)</w:t>
      </w:r>
    </w:p>
    <w:p>
      <w:pPr>
        <w:pStyle w:val="ListBullet"/>
      </w:pPr>
      <w:r>
        <w:t>Tab 9 (Therapy Advisor): Belimumab (BLyS inhibitor) + Rituximab (anti-CD20) recommended</w:t>
      </w:r>
    </w:p>
    <w:p>
      <w:pPr>
        <w:pStyle w:val="ListBullet"/>
      </w:pPr>
      <w:r>
        <w:t>Talking point: '3.5 years across 5 specialists — the agent connects the dots in seconds.'</w:t>
      </w:r>
    </w:p>
    <w:p>
      <w:pPr>
        <w:pStyle w:val="Heading2"/>
      </w:pPr>
      <w:r>
        <w:t>Minutes 5–10: David Park — The Hidden HLA</w:t>
      </w:r>
    </w:p>
    <w:p>
      <w:pPr>
        <w:pStyle w:val="ListBullet"/>
      </w:pPr>
      <w:r>
        <w:t>Select David Park (45M) → Ankylosing Spondylitis, 6-year odyssey</w:t>
      </w:r>
    </w:p>
    <w:p>
      <w:pPr>
        <w:pStyle w:val="ListBullet"/>
      </w:pPr>
      <w:r>
        <w:t>Tab 6 (HLA Analysis): HLA-B*27:05 → AS (OR=87.4 — strongest known HLA-disease association)</w:t>
      </w:r>
    </w:p>
    <w:p>
      <w:pPr>
        <w:pStyle w:val="ListBullet"/>
      </w:pPr>
      <w:r>
        <w:t>Tab 7 (Disease Activity): BASDAI scoring shows moderate-high activity</w:t>
      </w:r>
    </w:p>
    <w:p>
      <w:pPr>
        <w:pStyle w:val="ListBullet"/>
      </w:pPr>
      <w:r>
        <w:t>Tab 8 (Flare Prediction): Elevated CRP/ESR → contributing factors identified</w:t>
      </w:r>
    </w:p>
    <w:p>
      <w:pPr>
        <w:pStyle w:val="ListBullet"/>
      </w:pPr>
      <w:r>
        <w:t>Tab 9 (Therapy Advisor): TNF inhibitors + IL-17A inhibitors recommended</w:t>
      </w:r>
    </w:p>
    <w:p>
      <w:pPr>
        <w:pStyle w:val="ListBullet"/>
      </w:pPr>
      <w:r>
        <w:t>Talking point: '6 years of mechanical back pain diagnosis. One HLA test could have changed everything.'</w:t>
      </w:r>
    </w:p>
    <w:p>
      <w:pPr>
        <w:pStyle w:val="Heading2"/>
      </w:pPr>
      <w:r>
        <w:t>Minutes 10–14: Rachel Thompson — The Overlap Puzzle</w:t>
      </w:r>
    </w:p>
    <w:p>
      <w:pPr>
        <w:pStyle w:val="ListBullet"/>
      </w:pPr>
      <w:r>
        <w:t>Select Rachel Thompson (38F) → Mixed Connective Tissue Disease</w:t>
      </w:r>
    </w:p>
    <w:p>
      <w:pPr>
        <w:pStyle w:val="ListBullet"/>
      </w:pPr>
      <w:r>
        <w:t>Tab 1 (Clinical Query): 'What is the significance of anti-RNP in this patient?' → RAG synthesizes MCTD context</w:t>
      </w:r>
    </w:p>
    <w:p>
      <w:pPr>
        <w:pStyle w:val="ListBullet"/>
      </w:pPr>
      <w:r>
        <w:t>Tab 5 (Autoantibody Panel): anti-RNP positive → MCTD (required marker)</w:t>
      </w:r>
    </w:p>
    <w:p>
      <w:pPr>
        <w:pStyle w:val="ListBullet"/>
      </w:pPr>
      <w:r>
        <w:t>Tab 4 (Diagnostic Odyssey): Timeline shows years of overlapping SLE/SSc/myositis features before MCTD diagnosis</w:t>
      </w:r>
    </w:p>
    <w:p>
      <w:pPr>
        <w:pStyle w:val="ListBullet"/>
      </w:pPr>
      <w:r>
        <w:t>Talking point: 'Overlap syndromes are the hardest diagnoses in rheumatology. The agent detects 9 distinct overlap patterns.'</w:t>
      </w:r>
    </w:p>
    <w:p>
      <w:pPr>
        <w:pStyle w:val="Heading2"/>
      </w:pPr>
      <w:r>
        <w:t>Minutes 14–18: Maya Rodriguez — The Dismissed Patient</w:t>
      </w:r>
    </w:p>
    <w:p>
      <w:pPr>
        <w:pStyle w:val="ListBullet"/>
      </w:pPr>
      <w:r>
        <w:t>Select Maya Rodriguez (28F) → POTS/hEDS/MCAS triad</w:t>
      </w:r>
    </w:p>
    <w:p>
      <w:pPr>
        <w:pStyle w:val="ListBullet"/>
      </w:pPr>
      <w:r>
        <w:t>Tab 4 (Diagnostic Odyssey): 4 years of ER visits dismissed as 'anxiety'</w:t>
      </w:r>
    </w:p>
    <w:p>
      <w:pPr>
        <w:pStyle w:val="ListBullet"/>
      </w:pPr>
      <w:r>
        <w:t>Tab 1 (Clinical Query): 'Why was this patient repeatedly dismissed?' → RAG retrieves dysautonomia literature</w:t>
      </w:r>
    </w:p>
    <w:p>
      <w:pPr>
        <w:pStyle w:val="ListBullet"/>
      </w:pPr>
      <w:r>
        <w:t>Talking point: 'No antibody test diagnoses this triad. It requires cross-domain pattern recognition — exactly what the agent does.'</w:t>
      </w:r>
    </w:p>
    <w:p>
      <w:pPr>
        <w:pStyle w:val="Heading2"/>
      </w:pPr>
      <w:r>
        <w:t>Minutes 18–22: James Cooper — Polyautoimmunity</w:t>
      </w:r>
    </w:p>
    <w:p>
      <w:pPr>
        <w:pStyle w:val="ListBullet"/>
      </w:pPr>
      <w:r>
        <w:t>Select James Cooper (19M) → T1D + Celiac Disease</w:t>
      </w:r>
    </w:p>
    <w:p>
      <w:pPr>
        <w:pStyle w:val="ListBullet"/>
      </w:pPr>
      <w:r>
        <w:t>Tab 6 (HLA Analysis): HLA-DQB1*02:01 → Celiac (OR=7.0)</w:t>
      </w:r>
    </w:p>
    <w:p>
      <w:pPr>
        <w:pStyle w:val="ListBullet"/>
      </w:pPr>
      <w:r>
        <w:t>Tab 7 (Disease Activity): HbA1c-T1D + Marsh Score for celiac</w:t>
      </w:r>
    </w:p>
    <w:p>
      <w:pPr>
        <w:pStyle w:val="ListBullet"/>
      </w:pPr>
      <w:r>
        <w:t>Diagnostic engine detects T1D-Celiac overlap and flags thyroid screening (15-30% prevalence)</w:t>
      </w:r>
    </w:p>
    <w:p>
      <w:pPr>
        <w:pStyle w:val="ListBullet"/>
      </w:pPr>
      <w:r>
        <w:t>Talking point: 'Polyautoimmunity affects up to 25% of autoimmune patients. The agent flags screening opportunities.'</w:t>
      </w:r>
    </w:p>
    <w:p>
      <w:pPr>
        <w:pStyle w:val="Heading2"/>
      </w:pPr>
      <w:r>
        <w:t>Minutes 22–25: Knowledge Base &amp; Export</w:t>
      </w:r>
    </w:p>
    <w:p>
      <w:pPr>
        <w:pStyle w:val="ListBullet"/>
      </w:pPr>
      <w:r>
        <w:t>Tab 10 (Knowledge Base): Show 14 collections, knowledge version 2.0.0</w:t>
      </w:r>
    </w:p>
    <w:p>
      <w:pPr>
        <w:pStyle w:val="ListBullet"/>
      </w:pPr>
      <w:r>
        <w:t>Tab 1 (Clinical Query): Comparative query — 'Adalimumab vs Rituximab for RA' → structured comparison table</w:t>
      </w:r>
    </w:p>
    <w:p>
      <w:pPr>
        <w:pStyle w:val="ListBullet"/>
      </w:pPr>
      <w:r>
        <w:t>Export: Generate FHIR R4 DiagnosticReport Bundle → show SNOMED CT/LOINC coding</w:t>
      </w:r>
    </w:p>
    <w:p>
      <w:pPr>
        <w:pStyle w:val="ListBullet"/>
      </w:pPr>
      <w:r>
        <w:t>Export: Generate NVIDIA-themed PDF report with evidence citations</w:t>
      </w:r>
    </w:p>
    <w:p>
      <w:pPr>
        <w:pStyle w:val="ListBullet"/>
      </w:pPr>
      <w:r>
        <w:t>Talking point: 'Every recommendation is backed by cited evidence. Fully auditable, FHIR-interoperable.'</w:t>
      </w:r>
    </w:p>
    <w:p>
      <w:r>
        <w:br w:type="page"/>
      </w:r>
    </w:p>
    <w:p>
      <w:pPr>
        <w:pStyle w:val="Heading1"/>
      </w:pPr>
      <w:r>
        <w:t>Supporting Documentation</w:t>
      </w:r>
    </w:p>
    <w:p>
      <w:pPr>
        <w:pStyle w:val="Heading2"/>
      </w:pPr>
      <w:r>
        <w:t>Architecture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Patient Clinical PDFs (186 documents)</w:t>
        <w:br/>
        <w:t xml:space="preserve">    |</w:t>
        <w:br/>
        <w:t xml:space="preserve">    v</w:t>
        <w:br/>
        <w:t>[Document Processor] -- PDF ingestion, chunking</w:t>
        <w:br/>
        <w:t xml:space="preserve">    |</w:t>
        <w:br/>
        <w:t xml:space="preserve">    v</w:t>
        <w:br/>
        <w:t>[14 Milvus Collections] -- IVF_FLAT / COSINE / 384-dim</w:t>
        <w:br/>
        <w:t xml:space="preserve">    |</w:t>
        <w:br/>
        <w:t xml:space="preserve">    v</w:t>
        <w:br/>
        <w:t>[6 Clinical Analysis Engines]</w:t>
        <w:br/>
        <w:t xml:space="preserve">    |</w:t>
        <w:br/>
        <w:t xml:space="preserve">    v</w:t>
        <w:br/>
        <w:t>[Multi-Collection RAG Engine]</w:t>
        <w:br/>
        <w:t xml:space="preserve">    |</w:t>
        <w:br/>
        <w:t xml:space="preserve">    v</w:t>
        <w:br/>
        <w:t>[Claude Sonnet 4] --&gt; Grounded response with citations</w:t>
        <w:br/>
        <w:t xml:space="preserve">    |</w:t>
        <w:br/>
        <w:t xml:space="preserve">    v</w:t>
        <w:br/>
        <w:t>[Export: FHIR R4 | PDF | Markdown]</w:t>
      </w:r>
    </w:p>
    <w:p>
      <w:pPr>
        <w:pStyle w:val="Heading2"/>
      </w:pPr>
      <w:r>
        <w:t>Service Ports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 Agent UI (Streamlit)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8531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Interactive demo UI — 10 tabs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 Agent API (FastAPI)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8532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 API — analysis, RAG, reports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Milvus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19530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Vector database — 14 collections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Landing 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HCLS AI Factory hub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Attu (Milvus UI)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Milvus administration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Grafana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Monitoring dashboards</w:t>
            </w:r>
          </w:p>
        </w:tc>
      </w:tr>
    </w:tbl>
    <w:p/>
    <w:p>
      <w:pPr>
        <w:pStyle w:val="Heading2"/>
      </w:pPr>
      <w:r>
        <w:t>Collections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autoimmune_clinical_documents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Ingested patient clinical PDFs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autoimmune_patient_labs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Laboratory results with reference ranges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autoimmune_autoantibody_panels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Autoantibody reference panels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autoimmune_hla_associations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HLA allele → disease risk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autoimmune_disease_criteria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ACR/EULAR classification criteria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autoimmune_disease_activity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Disease activity scoring systems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autoimmune_flare_patterns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Flare prediction biomarker patterns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autoimmune_biologic_therapies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Biologic therapy database with PGx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autoimmune_pgx_rules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Pharmacogenomic dosing 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autoimmune_clinical_trials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Autoimmune clinical trials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autoimmune_literature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Published research literature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autoimmune_patient_timelines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Diagnostic timeline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autoimmune_cross_disease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 syndromes &amp; shared mechanisms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genomic_evidence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genomic variants (read-only)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</w:t>
            </w:r>
          </w:p>
        </w:tc>
      </w:tr>
    </w:tbl>
    <w:p/>
    <w:p>
      <w:pPr>
        <w:pStyle w:val="Heading2"/>
      </w:pPr>
      <w:r>
        <w:t>Tech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Technologies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NVIDIA DGX Spark, CUDA 12.x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AI/LLM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Claude Sonnet 4 (Anthropic)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Vector 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Milvus (IVF_FLAT/COSINE, 384-dim BGE-small-en-v1.5)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FastAPI (API), Streamlit (UI)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Pydantic v2, pydantic-settings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PyPDF2 (reading), ReportLab (generation)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Visualization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Plotly, Pandas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Prometheus-compatible metrics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Loguru (file rotation, JSON/console)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Standards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FHIR R4, HL7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Docker, Docker Compose</w:t>
            </w:r>
          </w:p>
        </w:tc>
      </w:tr>
    </w:tbl>
    <w:p/>
    <w:p>
      <w:r>
        <w:br w:type="page"/>
      </w:r>
    </w:p>
    <w:p>
      <w:pPr>
        <w:pStyle w:val="Heading1"/>
      </w:pPr>
      <w:r>
        <w:t>Test Results — 455/455 Passed</w:t>
      </w:r>
    </w:p>
    <w:p>
      <w:r>
        <w:t>Comprehensive testing of every engine, endpoint, collection, export format, and production readiness check. All 455 tests pass in 0.81 seconds.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Test 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test_rag_engine.py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Multi-collection search, embedding cache, disease detection, knowledge augmentation, Claude synthesis, streaming, conversation memory, thread safety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test_collections.py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Milvus collection schemas, CRUD operations, connection handling, isolation, retry logic, batch operations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test_production_readiness.py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Configuration validation, service health checks, error handling, edge cases, security boundaries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test_api.py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15 FastAPI endpoints, request validation, error responses, authentication, streaming SSE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test_diagnostic_engine.py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ACR/EULAR criteria evaluation (10 diseases), differential diagnosis scoring, overlap syndrome detection (9 syndromes)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test_timeline_builder.py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 extraction (4 formats), event classification (12 types), timeline construction, statistics, Milvus record conversion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test_export.py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Markdown generation, PDF creation (ReportLab), FHIR R4 bundle structure, Patient/Observation/DiagnosticReport resources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test_autoimmune.py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AutoimmuneAgent pipeline: autoantibody interpretation, HLA analysis, activity scoring, flare prediction, biologic recommendations</w:t>
            </w:r>
          </w:p>
        </w:tc>
      </w:tr>
    </w:tbl>
    <w:p/>
    <w:p>
      <w:r>
        <w:br w:type="page"/>
      </w:r>
    </w:p>
    <w:p>
      <w:pPr>
        <w:pStyle w:val="Heading1"/>
      </w:pPr>
      <w:r>
        <w:t>Pre-Demo Checklist</w:t>
      </w:r>
    </w:p>
    <w:p>
      <w:r>
        <w:t>Run these 6 commands before starting the live demo:</w:t>
      </w:r>
    </w:p>
    <w:p>
      <w:pPr>
        <w:pStyle w:val="Heading2"/>
      </w:pPr>
      <w:r>
        <w:t>1. Verify Milvus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curl -s http://localhost:19530/v1/vector/collections</w:t>
        <w:br/>
        <w:t># Expected: JSON response listing collections</w:t>
      </w:r>
    </w:p>
    <w:p>
      <w:pPr>
        <w:pStyle w:val="Heading2"/>
      </w:pPr>
      <w:r>
        <w:t>2. Verify Docker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docker ps | grep autoimmune</w:t>
        <w:br/>
        <w:t># Expected: autoimmune-api + autoimmune-streamlit running</w:t>
      </w:r>
    </w:p>
    <w:p>
      <w:pPr>
        <w:pStyle w:val="Heading2"/>
      </w:pPr>
      <w:r>
        <w:t>3. Health Check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curl -s http://localhost:8532/health | python3 -m json.tool</w:t>
        <w:br/>
        <w:t># Expected: status: healthy, 14 collections listed</w:t>
      </w:r>
    </w:p>
    <w:p>
      <w:pPr>
        <w:pStyle w:val="Heading2"/>
      </w:pPr>
      <w:r>
        <w:t>4. Verify Streamlit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curl -s http://localhost:8531/_stcore/health</w:t>
        <w:br/>
        <w:t># Expected: "ok"</w:t>
      </w:r>
    </w:p>
    <w:p>
      <w:pPr>
        <w:pStyle w:val="Heading2"/>
      </w:pPr>
      <w:r>
        <w:t>5. Verify API Key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echo $ANTHROPIC_API_KEY | head -c 10</w:t>
        <w:br/>
        <w:t># Expected: sk-ant-api</w:t>
      </w:r>
    </w:p>
    <w:p>
      <w:pPr>
        <w:pStyle w:val="Heading2"/>
      </w:pPr>
      <w:r>
        <w:t>6. Open Browser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http://localhost:8531</w:t>
        <w:br/>
        <w:t># Expected: Precision Autoimmune Agent loads with 10 tabs</w:t>
      </w:r>
    </w:p>
    <w:p>
      <w:r>
        <w:br w:type="page"/>
      </w:r>
    </w:p>
    <w:p>
      <w:pPr>
        <w:pStyle w:val="Heading1"/>
      </w:pPr>
      <w:r>
        <w:t>Quick Reference — Key curl Commands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Health check</w:t>
        <w:br/>
        <w:t>curl -s http://localhost:8532/health | python3 -m json.tool</w:t>
        <w:br/>
        <w:br/>
        <w:t># List collections</w:t>
        <w:br/>
        <w:t>curl -s http://localhost:8532/collections | python3 -m json.tool</w:t>
        <w:br/>
        <w:br/>
        <w:t># RAG query</w:t>
        <w:br/>
        <w:t>curl -s -X POST http://localhost:8532/query \</w:t>
        <w:br/>
        <w:t xml:space="preserve">  -H 'Content-Type: application/json' \</w:t>
        <w:br/>
        <w:t xml:space="preserve">  -d '{"question":"SLE flare biomarkers","top_k":5}'</w:t>
        <w:br/>
        <w:br/>
        <w:t># Patient analysis</w:t>
        <w:br/>
        <w:t>curl -s -X POST http://localhost:8532/analyze \</w:t>
        <w:br/>
        <w:t xml:space="preserve">  -H 'Content-Type: application/json' \</w:t>
        <w:br/>
        <w:t xml:space="preserve">  -d '{"patient_id":"sarah_mitchell"}'</w:t>
        <w:br/>
        <w:br/>
        <w:t># Differential diagnosis</w:t>
        <w:br/>
        <w:t>curl -s -X POST http://localhost:8532/differential \</w:t>
        <w:br/>
        <w:t xml:space="preserve">  -H 'Content-Type: application/json' \</w:t>
        <w:br/>
        <w:t xml:space="preserve">  -d '{"positive_antibodies":["anti-dsDNA","anti-Smith","ANA"]}'</w:t>
        <w:br/>
        <w:br/>
        <w:t># Export report</w:t>
        <w:br/>
        <w:t>curl -s -X POST http://localhost:8532/export \</w:t>
        <w:br/>
        <w:t xml:space="preserve">  -H 'Content-Type: application/json' \</w:t>
        <w:br/>
        <w:t xml:space="preserve">  -d '{"patient_id":"sarah_mitchell","format":"fhir_r4"}'</w:t>
        <w:br/>
        <w:br/>
        <w:t># Demo data ingest</w:t>
        <w:br/>
        <w:t>curl -s -X POST http://localhost:8532/ingest/demo-data</w:t>
      </w:r>
    </w:p>
    <w:p>
      <w:r>
        <w:br w:type="page"/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Streamlit Tabs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Autoimmune Diseases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 (+ POTS/hEDS/MCAS triad)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Demo Patients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 (186 synthetic clinical PDFs)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Milvus Collections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Autoantibodies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 (30 disease associations)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HLA Alleles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 (34 disease associations)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Disease Activity Scores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 validated instruments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Biologic Therapies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 drugs (10 drug classes)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Flare Patterns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 diseases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Classification Criteria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diseases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Overlap Syndromes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Export Formats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(Markdown, PDF, FHIR R4)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API Endpoints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Pydantic Models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 (3 enums + 8 data + 3 collection records)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Test Pass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455/455 (100%) in 0.81s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Python Files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Lines of 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~19,800</w:t>
            </w:r>
          </w:p>
        </w:tc>
      </w:tr>
    </w:tbl>
    <w:p/>
    <w:p>
      <w:pPr>
        <w:pStyle w:val="Heading2"/>
      </w:pPr>
      <w:r>
        <w:t>Demo Patients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Patient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Age/Sex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Diagnosis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PDFs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Sarah Mitchell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Systemic Lupus (SLE) / Lupus Nephritis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Maya Rodriguez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POTS / hEDS / MCAS (dysautonomia triad)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Linda Chen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Sjögren's Syndrome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David Park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Ankylosing Spondylitis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Rachel Thompson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 Connective Tissue Disease (MCTD)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Emma Williams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Multiple Sclerosis (RRMS)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James Cooper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 1 Diabetes + Celiac Disease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Karen Foster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Systemic Sclerosis (dcSSc)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Michael Torres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Graves' Disease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</w:tr>
    </w:tbl>
    <w:p/>
    <w:p>
      <w:pPr>
        <w:jc w:val="center"/>
      </w:pPr>
      <w:r>
        <w:rPr>
          <w:color w:val="666666"/>
          <w:sz w:val="18"/>
        </w:rPr>
        <w:t>HCLS AI Factory — Precision Autoimmune Intelligence Agent | Apache 2.0 |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6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