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Precision Autoimmune Intelligence Agent -- Demo Guide</w:t>
      </w:r>
    </w:p>
    <w:p>
      <w:r/>
      <w:r>
        <w:rPr>
          <w:b/>
        </w:rPr>
        <w:t>Author:</w:t>
      </w:r>
      <w:r>
        <w:t xml:space="preserve"> Adam Jones</w:t>
      </w:r>
    </w:p>
    <w:p>
      <w:r/>
      <w:r>
        <w:rPr>
          <w:b/>
        </w:rPr>
        <w:t>Date:</w:t>
      </w:r>
      <w:r>
        <w:t xml:space="preserve"> March 2026</w:t>
      </w:r>
    </w:p>
    <w:p>
      <w:r>
        <w:t>&gt; Step-by-step walkthrough of all 10 Streamlit UI tabs using the 9 demo patients. Use this guide for live demos, recorded walkthroughs, and self-guided exploration.</w:t>
      </w:r>
    </w:p>
    <w:p>
      <w:r>
        <w:t>____________________________________________________________</w:t>
      </w:r>
    </w:p>
    <w:p>
      <w:pPr>
        <w:pStyle w:val="Heading2"/>
      </w:pPr>
      <w:r>
        <w:t>Prerequisites</w:t>
      </w:r>
    </w:p>
    <w:p>
      <w:r>
        <w:t>Before starting the demo, ensure:</w:t>
      </w:r>
    </w:p>
    <w:p>
      <w:pPr>
        <w:pStyle w:val="ListNumber"/>
      </w:pPr>
      <w:r/>
      <w:r>
        <w:rPr>
          <w:b/>
        </w:rPr>
        <w:t>Milvus</w:t>
      </w:r>
      <w:r>
        <w:t xml:space="preserve"> is running on </w:t>
      </w:r>
      <w:r>
        <w:rPr>
          <w:rFonts w:ascii="Consolas" w:hAnsi="Consolas"/>
          <w:color w:val="2E864B"/>
          <w:sz w:val="20"/>
        </w:rPr>
        <w:t>localhost:19530</w:t>
      </w:r>
      <w:r>
        <w:t xml:space="preserve"> with 14 autoimmune collections created</w:t>
      </w:r>
    </w:p>
    <w:p>
      <w:pPr>
        <w:pStyle w:val="ListNumber"/>
      </w:pPr>
      <w:r/>
      <w:r>
        <w:rPr>
          <w:b/>
        </w:rPr>
        <w:t>Streamlit UI</w:t>
      </w:r>
      <w:r>
        <w:t xml:space="preserve"> is running on </w:t>
      </w:r>
      <w:r>
        <w:rPr>
          <w:rFonts w:ascii="Consolas" w:hAnsi="Consolas"/>
          <w:color w:val="2E864B"/>
          <w:sz w:val="20"/>
        </w:rPr>
        <w:t>http://localhost:8531</w:t>
      </w:r>
      <w:r/>
    </w:p>
    <w:p>
      <w:pPr>
        <w:pStyle w:val="ListNumber"/>
      </w:pPr>
      <w:r/>
      <w:r>
        <w:rPr>
          <w:b/>
        </w:rPr>
        <w:t>FastAPI server</w:t>
      </w:r>
      <w:r>
        <w:t xml:space="preserve"> is running on </w:t>
      </w:r>
      <w:r>
        <w:rPr>
          <w:rFonts w:ascii="Consolas" w:hAnsi="Consolas"/>
          <w:color w:val="2E864B"/>
          <w:sz w:val="20"/>
        </w:rPr>
        <w:t>http://localhost:8532</w:t>
      </w:r>
      <w:r/>
    </w:p>
    <w:p>
      <w:pPr>
        <w:pStyle w:val="ListNumber"/>
      </w:pPr>
      <w:r/>
      <w:r>
        <w:rPr>
          <w:b/>
        </w:rPr>
        <w:t>Anthropic API key</w:t>
      </w:r>
      <w:r>
        <w:t xml:space="preserve"> is configured (for RAG queries in Tab 1 and patient analysis in Tab 2)</w:t>
      </w:r>
    </w:p>
    <w:p>
      <w:pPr>
        <w:pStyle w:val="ListNumber"/>
      </w:pPr>
      <w:r/>
      <w:r>
        <w:rPr>
          <w:b/>
        </w:rPr>
        <w:t>Demo patient data</w:t>
      </w:r>
      <w:r>
        <w:t xml:space="preserve"> has been generated and ingested</w:t>
      </w:r>
    </w:p>
    <w:p>
      <w:r>
        <w:t>Verify everything is ready: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cd ai_agent_adds/precision_autoimmune_agent</w:t>
        <w:br/>
        <w:br/>
        <w:t># Create collections and seed knowledge</w:t>
        <w:br/>
        <w:t>python3 scripts/setup_collections.py --seed</w:t>
        <w:br/>
        <w:br/>
        <w:t># Generate and ingest 9 demo patients</w:t>
        <w:br/>
        <w:t>python3 scripts/generate_demo_patients.py</w:t>
        <w:br/>
        <w:br/>
        <w:t># Run tests to verify</w:t>
        <w:br/>
        <w:t>python3 -m pytest tests/ -v</w:t>
        <w:br/>
        <w:t># -&gt; 455 tests passed</w:t>
      </w:r>
    </w:p>
    <w:p>
      <w:pPr>
        <w:pStyle w:val="Heading3"/>
      </w:pPr>
      <w:r>
        <w:t>Quick Health Check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Check Milvus</w:t>
        <w:br/>
        <w:t>curl -s http://localhost:19530/healthz</w:t>
        <w:br/>
        <w:t># Expected: {"status":"OK"}</w:t>
        <w:br/>
        <w:br/>
        <w:t># Check FastAPI</w:t>
        <w:br/>
        <w:t>curl -s http://localhost:8532/healthz</w:t>
        <w:br/>
        <w:t># Expected: {"status":"healthy","collections":14,"milvus":"connected"}</w:t>
        <w:br/>
        <w:br/>
        <w:t># Check Streamlit</w:t>
        <w:br/>
        <w:t>curl -s http://localhost:8531/_stcore/health</w:t>
        <w:br/>
        <w:t># Expected: "ok"</w:t>
      </w:r>
    </w:p>
    <w:p>
      <w:r>
        <w:t>If any service is not responding, see the Troubleshooting section at the end of this guide.</w:t>
      </w:r>
    </w:p>
    <w:p>
      <w:r>
        <w:t>____________________________________________________________</w:t>
      </w:r>
    </w:p>
    <w:p>
      <w:pPr>
        <w:pStyle w:val="Heading2"/>
      </w:pPr>
      <w:r>
        <w:t>Demo Flow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Tab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Time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Key Talking Points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1. Clinical Query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 min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RAG search across 14 collections, streaming responses, citation scoring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2. Patient Analysis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4 min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Full pipeline: autoantibodies + HLA + activity + flare + therapy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3. Document Ingest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 min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PDF upload, chunking, embedding, collection storage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4. Diagnostic Odyssey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 min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Timeline visualization, delays, pattern recognition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5. Autoantibody Panel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 min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Panel interpretation, disease associations, titer analysis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6. HLA Analysis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 min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Allele-disease mapping, odds ratios, population context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7. Disease Activity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 min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20 scoring systems, threshold-based classification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8. Flare Prediction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 min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Biomarker patterns, risk stratification, protective factors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9. Therapy Advisor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 min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22 biologics, PGx filtering, contraindications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10. Knowledge Base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 min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Collection stats, knowledge version, coverage summary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**Total**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**~27 min**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</w:r>
          </w:p>
        </w:tc>
      </w:tr>
    </w:tbl>
    <w:p>
      <w:pPr>
        <w:pStyle w:val="Heading3"/>
      </w:pPr>
      <w:r>
        <w:t>Recommended Demo Paths</w:t>
      </w:r>
    </w:p>
    <w:p>
      <w:r>
        <w:t xml:space="preserve">For a </w:t>
      </w:r>
      <w:r>
        <w:rPr>
          <w:b/>
        </w:rPr>
        <w:t>15-minute executive demo</w:t>
      </w:r>
      <w:r>
        <w:t>, focus on:</w:t>
      </w:r>
    </w:p>
    <w:p>
      <w:pPr>
        <w:pStyle w:val="ListBullet"/>
        <w:ind w:left="720"/>
      </w:pPr>
      <w:r>
        <w:t>Tab 1 (Clinical Query) with Sarah Mitchell -- 3 min</w:t>
      </w:r>
    </w:p>
    <w:p>
      <w:pPr>
        <w:pStyle w:val="ListBullet"/>
        <w:ind w:left="720"/>
      </w:pPr>
      <w:r>
        <w:t>Tab 2 (Patient Analysis) with Sarah Mitchell -- 4 min</w:t>
      </w:r>
    </w:p>
    <w:p>
      <w:pPr>
        <w:pStyle w:val="ListBullet"/>
        <w:ind w:left="720"/>
      </w:pPr>
      <w:r>
        <w:t>Tab 4 (Diagnostic Odyssey) with Sarah Mitchell -- 3 min</w:t>
      </w:r>
    </w:p>
    <w:p>
      <w:pPr>
        <w:pStyle w:val="ListBullet"/>
        <w:ind w:left="720"/>
      </w:pPr>
      <w:r>
        <w:t>Tab 9 (Therapy Advisor) with Rachel Thompson -- 3 min</w:t>
      </w:r>
    </w:p>
    <w:p>
      <w:pPr>
        <w:pStyle w:val="ListBullet"/>
        <w:ind w:left="720"/>
      </w:pPr>
      <w:r>
        <w:t>Tab 10 (Knowledge Base) -- 2 min</w:t>
      </w:r>
    </w:p>
    <w:p>
      <w:r>
        <w:t xml:space="preserve">For a </w:t>
      </w:r>
      <w:r>
        <w:rPr>
          <w:b/>
        </w:rPr>
        <w:t>10-minute technical demo</w:t>
      </w:r>
      <w:r>
        <w:t>, focus on:</w:t>
      </w:r>
    </w:p>
    <w:p>
      <w:pPr>
        <w:pStyle w:val="ListBullet"/>
        <w:ind w:left="720"/>
      </w:pPr>
      <w:r>
        <w:t>Tab 1 (Clinical Query) -- show streaming RAG -- 2 min</w:t>
      </w:r>
    </w:p>
    <w:p>
      <w:pPr>
        <w:pStyle w:val="ListBullet"/>
        <w:ind w:left="720"/>
      </w:pPr>
      <w:r>
        <w:t>Tab 3 (Document Ingest) -- show PDF pipeline -- 2 min</w:t>
      </w:r>
    </w:p>
    <w:p>
      <w:pPr>
        <w:pStyle w:val="ListBullet"/>
        <w:ind w:left="720"/>
      </w:pPr>
      <w:r>
        <w:t>Tab 5 (Autoantibody Panel) with James Cooper -- 2 min</w:t>
      </w:r>
    </w:p>
    <w:p>
      <w:pPr>
        <w:pStyle w:val="ListBullet"/>
        <w:ind w:left="720"/>
      </w:pPr>
      <w:r>
        <w:t>Tab 6 (HLA Analysis) with David Park -- 2 min</w:t>
      </w:r>
    </w:p>
    <w:p>
      <w:pPr>
        <w:pStyle w:val="ListBullet"/>
        <w:ind w:left="720"/>
      </w:pPr>
      <w:r>
        <w:t>Tab 10 (Knowledge Base) -- collection stats -- 2 min</w:t>
      </w:r>
    </w:p>
    <w:p>
      <w:r>
        <w:t>____________________________________________________________</w:t>
      </w:r>
    </w:p>
    <w:p>
      <w:pPr>
        <w:pStyle w:val="Heading2"/>
      </w:pPr>
      <w:r>
        <w:t>Patient 1: Sarah Mitchell -- SLE (Systemic Lupus Erythematosus)</w:t>
      </w:r>
    </w:p>
    <w:p>
      <w:pPr>
        <w:pStyle w:val="Heading3"/>
      </w:pPr>
      <w:r>
        <w:t>Key Narrative</w:t>
      </w:r>
    </w:p>
    <w:p>
      <w:r>
        <w:t>&gt; A 34-year-old woman with a 3-year diagnostic odyssey from initial fatigue and joint pain through multiple specialists before receiving a definitive SLE diagnosis. Positive ANA 1:640 homogeneous, anti-dsDNA positive, low C3/C4 complement. HLA-DRB1*03:01 carrier. Currently on hydroxychloroquine and mycophenolate with history of lupus nephritis (Class IV). 27 clinical documents spanning 2022-2025.</w:t>
      </w:r>
    </w:p>
    <w:p>
      <w:pPr>
        <w:pStyle w:val="Heading3"/>
      </w:pPr>
      <w:r>
        <w:t>Tab 1: Clinical Query</w:t>
      </w:r>
    </w:p>
    <w:p>
      <w:r/>
      <w:r>
        <w:rPr>
          <w:b/>
        </w:rPr>
        <w:t>Setup:</w:t>
      </w:r>
      <w:r>
        <w:t xml:space="preserve"> Navigate to Tab 1 (Clinical Query).</w:t>
      </w:r>
    </w:p>
    <w:p>
      <w:r/>
      <w:r>
        <w:rPr>
          <w:b/>
        </w:rPr>
        <w:t>Demo steps:</w:t>
      </w:r>
      <w:r/>
    </w:p>
    <w:p>
      <w:pPr>
        <w:pStyle w:val="ListNumber"/>
      </w:pPr>
      <w:r>
        <w:t xml:space="preserve">Type the query: </w:t>
      </w:r>
      <w:r>
        <w:rPr>
          <w:rFonts w:ascii="Consolas" w:hAnsi="Consolas"/>
          <w:color w:val="2E864B"/>
          <w:sz w:val="20"/>
        </w:rPr>
        <w:t>What is Sarah Mitchell's current disease status and flare risk?</w:t>
      </w:r>
      <w:r/>
    </w:p>
    <w:p>
      <w:pPr>
        <w:pStyle w:val="ListNumber"/>
      </w:pPr>
      <w:r>
        <w:t>Click Submit and watch the streaming response appear token by token</w:t>
      </w:r>
    </w:p>
    <w:p>
      <w:pPr>
        <w:pStyle w:val="ListNumber"/>
      </w:pPr>
      <w:r/>
      <w:r>
        <w:rPr>
          <w:b/>
        </w:rPr>
        <w:t>Point out key elements in the response:</w:t>
      </w:r>
      <w:r/>
    </w:p>
    <w:p>
      <w:pPr>
        <w:pStyle w:val="ListBullet"/>
        <w:ind w:left="1077"/>
      </w:pPr>
      <w:r>
        <w:t>Evidence sources from multiple collections (clinical documents, lab results, autoantibody panels)</w:t>
      </w:r>
    </w:p>
    <w:p>
      <w:pPr>
        <w:pStyle w:val="ListBullet"/>
        <w:ind w:left="1077"/>
      </w:pPr>
      <w:r>
        <w:t>Citation confidence levels displayed as badges (High, Medium, Low)</w:t>
      </w:r>
    </w:p>
    <w:p>
      <w:pPr>
        <w:pStyle w:val="ListBullet"/>
        <w:ind w:left="1077"/>
      </w:pPr>
      <w:r>
        <w:t>The response references specific lab values from ingested documents</w:t>
      </w:r>
    </w:p>
    <w:p>
      <w:pPr>
        <w:pStyle w:val="ListBullet"/>
        <w:ind w:left="1077"/>
      </w:pPr>
      <w:r>
        <w:t>The answer is grounded in domain-specific knowledge, not general LLM output</w:t>
      </w:r>
    </w:p>
    <w:p>
      <w:pPr>
        <w:pStyle w:val="ListNumber"/>
      </w:pPr>
      <w:r>
        <w:t xml:space="preserve">Type a follow-up query: </w:t>
      </w:r>
      <w:r>
        <w:rPr>
          <w:rFonts w:ascii="Consolas" w:hAnsi="Consolas"/>
          <w:color w:val="2E864B"/>
          <w:sz w:val="20"/>
        </w:rPr>
        <w:t>Compare rituximab vs belimumab for Sarah's refractory lupus nephritis</w:t>
      </w:r>
      <w:r/>
    </w:p>
    <w:p>
      <w:pPr>
        <w:pStyle w:val="ListNumber"/>
      </w:pPr>
      <w:r/>
      <w:r>
        <w:rPr>
          <w:b/>
        </w:rPr>
        <w:t>Show collection sources</w:t>
      </w:r>
      <w:r>
        <w:t xml:space="preserve"> in the evidence panel:</w:t>
      </w:r>
    </w:p>
    <w:p>
      <w:pPr>
        <w:pStyle w:val="ListBullet"/>
        <w:ind w:left="1077"/>
      </w:pPr>
      <w:r/>
      <w:r>
        <w:rPr>
          <w:rFonts w:ascii="Consolas" w:hAnsi="Consolas"/>
          <w:color w:val="2E864B"/>
          <w:sz w:val="20"/>
        </w:rPr>
        <w:t>autoimmune_biologic_therapies</w:t>
      </w:r>
      <w:r>
        <w:t xml:space="preserve"> -- drug mechanism and indications</w:t>
      </w:r>
    </w:p>
    <w:p>
      <w:pPr>
        <w:pStyle w:val="ListBullet"/>
        <w:ind w:left="1077"/>
      </w:pPr>
      <w:r/>
      <w:r>
        <w:rPr>
          <w:rFonts w:ascii="Consolas" w:hAnsi="Consolas"/>
          <w:color w:val="2E864B"/>
          <w:sz w:val="20"/>
        </w:rPr>
        <w:t>autoimmune_clinical_documents</w:t>
      </w:r>
      <w:r>
        <w:t xml:space="preserve"> -- Sarah's actual clinical history</w:t>
      </w:r>
    </w:p>
    <w:p>
      <w:pPr>
        <w:pStyle w:val="ListBullet"/>
        <w:ind w:left="1077"/>
      </w:pPr>
      <w:r/>
      <w:r>
        <w:rPr>
          <w:rFonts w:ascii="Consolas" w:hAnsi="Consolas"/>
          <w:color w:val="2E864B"/>
          <w:sz w:val="20"/>
        </w:rPr>
        <w:t>autoimmune_literature</w:t>
      </w:r>
      <w:r>
        <w:t xml:space="preserve"> -- published evidence for rituximab vs belimumab</w:t>
      </w:r>
    </w:p>
    <w:p>
      <w:pPr>
        <w:pStyle w:val="ListBullet"/>
        <w:ind w:left="1077"/>
      </w:pPr>
      <w:r/>
      <w:r>
        <w:rPr>
          <w:rFonts w:ascii="Consolas" w:hAnsi="Consolas"/>
          <w:color w:val="2E864B"/>
          <w:sz w:val="20"/>
        </w:rPr>
        <w:t>autoimmune_pgx_rules</w:t>
      </w:r>
      <w:r>
        <w:t xml:space="preserve"> -- pharmacogenomic considerations</w:t>
      </w:r>
    </w:p>
    <w:p>
      <w:r/>
      <w:r>
        <w:rPr>
          <w:b/>
        </w:rPr>
        <w:t>Expected output highlights:</w:t>
      </w:r>
      <w:r/>
    </w:p>
    <w:p>
      <w:pPr>
        <w:pStyle w:val="ListBullet"/>
        <w:ind w:left="720"/>
      </w:pPr>
      <w:r>
        <w:t>Streaming response with 3-8 evidence citations</w:t>
      </w:r>
    </w:p>
    <w:p>
      <w:pPr>
        <w:pStyle w:val="ListBullet"/>
        <w:ind w:left="720"/>
      </w:pPr>
      <w:r>
        <w:t>Citations labeled by collection (e.g., "[Biologic Therapy: rituximab]", "[Clinical Document: sarah</w:t>
      </w:r>
      <w:r>
        <w:rPr>
          <w:i/>
        </w:rPr>
        <w:t>mitchell</w:t>
      </w:r>
      <w:r>
        <w:t>progress</w:t>
      </w:r>
      <w:r>
        <w:rPr>
          <w:i/>
        </w:rPr>
        <w:t>note</w:t>
      </w:r>
      <w:r>
        <w:t>2024-03]")</w:t>
      </w:r>
    </w:p>
    <w:p>
      <w:pPr>
        <w:pStyle w:val="ListBullet"/>
        <w:ind w:left="720"/>
      </w:pPr>
      <w:r>
        <w:t>Relevance scores for each citation (High &gt;= 0.80, Medium &gt;= 0.60)</w:t>
      </w:r>
    </w:p>
    <w:p>
      <w:r/>
      <w:r>
        <w:rPr>
          <w:b/>
        </w:rPr>
        <w:t>Key talking point:</w:t>
      </w:r>
      <w:r>
        <w:t xml:space="preserve"> </w:t>
      </w:r>
      <w:r>
        <w:rPr>
          <w:i/>
        </w:rPr>
        <w:t>"The RAG engine searches 14 specialized collections in parallel -- from autoantibody panels to biologic therapy databases to published literature -- and synthesizes a grounded answer with citations. This is not a general-purpose chatbot; every response is anchored in domain-specific knowledge."</w:t>
      </w:r>
      <w:r/>
    </w:p>
    <w:p>
      <w:pPr>
        <w:pStyle w:val="Heading3"/>
      </w:pPr>
      <w:r>
        <w:t>Tab 2: Patient Analysis</w:t>
      </w:r>
    </w:p>
    <w:p>
      <w:r/>
      <w:r>
        <w:rPr>
          <w:b/>
        </w:rPr>
        <w:t>Setup:</w:t>
      </w:r>
      <w:r>
        <w:t xml:space="preserve"> Navigate to Tab 2 (Patient Analysis).</w:t>
      </w:r>
    </w:p>
    <w:p>
      <w:r/>
      <w:r>
        <w:rPr>
          <w:b/>
        </w:rPr>
        <w:t>Demo steps:</w:t>
      </w:r>
      <w:r/>
    </w:p>
    <w:p>
      <w:pPr>
        <w:pStyle w:val="ListNumber"/>
      </w:pPr>
      <w:r>
        <w:t xml:space="preserve">Select </w:t>
      </w:r>
      <w:r>
        <w:rPr>
          <w:b/>
        </w:rPr>
        <w:t>Sarah Mitchell</w:t>
      </w:r>
      <w:r>
        <w:t xml:space="preserve"> from the patient dropdown</w:t>
      </w:r>
    </w:p>
    <w:p>
      <w:pPr>
        <w:pStyle w:val="ListNumber"/>
      </w:pPr>
      <w:r>
        <w:t xml:space="preserve">Click </w:t>
      </w:r>
      <w:r>
        <w:rPr>
          <w:b/>
        </w:rPr>
        <w:t>Run Full Analysis</w:t>
      </w:r>
      <w:r/>
    </w:p>
    <w:p>
      <w:pPr>
        <w:pStyle w:val="ListNumber"/>
      </w:pPr>
      <w:r>
        <w:t>Wait for the 5-step pipeline to complete (typically 10-30 seconds)</w:t>
      </w:r>
    </w:p>
    <w:p>
      <w:pPr>
        <w:pStyle w:val="ListNumber"/>
      </w:pPr>
      <w:r>
        <w:t>Walk through each section of the output:</w:t>
      </w:r>
    </w:p>
    <w:p>
      <w:r/>
      <w:r>
        <w:rPr>
          <w:b/>
        </w:rPr>
        <w:t>Section 1: Autoantibody Interpretation</w:t>
      </w:r>
      <w:r/>
    </w:p>
    <w:p>
      <w:pPr>
        <w:pStyle w:val="ListBullet"/>
        <w:ind w:left="1077"/>
      </w:pPr>
      <w:r>
        <w:t>ANA: 1:640, homogeneous pattern -- positive</w:t>
      </w:r>
    </w:p>
    <w:p>
      <w:pPr>
        <w:pStyle w:val="ListBullet"/>
        <w:ind w:left="1077"/>
      </w:pPr>
      <w:r>
        <w:t>Anti-dsDNA: positive -- highly specific for SLE (specificity ~95%)</w:t>
      </w:r>
    </w:p>
    <w:p>
      <w:pPr>
        <w:pStyle w:val="ListBullet"/>
        <w:ind w:left="1077"/>
      </w:pPr>
      <w:r>
        <w:t>Anti-Smith: positive -- pathognomonic for SLE</w:t>
      </w:r>
    </w:p>
    <w:p>
      <w:pPr>
        <w:pStyle w:val="ListBullet"/>
        <w:ind w:left="1077"/>
      </w:pPr>
      <w:r>
        <w:t>Show how each antibody maps to disease associations with sensitivity/specificity data</w:t>
      </w:r>
    </w:p>
    <w:p>
      <w:r/>
      <w:r>
        <w:rPr>
          <w:b/>
        </w:rPr>
        <w:t>Section 2: HLA Associations</w:t>
      </w:r>
      <w:r/>
    </w:p>
    <w:p>
      <w:pPr>
        <w:pStyle w:val="ListBullet"/>
        <w:ind w:left="1077"/>
      </w:pPr>
      <w:r>
        <w:t>HLA-DRB1*03:01 -- OR 2.4 for SLE, OR 3.1 for Sjogren's</w:t>
      </w:r>
    </w:p>
    <w:p>
      <w:pPr>
        <w:pStyle w:val="ListBullet"/>
        <w:ind w:left="1077"/>
      </w:pPr>
      <w:r>
        <w:t>Explain the concept of odds ratios and multi-disease risk</w:t>
      </w:r>
    </w:p>
    <w:p>
      <w:r/>
      <w:r>
        <w:rPr>
          <w:b/>
        </w:rPr>
        <w:t>Section 3: Disease Activity</w:t>
      </w:r>
      <w:r/>
    </w:p>
    <w:p>
      <w:pPr>
        <w:pStyle w:val="ListBullet"/>
        <w:ind w:left="1077"/>
      </w:pPr>
      <w:r>
        <w:t>SLEDAI-2K score calculation</w:t>
      </w:r>
    </w:p>
    <w:p>
      <w:pPr>
        <w:pStyle w:val="ListBullet"/>
        <w:ind w:left="1077"/>
      </w:pPr>
      <w:r>
        <w:t>Activity level classification (remission/low/moderate/high/very high)</w:t>
      </w:r>
    </w:p>
    <w:p>
      <w:pPr>
        <w:pStyle w:val="ListBullet"/>
        <w:ind w:left="1077"/>
      </w:pPr>
      <w:r>
        <w:t>Score components breakdown</w:t>
      </w:r>
    </w:p>
    <w:p>
      <w:r/>
      <w:r>
        <w:rPr>
          <w:b/>
        </w:rPr>
        <w:t>Section 4: Flare Prediction</w:t>
      </w:r>
      <w:r/>
    </w:p>
    <w:p>
      <w:pPr>
        <w:pStyle w:val="ListBullet"/>
        <w:ind w:left="1077"/>
      </w:pPr>
      <w:r>
        <w:t>Risk score (0.0-1.0) with classification (imminent/high/moderate/low)</w:t>
      </w:r>
    </w:p>
    <w:p>
      <w:pPr>
        <w:pStyle w:val="ListBullet"/>
        <w:ind w:left="1077"/>
      </w:pPr>
      <w:r>
        <w:t>Contributing factors (rising anti-dsDNA, falling complement C3)</w:t>
      </w:r>
    </w:p>
    <w:p>
      <w:pPr>
        <w:pStyle w:val="ListBullet"/>
        <w:ind w:left="1077"/>
      </w:pPr>
      <w:r>
        <w:t>Protective factors (stable hydroxychloroquine adherence)</w:t>
      </w:r>
    </w:p>
    <w:p>
      <w:r/>
      <w:r>
        <w:rPr>
          <w:b/>
        </w:rPr>
        <w:t>Section 5: Biologic Therapy Recommendations</w:t>
      </w:r>
      <w:r/>
    </w:p>
    <w:p>
      <w:pPr>
        <w:pStyle w:val="ListBullet"/>
        <w:ind w:left="1077"/>
      </w:pPr>
      <w:r>
        <w:t>Ranked list of indicated biologics</w:t>
      </w:r>
    </w:p>
    <w:p>
      <w:pPr>
        <w:pStyle w:val="ListBullet"/>
        <w:ind w:left="1077"/>
      </w:pPr>
      <w:r>
        <w:t>PGx considerations for each drug</w:t>
      </w:r>
    </w:p>
    <w:p>
      <w:pPr>
        <w:pStyle w:val="ListBullet"/>
        <w:ind w:left="1077"/>
      </w:pPr>
      <w:r>
        <w:t>Contraindications and required monitoring</w:t>
      </w:r>
    </w:p>
    <w:p>
      <w:pPr>
        <w:pStyle w:val="ListNumber"/>
      </w:pPr>
      <w:r/>
      <w:r>
        <w:rPr>
          <w:b/>
        </w:rPr>
        <w:t>Point out cross-agent findings</w:t>
      </w:r>
      <w:r>
        <w:t xml:space="preserve"> -- How biomarker results from the Biomarker Agent can feed into autoimmune analysis</w:t>
      </w:r>
    </w:p>
    <w:p>
      <w:r/>
      <w:r>
        <w:rPr>
          <w:b/>
        </w:rPr>
        <w:t>Expected output highlights:</w:t>
      </w:r>
      <w:r/>
    </w:p>
    <w:p>
      <w:pPr>
        <w:pStyle w:val="ListBullet"/>
        <w:ind w:left="720"/>
      </w:pPr>
      <w:r>
        <w:t>Complete analysis result with all 5 sections populated</w:t>
      </w:r>
    </w:p>
    <w:p>
      <w:pPr>
        <w:pStyle w:val="ListBullet"/>
        <w:ind w:left="720"/>
      </w:pPr>
      <w:r>
        <w:t>Critical alerts highlighted (if disease activity is high or flare risk is imminent)</w:t>
      </w:r>
    </w:p>
    <w:p>
      <w:pPr>
        <w:pStyle w:val="ListBullet"/>
        <w:ind w:left="720"/>
      </w:pPr>
      <w:r>
        <w:t>Therapy recommendations with PGx context</w:t>
      </w:r>
    </w:p>
    <w:p>
      <w:r/>
      <w:r>
        <w:rPr>
          <w:b/>
        </w:rPr>
        <w:t>Key talking point:</w:t>
      </w:r>
      <w:r>
        <w:t xml:space="preserve"> </w:t>
      </w:r>
      <w:r>
        <w:rPr>
          <w:i/>
        </w:rPr>
        <w:t>"In under 30 seconds, we go from raw clinical data to a complete autoimmune intelligence report -- autoantibody interpretation, HLA risk analysis, disease activity scoring, flare prediction, and therapy recommendations. A rheumatologist would need hours to synthesize this from scattered records."</w:t>
      </w:r>
      <w:r/>
    </w:p>
    <w:p>
      <w:pPr>
        <w:pStyle w:val="Heading3"/>
      </w:pPr>
      <w:r>
        <w:t>Tab 3: Document Ingest</w:t>
      </w:r>
    </w:p>
    <w:p>
      <w:r/>
      <w:r>
        <w:rPr>
          <w:b/>
        </w:rPr>
        <w:t>Setup:</w:t>
      </w:r>
      <w:r>
        <w:t xml:space="preserve"> Navigate to Tab 3 (Document Ingest).</w:t>
      </w:r>
    </w:p>
    <w:p>
      <w:r/>
      <w:r>
        <w:rPr>
          <w:b/>
        </w:rPr>
        <w:t>Demo steps:</w:t>
      </w:r>
      <w:r/>
    </w:p>
    <w:p>
      <w:pPr>
        <w:pStyle w:val="ListNumber"/>
      </w:pPr>
      <w:r>
        <w:t>Show the existing document list for Sarah Mitchell -- 27 clinical PDFs already ingested</w:t>
      </w:r>
    </w:p>
    <w:p>
      <w:pPr>
        <w:pStyle w:val="ListNumber"/>
      </w:pPr>
      <w:r/>
      <w:r>
        <w:rPr>
          <w:b/>
        </w:rPr>
        <w:t>Explain the ingestion pipeline</w:t>
      </w:r>
      <w:r>
        <w:t xml:space="preserve"> by walking through the stages:</w:t>
      </w:r>
    </w:p>
    <w:p>
      <w:pPr>
        <w:pStyle w:val="ListBullet"/>
        <w:ind w:left="1077"/>
      </w:pPr>
      <w:r>
        <w:t>PDF upload -&gt; page-by-page text extraction (PyPDF2)</w:t>
      </w:r>
    </w:p>
    <w:p>
      <w:pPr>
        <w:pStyle w:val="ListBullet"/>
        <w:ind w:left="1077"/>
      </w:pPr>
      <w:r>
        <w:t>Text chunking: 2,500 character chunks with 200 character overlap</w:t>
      </w:r>
    </w:p>
    <w:p>
      <w:pPr>
        <w:pStyle w:val="ListBullet"/>
        <w:ind w:left="1077"/>
      </w:pPr>
      <w:r>
        <w:t>Document type classification (7 types: lab report, progress note, imaging, pathology, genetic, referral, medication list)</w:t>
      </w:r>
    </w:p>
    <w:p>
      <w:pPr>
        <w:pStyle w:val="ListBullet"/>
        <w:ind w:left="1077"/>
      </w:pPr>
      <w:r>
        <w:t>Medical specialty detection (11 specialties)</w:t>
      </w:r>
    </w:p>
    <w:p>
      <w:pPr>
        <w:pStyle w:val="ListBullet"/>
        <w:ind w:left="1077"/>
      </w:pPr>
      <w:r>
        <w:t>Entity extraction: autoantibody names (29 patterns), lab test values (45 patterns)</w:t>
      </w:r>
    </w:p>
    <w:p>
      <w:pPr>
        <w:pStyle w:val="ListBullet"/>
        <w:ind w:left="1077"/>
      </w:pPr>
      <w:r>
        <w:t>BGE-small-en-v1.5 embedding (384 dimensions)</w:t>
      </w:r>
    </w:p>
    <w:p>
      <w:pPr>
        <w:pStyle w:val="ListBullet"/>
        <w:ind w:left="1077"/>
      </w:pPr>
      <w:r>
        <w:t xml:space="preserve">Milvus vector insert into </w:t>
      </w:r>
      <w:r>
        <w:rPr>
          <w:rFonts w:ascii="Consolas" w:hAnsi="Consolas"/>
          <w:color w:val="2E864B"/>
          <w:sz w:val="20"/>
        </w:rPr>
        <w:t>autoimmune_clinical_documents</w:t>
      </w:r>
      <w:r>
        <w:t xml:space="preserve"> collection</w:t>
      </w:r>
    </w:p>
    <w:p>
      <w:pPr>
        <w:pStyle w:val="ListNumber"/>
      </w:pPr>
      <w:r>
        <w:t>Point out the document type breakdown for Sarah:</w:t>
      </w:r>
    </w:p>
    <w:p>
      <w:pPr>
        <w:pStyle w:val="ListBullet"/>
        <w:ind w:left="1077"/>
      </w:pPr>
      <w:r>
        <w:t>Progress notes (rheumatology, nephrology, dermatology)</w:t>
      </w:r>
    </w:p>
    <w:p>
      <w:pPr>
        <w:pStyle w:val="ListBullet"/>
        <w:ind w:left="1077"/>
      </w:pPr>
      <w:r>
        <w:t>Lab reports (autoantibody panels, CBC, CMP, complement levels)</w:t>
      </w:r>
    </w:p>
    <w:p>
      <w:pPr>
        <w:pStyle w:val="ListBullet"/>
        <w:ind w:left="1077"/>
      </w:pPr>
      <w:r>
        <w:t>Imaging reports (chest X-ray, renal ultrasound)</w:t>
      </w:r>
    </w:p>
    <w:p>
      <w:pPr>
        <w:pStyle w:val="ListBullet"/>
        <w:ind w:left="1077"/>
      </w:pPr>
      <w:r>
        <w:t>Pathology (renal biopsy -- Class IV lupus nephritis)</w:t>
      </w:r>
    </w:p>
    <w:p>
      <w:pPr>
        <w:pStyle w:val="ListBullet"/>
        <w:ind w:left="1077"/>
      </w:pPr>
      <w:r>
        <w:t>Referral letters</w:t>
      </w:r>
    </w:p>
    <w:p>
      <w:pPr>
        <w:pStyle w:val="ListNumber"/>
      </w:pPr>
      <w:r>
        <w:t>Optionally upload a new test PDF to demonstrate the live pipeline</w:t>
      </w:r>
    </w:p>
    <w:p>
      <w:r/>
      <w:r>
        <w:rPr>
          <w:b/>
        </w:rPr>
        <w:t>Expected output highlights:</w:t>
      </w:r>
      <w:r/>
    </w:p>
    <w:p>
      <w:pPr>
        <w:pStyle w:val="ListBullet"/>
        <w:ind w:left="720"/>
      </w:pPr>
      <w:r>
        <w:t>Document list with type classification, specialty, provider, and date</w:t>
      </w:r>
    </w:p>
    <w:p>
      <w:pPr>
        <w:pStyle w:val="ListBullet"/>
        <w:ind w:left="720"/>
      </w:pPr>
      <w:r>
        <w:t>Chunk count per document (typical: 3-8 chunks per PDF page)</w:t>
      </w:r>
    </w:p>
    <w:p>
      <w:pPr>
        <w:pStyle w:val="ListBullet"/>
        <w:ind w:left="720"/>
      </w:pPr>
      <w:r>
        <w:t>Successful embedding and storage confirmation</w:t>
      </w:r>
    </w:p>
    <w:p>
      <w:r/>
      <w:r>
        <w:rPr>
          <w:b/>
        </w:rPr>
        <w:t>Key talking point:</w:t>
      </w:r>
      <w:r>
        <w:t xml:space="preserve"> </w:t>
      </w:r>
      <w:r>
        <w:rPr>
          <w:i/>
        </w:rPr>
        <w:t>"Every clinical document is chunked, embedded, and stored as searchable vectors. When you ask a question, the RAG engine can pull relevant passages from any document in the patient's history -- not just structured data, but the actual clinical narrative."</w:t>
      </w:r>
      <w:r/>
    </w:p>
    <w:p>
      <w:pPr>
        <w:pStyle w:val="Heading3"/>
      </w:pPr>
      <w:r>
        <w:t>Tab 4: Diagnostic Odyssey</w:t>
      </w:r>
    </w:p>
    <w:p>
      <w:r/>
      <w:r>
        <w:rPr>
          <w:b/>
        </w:rPr>
        <w:t>Setup:</w:t>
      </w:r>
      <w:r>
        <w:t xml:space="preserve"> Navigate to Tab 4 (Diagnostic Odyssey).</w:t>
      </w:r>
    </w:p>
    <w:p>
      <w:r/>
      <w:r>
        <w:rPr>
          <w:b/>
        </w:rPr>
        <w:t>Demo steps:</w:t>
      </w:r>
      <w:r/>
    </w:p>
    <w:p>
      <w:pPr>
        <w:pStyle w:val="ListNumber"/>
      </w:pPr>
      <w:r>
        <w:t xml:space="preserve">Select </w:t>
      </w:r>
      <w:r>
        <w:rPr>
          <w:b/>
        </w:rPr>
        <w:t>Sarah Mitchell</w:t>
      </w:r>
      <w:r>
        <w:t xml:space="preserve"> from the patient dropdown</w:t>
      </w:r>
    </w:p>
    <w:p>
      <w:pPr>
        <w:pStyle w:val="ListNumber"/>
      </w:pPr>
      <w:r/>
      <w:r>
        <w:rPr>
          <w:b/>
        </w:rPr>
        <w:t>Show the timeline visualization</w:t>
      </w:r>
      <w:r>
        <w:t xml:space="preserve"> -- a chronological view of the diagnostic journey from first symptoms (March 2022) to SLE diagnosis (May 2023)</w:t>
      </w:r>
    </w:p>
    <w:p>
      <w:pPr>
        <w:pStyle w:val="ListNumber"/>
      </w:pPr>
      <w:r>
        <w:t>Walk through the key events on the timeline:</w:t>
      </w:r>
    </w:p>
    <w:p>
      <w:pPr>
        <w:pStyle w:val="ListBullet"/>
        <w:ind w:left="1077"/>
      </w:pPr>
      <w:r>
        <w:t>2022-03:** Annual physical -- fatigue dismissed as stress (symptom onset)</w:t>
      </w:r>
    </w:p>
    <w:p>
      <w:pPr>
        <w:pStyle w:val="ListBullet"/>
        <w:ind w:left="1077"/>
      </w:pPr>
      <w:r>
        <w:t>2022-06:** Follow-up -- joint pain reported, CBC/CMP ordered (first labs)</w:t>
      </w:r>
    </w:p>
    <w:p>
      <w:pPr>
        <w:pStyle w:val="ListBullet"/>
        <w:ind w:left="1077"/>
      </w:pPr>
      <w:r>
        <w:t>2022-10:** ANA ordered after persistent symptoms (first autoimmune test)</w:t>
      </w:r>
    </w:p>
    <w:p>
      <w:pPr>
        <w:pStyle w:val="ListBullet"/>
        <w:ind w:left="1077"/>
      </w:pPr>
      <w:r>
        <w:t>2023-01:** Dermatology referral for malar rash (referral)</w:t>
      </w:r>
    </w:p>
    <w:p>
      <w:pPr>
        <w:pStyle w:val="ListBullet"/>
        <w:ind w:left="1077"/>
      </w:pPr>
      <w:r>
        <w:t>2023-04:** Rheumatology referral -- full autoimmune panel ordered (turning point)</w:t>
      </w:r>
    </w:p>
    <w:p>
      <w:pPr>
        <w:pStyle w:val="ListBullet"/>
        <w:ind w:left="1077"/>
      </w:pPr>
      <w:r>
        <w:t>2023-05:** Definitive SLE diagnosis -- ANA 1:640, anti-dsDNA+, anti-Smith+ (diagnosis)</w:t>
      </w:r>
    </w:p>
    <w:p>
      <w:pPr>
        <w:pStyle w:val="ListBullet"/>
        <w:ind w:left="1077"/>
      </w:pPr>
      <w:r>
        <w:t>2023-09:** Nephrology consult -- proteinuria detected (complication)</w:t>
      </w:r>
    </w:p>
    <w:p>
      <w:pPr>
        <w:pStyle w:val="ListBullet"/>
        <w:ind w:left="1077"/>
      </w:pPr>
      <w:r>
        <w:t>2023-10:** Renal biopsy -- Class IV lupus nephritis (procedure)</w:t>
      </w:r>
    </w:p>
    <w:p>
      <w:pPr>
        <w:pStyle w:val="ListNumber"/>
      </w:pPr>
      <w:r/>
      <w:r>
        <w:rPr>
          <w:b/>
        </w:rPr>
        <w:t>Highlight the diagnostic delay</w:t>
      </w:r>
      <w:r>
        <w:t xml:space="preserve"> -- 14 months from first symptom to correct diagnosis</w:t>
      </w:r>
    </w:p>
    <w:p>
      <w:pPr>
        <w:pStyle w:val="ListNumber"/>
      </w:pPr>
      <w:r/>
      <w:r>
        <w:rPr>
          <w:b/>
        </w:rPr>
        <w:t>Show event classification</w:t>
      </w:r>
      <w:r>
        <w:t xml:space="preserve"> -- each event is classified by type (symptom onset, diagnosis, misdiagnosis, lab result, imaging, biopsy, referral, ER visit, treatment start, treatment change, flare)</w:t>
      </w:r>
    </w:p>
    <w:p>
      <w:pPr>
        <w:pStyle w:val="ListNumber"/>
      </w:pPr>
      <w:r/>
      <w:r>
        <w:rPr>
          <w:b/>
        </w:rPr>
        <w:t>Show the specialists seen</w:t>
      </w:r>
      <w:r>
        <w:t xml:space="preserve"> -- primary care, dermatology, rheumatology, nephrology</w:t>
      </w:r>
    </w:p>
    <w:p>
      <w:pPr>
        <w:pStyle w:val="ListNumber"/>
      </w:pPr>
      <w:r>
        <w:t>Point out the pattern: initial dismissal -&gt; delayed testing -&gt; specialist referral -&gt; diagnosis</w:t>
      </w:r>
    </w:p>
    <w:p>
      <w:r/>
      <w:r>
        <w:rPr>
          <w:b/>
        </w:rPr>
        <w:t>Expected output highlights:</w:t>
      </w:r>
      <w:r/>
    </w:p>
    <w:p>
      <w:pPr>
        <w:pStyle w:val="ListBullet"/>
        <w:ind w:left="720"/>
      </w:pPr>
      <w:r>
        <w:t>Chronological timeline with color-coded event types</w:t>
      </w:r>
    </w:p>
    <w:p>
      <w:pPr>
        <w:pStyle w:val="ListBullet"/>
        <w:ind w:left="720"/>
      </w:pPr>
      <w:r>
        <w:t>Days-from-first-symptom calculation for each event</w:t>
      </w:r>
    </w:p>
    <w:p>
      <w:pPr>
        <w:pStyle w:val="ListBullet"/>
        <w:ind w:left="720"/>
      </w:pPr>
      <w:r>
        <w:t>Total diagnostic delay prominently displayed</w:t>
      </w:r>
    </w:p>
    <w:p>
      <w:r/>
      <w:r>
        <w:rPr>
          <w:b/>
        </w:rPr>
        <w:t>Key talking point:</w:t>
      </w:r>
      <w:r>
        <w:t xml:space="preserve"> </w:t>
      </w:r>
      <w:r>
        <w:rPr>
          <w:i/>
        </w:rPr>
        <w:t>"The diagnostic odyssey analyzer reveals the full timeline of Sarah's journey -- 14 months from first symptoms to diagnosis, 4 different specialists, multiple dismissals. The average lupus patient sees 4 physicians over 4 years before diagnosis. This tool makes that delay visible and actionable."</w:t>
      </w:r>
      <w:r/>
    </w:p>
    <w:p>
      <w:pPr>
        <w:pStyle w:val="Heading3"/>
      </w:pPr>
      <w:r>
        <w:t>Tab 5: Autoantibody Panel</w:t>
      </w:r>
    </w:p>
    <w:p>
      <w:r/>
      <w:r>
        <w:rPr>
          <w:b/>
        </w:rPr>
        <w:t>Setup:</w:t>
      </w:r>
      <w:r>
        <w:t xml:space="preserve"> Navigate to Tab 5 (Autoantibody Panel).</w:t>
      </w:r>
    </w:p>
    <w:p>
      <w:r/>
      <w:r>
        <w:rPr>
          <w:b/>
        </w:rPr>
        <w:t>Demo steps:</w:t>
      </w:r>
      <w:r/>
    </w:p>
    <w:p>
      <w:pPr>
        <w:pStyle w:val="ListNumber"/>
      </w:pPr>
      <w:r>
        <w:t xml:space="preserve">Select </w:t>
      </w:r>
      <w:r>
        <w:rPr>
          <w:b/>
        </w:rPr>
        <w:t>Sarah Mitchell</w:t>
      </w:r>
      <w:r>
        <w:t xml:space="preserve"> from the patient dropdown</w:t>
      </w:r>
    </w:p>
    <w:p>
      <w:pPr>
        <w:pStyle w:val="ListNumber"/>
      </w:pPr>
      <w:r/>
      <w:r>
        <w:rPr>
          <w:b/>
        </w:rPr>
        <w:t>Show Sarah's autoantibody panel:</w:t>
      </w:r>
      <w:r/>
    </w:p>
    <w:p>
      <w:pPr>
        <w:pStyle w:val="ListBullet"/>
        <w:ind w:left="1077"/>
      </w:pPr>
      <w:r>
        <w:t>ANA: 1:640, homogeneous pattern -- positive</w:t>
      </w:r>
    </w:p>
    <w:p>
      <w:pPr>
        <w:pStyle w:val="ListBullet"/>
        <w:ind w:left="1077"/>
      </w:pPr>
      <w:r>
        <w:t>Anti-dsDNA: positive -- highly specific for SLE (specificity ~95%)</w:t>
      </w:r>
    </w:p>
    <w:p>
      <w:pPr>
        <w:pStyle w:val="ListBullet"/>
        <w:ind w:left="1077"/>
      </w:pPr>
      <w:r>
        <w:t>Anti-Smith: positive -- pathognomonic for SLE (specificity ~99%)</w:t>
      </w:r>
    </w:p>
    <w:p>
      <w:pPr>
        <w:pStyle w:val="ListBullet"/>
        <w:ind w:left="1077"/>
      </w:pPr>
      <w:r>
        <w:t>C3: low (48 mg/dL, normal 90-180) -- complement consumption</w:t>
      </w:r>
    </w:p>
    <w:p>
      <w:pPr>
        <w:pStyle w:val="ListBullet"/>
        <w:ind w:left="1077"/>
      </w:pPr>
      <w:r>
        <w:t>C4: low (6 mg/dL, normal 16-47) -- complement consumption</w:t>
      </w:r>
    </w:p>
    <w:p>
      <w:pPr>
        <w:pStyle w:val="ListNumber"/>
      </w:pPr>
      <w:r/>
      <w:r>
        <w:rPr>
          <w:b/>
        </w:rPr>
        <w:t>Show disease association scoring:</w:t>
      </w:r>
      <w:r/>
    </w:p>
    <w:p>
      <w:pPr>
        <w:pStyle w:val="ListBullet"/>
        <w:ind w:left="1077"/>
      </w:pPr>
      <w:r>
        <w:t>Each positive antibody maps to diseases with sensitivity and specificity data</w:t>
      </w:r>
    </w:p>
    <w:p>
      <w:pPr>
        <w:pStyle w:val="ListBullet"/>
        <w:ind w:left="1077"/>
      </w:pPr>
      <w:r>
        <w:t>The combination score shows high confidence for SLE</w:t>
      </w:r>
    </w:p>
    <w:p>
      <w:pPr>
        <w:pStyle w:val="ListBullet"/>
        <w:ind w:left="1077"/>
      </w:pPr>
      <w:r>
        <w:t>Individual antibody associations are displayed with evidence quality</w:t>
      </w:r>
    </w:p>
    <w:p>
      <w:pPr>
        <w:pStyle w:val="ListNumber"/>
      </w:pPr>
      <w:r/>
      <w:r>
        <w:rPr>
          <w:b/>
        </w:rPr>
        <w:t>Contrast with ANA alone:</w:t>
      </w:r>
      <w:r/>
    </w:p>
    <w:p>
      <w:pPr>
        <w:pStyle w:val="ListBullet"/>
        <w:ind w:left="1077"/>
      </w:pPr>
      <w:r>
        <w:t>ANA 1:640 homogeneous is found in 5-15% of healthy individuals</w:t>
      </w:r>
    </w:p>
    <w:p>
      <w:pPr>
        <w:pStyle w:val="ListBullet"/>
        <w:ind w:left="1077"/>
      </w:pPr>
      <w:r>
        <w:t>The specificity comes from the combination: ANA + anti-dsDNA + anti-Smith + low complements</w:t>
      </w:r>
    </w:p>
    <w:p>
      <w:r/>
      <w:r>
        <w:rPr>
          <w:b/>
        </w:rPr>
        <w:t>Expected output highlights:</w:t>
      </w:r>
      <w:r/>
    </w:p>
    <w:p>
      <w:pPr>
        <w:pStyle w:val="ListBullet"/>
        <w:ind w:left="720"/>
      </w:pPr>
      <w:r>
        <w:t>Antibody results table with positive/negative status</w:t>
      </w:r>
    </w:p>
    <w:p>
      <w:pPr>
        <w:pStyle w:val="ListBullet"/>
        <w:ind w:left="720"/>
      </w:pPr>
      <w:r>
        <w:t>Disease association matrix showing which diseases each antibody is associated with</w:t>
      </w:r>
    </w:p>
    <w:p>
      <w:pPr>
        <w:pStyle w:val="ListBullet"/>
        <w:ind w:left="720"/>
      </w:pPr>
      <w:r>
        <w:t>Combined confidence score for the most likely diagnosis</w:t>
      </w:r>
    </w:p>
    <w:p>
      <w:r/>
      <w:r>
        <w:rPr>
          <w:b/>
        </w:rPr>
        <w:t>Key talking point:</w:t>
      </w:r>
      <w:r>
        <w:t xml:space="preserve"> </w:t>
      </w:r>
      <w:r>
        <w:rPr>
          <w:i/>
        </w:rPr>
        <w:t>"ANA alone is found in 5-15% of healthy individuals. But ANA 1:640 homogeneous plus anti-dsDNA plus anti-Smith plus low complements -- that pattern is pathognomonic for SLE. The autoantibody interpreter understands these combinations, not just individual results."</w:t>
      </w:r>
      <w:r/>
    </w:p>
    <w:p>
      <w:pPr>
        <w:pStyle w:val="Heading3"/>
      </w:pPr>
      <w:r>
        <w:t>Tab 6: HLA Analysis</w:t>
      </w:r>
    </w:p>
    <w:p>
      <w:r/>
      <w:r>
        <w:rPr>
          <w:b/>
        </w:rPr>
        <w:t>Setup:</w:t>
      </w:r>
      <w:r>
        <w:t xml:space="preserve"> Navigate to Tab 6 (HLA Analysis).</w:t>
      </w:r>
    </w:p>
    <w:p>
      <w:r/>
      <w:r>
        <w:rPr>
          <w:b/>
        </w:rPr>
        <w:t>Demo steps:</w:t>
      </w:r>
      <w:r/>
    </w:p>
    <w:p>
      <w:pPr>
        <w:pStyle w:val="ListNumber"/>
      </w:pPr>
      <w:r>
        <w:t xml:space="preserve">Select </w:t>
      </w:r>
      <w:r>
        <w:rPr>
          <w:b/>
        </w:rPr>
        <w:t>Sarah Mitchell</w:t>
      </w:r>
      <w:r>
        <w:t xml:space="preserve"> from the patient dropdown</w:t>
      </w:r>
    </w:p>
    <w:p>
      <w:pPr>
        <w:pStyle w:val="ListNumber"/>
      </w:pPr>
      <w:r/>
      <w:r>
        <w:rPr>
          <w:b/>
        </w:rPr>
        <w:t>Show Sarah's HLA profile:</w:t>
      </w:r>
      <w:r/>
    </w:p>
    <w:p>
      <w:pPr>
        <w:pStyle w:val="ListBullet"/>
        <w:ind w:left="1077"/>
      </w:pPr>
      <w:r>
        <w:t>HLA-DRB1*03:01 -- OR 2.4 for SLE, OR 3.1 for Sjogren's</w:t>
      </w:r>
    </w:p>
    <w:p>
      <w:pPr>
        <w:pStyle w:val="ListNumber"/>
      </w:pPr>
      <w:r/>
      <w:r>
        <w:rPr>
          <w:b/>
        </w:rPr>
        <w:t>Point out multi-disease risk:</w:t>
      </w:r>
      <w:r/>
    </w:p>
    <w:p>
      <w:pPr>
        <w:pStyle w:val="ListBullet"/>
        <w:ind w:left="1077"/>
      </w:pPr>
      <w:r>
        <w:t>This single allele confers risk for SLE, Sjogren's, T1D, Graves, and Celiac</w:t>
      </w:r>
    </w:p>
    <w:p>
      <w:pPr>
        <w:pStyle w:val="ListBullet"/>
        <w:ind w:left="1077"/>
      </w:pPr>
      <w:r>
        <w:t>Explain that this is why autoimmune patients often develop multiple conditions</w:t>
      </w:r>
    </w:p>
    <w:p>
      <w:pPr>
        <w:pStyle w:val="ListNumber"/>
      </w:pPr>
      <w:r/>
      <w:r>
        <w:rPr>
          <w:b/>
        </w:rPr>
        <w:t>Show the odds ratio context:</w:t>
      </w:r>
      <w:r/>
    </w:p>
    <w:p>
      <w:pPr>
        <w:pStyle w:val="ListBullet"/>
        <w:ind w:left="1077"/>
      </w:pPr>
      <w:r>
        <w:t>Compare Sarah's HLA-DRB1</w:t>
      </w:r>
      <w:r>
        <w:rPr>
          <w:i/>
        </w:rPr>
        <w:t>03:01 (OR 2.4 for SLE) to HLA-B</w:t>
      </w:r>
      <w:r>
        <w:t>27:05 (OR 87.4 for AS)</w:t>
      </w:r>
    </w:p>
    <w:p>
      <w:pPr>
        <w:pStyle w:val="ListBullet"/>
        <w:ind w:left="1077"/>
      </w:pPr>
      <w:r>
        <w:t>Explain the wide range of HLA effect sizes across diseases</w:t>
      </w:r>
    </w:p>
    <w:p>
      <w:pPr>
        <w:pStyle w:val="ListNumber"/>
      </w:pPr>
      <w:r/>
      <w:r>
        <w:rPr>
          <w:b/>
        </w:rPr>
        <w:t>Discuss population context:</w:t>
      </w:r>
      <w:r/>
    </w:p>
    <w:p>
      <w:pPr>
        <w:pStyle w:val="ListBullet"/>
        <w:ind w:left="1077"/>
      </w:pPr>
      <w:r>
        <w:t>HLA allele frequencies vary by ethnic background</w:t>
      </w:r>
    </w:p>
    <w:p>
      <w:pPr>
        <w:pStyle w:val="ListBullet"/>
        <w:ind w:left="1077"/>
      </w:pPr>
      <w:r>
        <w:t>The odds ratios in the knowledge base are derived from published studies</w:t>
      </w:r>
    </w:p>
    <w:p>
      <w:r/>
      <w:r>
        <w:rPr>
          <w:b/>
        </w:rPr>
        <w:t>Expected output highlights:</w:t>
      </w:r>
      <w:r/>
    </w:p>
    <w:p>
      <w:pPr>
        <w:pStyle w:val="ListBullet"/>
        <w:ind w:left="720"/>
      </w:pPr>
      <w:r>
        <w:t>HLA allele table with associated diseases and odds ratios</w:t>
      </w:r>
    </w:p>
    <w:p>
      <w:pPr>
        <w:pStyle w:val="ListBullet"/>
        <w:ind w:left="720"/>
      </w:pPr>
      <w:r>
        <w:t>Multi-disease risk profile visualization</w:t>
      </w:r>
    </w:p>
    <w:p>
      <w:pPr>
        <w:pStyle w:val="ListBullet"/>
        <w:ind w:left="720"/>
      </w:pPr>
      <w:r>
        <w:t>Population frequency context</w:t>
      </w:r>
    </w:p>
    <w:p>
      <w:r/>
      <w:r>
        <w:rPr>
          <w:b/>
        </w:rPr>
        <w:t>Key talking point:</w:t>
      </w:r>
      <w:r>
        <w:t xml:space="preserve"> </w:t>
      </w:r>
      <w:r>
        <w:rPr>
          <w:i/>
        </w:rPr>
        <w:t>"HLA-DRB1</w:t>
      </w:r>
      <w:r>
        <w:t>03:01 is a shared risk allele for SLE, Sjogren's, Type 1 Diabetes, Graves, and Celiac. This is why autoimmune patients often develop multiple conditions -- they carry genetic risk across several diseases."*</w:t>
      </w:r>
    </w:p>
    <w:p>
      <w:r>
        <w:t>____________________________________________________________</w:t>
      </w:r>
    </w:p>
    <w:p>
      <w:pPr>
        <w:pStyle w:val="Heading2"/>
      </w:pPr>
      <w:r>
        <w:t>Patient 2: Rachel Thompson -- Mixed Connective Tissue Disease (MCTD)</w:t>
      </w:r>
    </w:p>
    <w:p>
      <w:pPr>
        <w:pStyle w:val="Heading3"/>
      </w:pPr>
      <w:r>
        <w:t>Key Narrative</w:t>
      </w:r>
    </w:p>
    <w:p>
      <w:r>
        <w:t>&gt; A 38-year-old woman with Mixed Connective Tissue Disease (MCTD), presenting with overlapping features of SLE, SSc, and myositis. Anti-U1 RNP strongly positive, Raynaud's phenomenon, swollen fingers, and inflammatory myopathy. Being managed with immunosuppressive therapy.</w:t>
      </w:r>
    </w:p>
    <w:p>
      <w:pPr>
        <w:pStyle w:val="Heading3"/>
      </w:pPr>
      <w:r>
        <w:t>Tab 2: Patient Analysis (Rachel Thompson)</w:t>
      </w:r>
    </w:p>
    <w:p>
      <w:r/>
      <w:r>
        <w:rPr>
          <w:b/>
        </w:rPr>
        <w:t>Setup:</w:t>
      </w:r>
      <w:r>
        <w:t xml:space="preserve"> Navigate to Tab 2 (Patient Analysis).</w:t>
      </w:r>
    </w:p>
    <w:p>
      <w:r/>
      <w:r>
        <w:rPr>
          <w:b/>
        </w:rPr>
        <w:t>Demo steps:</w:t>
      </w:r>
      <w:r/>
    </w:p>
    <w:p>
      <w:pPr>
        <w:pStyle w:val="ListNumber"/>
      </w:pPr>
      <w:r>
        <w:t xml:space="preserve">Select </w:t>
      </w:r>
      <w:r>
        <w:rPr>
          <w:b/>
        </w:rPr>
        <w:t>Rachel Thompson</w:t>
      </w:r>
      <w:r>
        <w:t xml:space="preserve"> from the patient dropdown</w:t>
      </w:r>
    </w:p>
    <w:p>
      <w:pPr>
        <w:pStyle w:val="ListNumber"/>
      </w:pPr>
      <w:r>
        <w:t xml:space="preserve">Click </w:t>
      </w:r>
      <w:r>
        <w:rPr>
          <w:b/>
        </w:rPr>
        <w:t>Run Full Analysis</w:t>
      </w:r>
      <w:r/>
    </w:p>
    <w:p>
      <w:pPr>
        <w:pStyle w:val="ListNumber"/>
      </w:pPr>
      <w:r/>
      <w:r>
        <w:rPr>
          <w:b/>
        </w:rPr>
        <w:t>Highlight the overlap syndrome detection:</w:t>
      </w:r>
      <w:r/>
    </w:p>
    <w:p>
      <w:pPr>
        <w:pStyle w:val="ListBullet"/>
        <w:ind w:left="1077"/>
      </w:pPr>
      <w:r>
        <w:t>The agent identifies MCTD as an overlap of SLE, SSc, and myositis features</w:t>
      </w:r>
    </w:p>
    <w:p>
      <w:pPr>
        <w:pStyle w:val="ListBullet"/>
        <w:ind w:left="1077"/>
      </w:pPr>
      <w:r>
        <w:t>Anti-U1 RNP is the hallmark antibody for MCTD</w:t>
      </w:r>
    </w:p>
    <w:p>
      <w:pPr>
        <w:pStyle w:val="ListBullet"/>
        <w:ind w:left="1077"/>
      </w:pPr>
      <w:r>
        <w:t>Disease activity must be tracked across multiple organ systems</w:t>
      </w:r>
    </w:p>
    <w:p>
      <w:pPr>
        <w:pStyle w:val="ListNumber"/>
      </w:pPr>
      <w:r/>
      <w:r>
        <w:rPr>
          <w:b/>
        </w:rPr>
        <w:t>Compare with Sarah's SLE analysis:</w:t>
      </w:r>
      <w:r/>
    </w:p>
    <w:p>
      <w:pPr>
        <w:pStyle w:val="ListBullet"/>
        <w:ind w:left="1077"/>
      </w:pPr>
      <w:r>
        <w:t>Sarah has a single disease (SLE) with clear classification criteria</w:t>
      </w:r>
    </w:p>
    <w:p>
      <w:pPr>
        <w:pStyle w:val="ListBullet"/>
        <w:ind w:left="1077"/>
      </w:pPr>
      <w:r>
        <w:t>Rachel's MCTD requires evaluating criteria from multiple diseases simultaneously</w:t>
      </w:r>
    </w:p>
    <w:p>
      <w:r/>
      <w:r>
        <w:rPr>
          <w:b/>
        </w:rPr>
        <w:t>Expected output highlights:</w:t>
      </w:r>
      <w:r/>
    </w:p>
    <w:p>
      <w:pPr>
        <w:pStyle w:val="ListBullet"/>
        <w:ind w:left="720"/>
      </w:pPr>
      <w:r>
        <w:t>Overlap syndrome identification (MCTD = SLE + SSc + myositis features)</w:t>
      </w:r>
    </w:p>
    <w:p>
      <w:pPr>
        <w:pStyle w:val="ListBullet"/>
        <w:ind w:left="720"/>
      </w:pPr>
      <w:r>
        <w:t>Multi-system disease activity assessment</w:t>
      </w:r>
    </w:p>
    <w:p>
      <w:pPr>
        <w:pStyle w:val="ListBullet"/>
        <w:ind w:left="720"/>
      </w:pPr>
      <w:r>
        <w:t>Therapy recommendations addressing the predominant features</w:t>
      </w:r>
    </w:p>
    <w:p>
      <w:r/>
      <w:r>
        <w:rPr>
          <w:b/>
        </w:rPr>
        <w:t>Key talking point:</w:t>
      </w:r>
      <w:r>
        <w:t xml:space="preserve"> </w:t>
      </w:r>
      <w:r>
        <w:rPr>
          <w:i/>
        </w:rPr>
        <w:t>"Rachel's case demonstrates why overlap syndromes are the hardest challenge in autoimmune medicine. The agent evaluates features across SLE, SSc, and myositis simultaneously and recommends therapy based on which features predominate."</w:t>
      </w:r>
      <w:r/>
    </w:p>
    <w:p>
      <w:pPr>
        <w:pStyle w:val="Heading3"/>
      </w:pPr>
      <w:r>
        <w:t>Tab 7: Disease Activity</w:t>
      </w:r>
    </w:p>
    <w:p>
      <w:r/>
      <w:r>
        <w:rPr>
          <w:b/>
        </w:rPr>
        <w:t>Setup:</w:t>
      </w:r>
      <w:r>
        <w:t xml:space="preserve"> Navigate to Tab 7 (Disease Activity).</w:t>
      </w:r>
    </w:p>
    <w:p>
      <w:r/>
      <w:r>
        <w:rPr>
          <w:b/>
        </w:rPr>
        <w:t>Demo steps:</w:t>
      </w:r>
      <w:r/>
    </w:p>
    <w:p>
      <w:pPr>
        <w:pStyle w:val="ListNumber"/>
      </w:pPr>
      <w:r>
        <w:t xml:space="preserve">Select </w:t>
      </w:r>
      <w:r>
        <w:rPr>
          <w:b/>
        </w:rPr>
        <w:t>Rachel Thompson</w:t>
      </w:r>
      <w:r>
        <w:t xml:space="preserve"> from the patient dropdown</w:t>
      </w:r>
    </w:p>
    <w:p>
      <w:pPr>
        <w:pStyle w:val="ListNumber"/>
      </w:pPr>
      <w:r/>
      <w:r>
        <w:rPr>
          <w:b/>
        </w:rPr>
        <w:t>Show disease activity scores:</w:t>
      </w:r>
      <w:r/>
    </w:p>
    <w:p>
      <w:pPr>
        <w:pStyle w:val="ListBullet"/>
        <w:ind w:left="1077"/>
      </w:pPr>
      <w:r>
        <w:t>MCTD activity assessment with component scores for each overlap domain</w:t>
      </w:r>
    </w:p>
    <w:p>
      <w:pPr>
        <w:pStyle w:val="ListBullet"/>
        <w:ind w:left="1077"/>
      </w:pPr>
      <w:r>
        <w:t>Joint involvement score (from SLE/RA criteria)</w:t>
      </w:r>
    </w:p>
    <w:p>
      <w:pPr>
        <w:pStyle w:val="ListBullet"/>
        <w:ind w:left="1077"/>
      </w:pPr>
      <w:r>
        <w:t>Myositis markers (CK, aldolase) contributing to myopathy assessment</w:t>
      </w:r>
    </w:p>
    <w:p>
      <w:pPr>
        <w:pStyle w:val="ListBullet"/>
        <w:ind w:left="1077"/>
      </w:pPr>
      <w:r>
        <w:t>Skin thickening score (from SSc modified Rodnan)</w:t>
      </w:r>
    </w:p>
    <w:p>
      <w:pPr>
        <w:pStyle w:val="ListBullet"/>
        <w:ind w:left="1077"/>
      </w:pPr>
      <w:r>
        <w:t>Serositis assessment</w:t>
      </w:r>
    </w:p>
    <w:p>
      <w:pPr>
        <w:pStyle w:val="ListNumber"/>
      </w:pPr>
      <w:r/>
      <w:r>
        <w:rPr>
          <w:b/>
        </w:rPr>
        <w:t>Compare scoring systems:</w:t>
      </w:r>
      <w:r/>
    </w:p>
    <w:p>
      <w:pPr>
        <w:pStyle w:val="ListBullet"/>
        <w:ind w:left="1077"/>
      </w:pPr>
      <w:r>
        <w:t>Show how SLEDAI-2K captures the lupus features</w:t>
      </w:r>
    </w:p>
    <w:p>
      <w:pPr>
        <w:pStyle w:val="ListBullet"/>
        <w:ind w:left="1077"/>
      </w:pPr>
      <w:r>
        <w:t>Show how the modified Rodnan skin score captures SSc features</w:t>
      </w:r>
    </w:p>
    <w:p>
      <w:pPr>
        <w:pStyle w:val="ListBullet"/>
        <w:ind w:left="1077"/>
      </w:pPr>
      <w:r>
        <w:t>Show how CK/aldolase track myositis activity</w:t>
      </w:r>
    </w:p>
    <w:p>
      <w:pPr>
        <w:pStyle w:val="ListNumber"/>
      </w:pPr>
      <w:r/>
      <w:r>
        <w:rPr>
          <w:b/>
        </w:rPr>
        <w:t>Point out the treatment monitoring complexity:</w:t>
      </w:r>
      <w:r/>
    </w:p>
    <w:p>
      <w:pPr>
        <w:pStyle w:val="ListBullet"/>
        <w:ind w:left="1077"/>
      </w:pPr>
      <w:r>
        <w:t>MCTD requires simultaneous monitoring of multiple organ systems</w:t>
      </w:r>
    </w:p>
    <w:p>
      <w:pPr>
        <w:pStyle w:val="ListBullet"/>
        <w:ind w:left="1077"/>
      </w:pPr>
      <w:r>
        <w:t>Different scoring systems are needed for different disease components</w:t>
      </w:r>
    </w:p>
    <w:p>
      <w:r/>
      <w:r>
        <w:rPr>
          <w:b/>
        </w:rPr>
        <w:t>Expected output highlights:</w:t>
      </w:r>
      <w:r/>
    </w:p>
    <w:p>
      <w:pPr>
        <w:pStyle w:val="ListBullet"/>
        <w:ind w:left="720"/>
      </w:pPr>
      <w:r>
        <w:t>Multi-system disease activity breakdown</w:t>
      </w:r>
    </w:p>
    <w:p>
      <w:pPr>
        <w:pStyle w:val="ListBullet"/>
        <w:ind w:left="720"/>
      </w:pPr>
      <w:r>
        <w:t>Activity level classification per domain</w:t>
      </w:r>
    </w:p>
    <w:p>
      <w:pPr>
        <w:pStyle w:val="ListBullet"/>
        <w:ind w:left="720"/>
      </w:pPr>
      <w:r>
        <w:t>Composite assessment with treatment implications</w:t>
      </w:r>
    </w:p>
    <w:p>
      <w:r/>
      <w:r>
        <w:rPr>
          <w:b/>
        </w:rPr>
        <w:t>Key talking point:</w:t>
      </w:r>
      <w:r>
        <w:t xml:space="preserve"> </w:t>
      </w:r>
      <w:r>
        <w:rPr>
          <w:i/>
        </w:rPr>
        <w:t>"Rachel's MCTD demonstrates why overlap syndromes are challenging -- she has features spanning SLE, SSc, and myositis. The disease activity scorer evaluates each component and tracks the overall disease trajectory."</w:t>
      </w:r>
      <w:r/>
    </w:p>
    <w:p>
      <w:pPr>
        <w:pStyle w:val="Heading3"/>
      </w:pPr>
      <w:r>
        <w:t>Tab 8: Flare Prediction</w:t>
      </w:r>
    </w:p>
    <w:p>
      <w:r/>
      <w:r>
        <w:rPr>
          <w:b/>
        </w:rPr>
        <w:t>Setup:</w:t>
      </w:r>
      <w:r>
        <w:t xml:space="preserve"> Navigate to Tab 8 (Flare Prediction).</w:t>
      </w:r>
    </w:p>
    <w:p>
      <w:r/>
      <w:r>
        <w:rPr>
          <w:b/>
        </w:rPr>
        <w:t>Demo steps:</w:t>
      </w:r>
      <w:r/>
    </w:p>
    <w:p>
      <w:pPr>
        <w:pStyle w:val="ListNumber"/>
      </w:pPr>
      <w:r>
        <w:t xml:space="preserve">Select </w:t>
      </w:r>
      <w:r>
        <w:rPr>
          <w:b/>
        </w:rPr>
        <w:t>Rachel Thompson</w:t>
      </w:r>
      <w:r>
        <w:t xml:space="preserve"> from the patient dropdown</w:t>
      </w:r>
    </w:p>
    <w:p>
      <w:pPr>
        <w:pStyle w:val="ListNumber"/>
      </w:pPr>
      <w:r/>
      <w:r>
        <w:rPr>
          <w:b/>
        </w:rPr>
        <w:t>Show the flare risk assessment:</w:t>
      </w:r>
      <w:r/>
    </w:p>
    <w:p>
      <w:pPr>
        <w:pStyle w:val="ListBullet"/>
        <w:ind w:left="1077"/>
      </w:pPr>
      <w:r>
        <w:t>Overall risk score (0.0-1.0)</w:t>
      </w:r>
    </w:p>
    <w:p>
      <w:pPr>
        <w:pStyle w:val="ListBullet"/>
        <w:ind w:left="1077"/>
      </w:pPr>
      <w:r>
        <w:t>Risk classification (imminent &gt;= 0.8, high &gt;= 0.6, moderate &gt;= 0.4, low &lt; 0.4)</w:t>
      </w:r>
    </w:p>
    <w:p>
      <w:pPr>
        <w:pStyle w:val="ListBullet"/>
        <w:ind w:left="1077"/>
      </w:pPr>
      <w:r>
        <w:t>90-day prediction window</w:t>
      </w:r>
    </w:p>
    <w:p>
      <w:pPr>
        <w:pStyle w:val="ListNumber"/>
      </w:pPr>
      <w:r/>
      <w:r>
        <w:rPr>
          <w:b/>
        </w:rPr>
        <w:t>Walk through contributing factors:</w:t>
      </w:r>
      <w:r/>
    </w:p>
    <w:p>
      <w:pPr>
        <w:pStyle w:val="ListBullet"/>
        <w:ind w:left="1077"/>
      </w:pPr>
      <w:r>
        <w:t>Rising CRP with changing anti-U1 RNP titers</w:t>
      </w:r>
    </w:p>
    <w:p>
      <w:pPr>
        <w:pStyle w:val="ListBullet"/>
        <w:ind w:left="1077"/>
      </w:pPr>
      <w:r>
        <w:t>New organ involvement (e.g., worsening Raynaud's)</w:t>
      </w:r>
    </w:p>
    <w:p>
      <w:pPr>
        <w:pStyle w:val="ListBullet"/>
        <w:ind w:left="1077"/>
      </w:pPr>
      <w:r>
        <w:t>Recent immunosuppression changes</w:t>
      </w:r>
    </w:p>
    <w:p>
      <w:pPr>
        <w:pStyle w:val="ListNumber"/>
      </w:pPr>
      <w:r/>
      <w:r>
        <w:rPr>
          <w:b/>
        </w:rPr>
        <w:t>Show protective factors:</w:t>
      </w:r>
      <w:r/>
    </w:p>
    <w:p>
      <w:pPr>
        <w:pStyle w:val="ListBullet"/>
        <w:ind w:left="1077"/>
      </w:pPr>
      <w:r>
        <w:t>Stable medication adherence</w:t>
      </w:r>
    </w:p>
    <w:p>
      <w:pPr>
        <w:pStyle w:val="ListBullet"/>
        <w:ind w:left="1077"/>
      </w:pPr>
      <w:r>
        <w:t>Normal inflammatory markers in other domains</w:t>
      </w:r>
    </w:p>
    <w:p>
      <w:pPr>
        <w:pStyle w:val="ListNumber"/>
      </w:pPr>
      <w:r/>
      <w:r>
        <w:rPr>
          <w:b/>
        </w:rPr>
        <w:t>Discuss monitoring recommendations:</w:t>
      </w:r>
      <w:r/>
    </w:p>
    <w:p>
      <w:pPr>
        <w:pStyle w:val="ListBullet"/>
        <w:ind w:left="1077"/>
      </w:pPr>
      <w:r>
        <w:t>Frequency of lab draws based on risk level</w:t>
      </w:r>
    </w:p>
    <w:p>
      <w:pPr>
        <w:pStyle w:val="ListBullet"/>
        <w:ind w:left="1077"/>
      </w:pPr>
      <w:r>
        <w:t>Clinical assessments to schedule</w:t>
      </w:r>
    </w:p>
    <w:p>
      <w:pPr>
        <w:pStyle w:val="ListBullet"/>
        <w:ind w:left="1077"/>
      </w:pPr>
      <w:r>
        <w:t>Warning signs for patients</w:t>
      </w:r>
    </w:p>
    <w:p>
      <w:r/>
      <w:r>
        <w:rPr>
          <w:b/>
        </w:rPr>
        <w:t>Expected output highlights:</w:t>
      </w:r>
      <w:r/>
    </w:p>
    <w:p>
      <w:pPr>
        <w:pStyle w:val="ListBullet"/>
        <w:ind w:left="720"/>
      </w:pPr>
      <w:r>
        <w:t>Risk score with classification badge</w:t>
      </w:r>
    </w:p>
    <w:p>
      <w:pPr>
        <w:pStyle w:val="ListBullet"/>
        <w:ind w:left="720"/>
      </w:pPr>
      <w:r>
        <w:t>Contributing factors with individual risk contributions</w:t>
      </w:r>
    </w:p>
    <w:p>
      <w:pPr>
        <w:pStyle w:val="ListBullet"/>
        <w:ind w:left="720"/>
      </w:pPr>
      <w:r>
        <w:t>Protective factors with stabilization evidence</w:t>
      </w:r>
    </w:p>
    <w:p>
      <w:pPr>
        <w:pStyle w:val="ListBullet"/>
        <w:ind w:left="720"/>
      </w:pPr>
      <w:r>
        <w:t>Monitoring frequency recommendations</w:t>
      </w:r>
    </w:p>
    <w:p>
      <w:r/>
      <w:r>
        <w:rPr>
          <w:b/>
        </w:rPr>
        <w:t>Key talking point:</w:t>
      </w:r>
      <w:r>
        <w:t xml:space="preserve"> </w:t>
      </w:r>
      <w:r>
        <w:rPr>
          <w:i/>
        </w:rPr>
        <w:t>"Flare prediction is not about a single lab value -- it is about patterns. Rising CRP with changing anti-U1 RNP titers and new organ involvement suggests an imminent flare. The predictor identifies these patterns across 13 biomarker signals per disease."</w:t>
      </w:r>
      <w:r/>
    </w:p>
    <w:p>
      <w:pPr>
        <w:pStyle w:val="Heading3"/>
      </w:pPr>
      <w:r>
        <w:t>Tab 9: Therapy Advisor</w:t>
      </w:r>
    </w:p>
    <w:p>
      <w:r/>
      <w:r>
        <w:rPr>
          <w:b/>
        </w:rPr>
        <w:t>Setup:</w:t>
      </w:r>
      <w:r>
        <w:t xml:space="preserve"> Navigate to Tab 9 (Therapy Advisor).</w:t>
      </w:r>
    </w:p>
    <w:p>
      <w:r/>
      <w:r>
        <w:rPr>
          <w:b/>
        </w:rPr>
        <w:t>Demo steps:</w:t>
      </w:r>
      <w:r/>
    </w:p>
    <w:p>
      <w:pPr>
        <w:pStyle w:val="ListNumber"/>
      </w:pPr>
      <w:r>
        <w:t xml:space="preserve">Select </w:t>
      </w:r>
      <w:r>
        <w:rPr>
          <w:b/>
        </w:rPr>
        <w:t>Rachel Thompson</w:t>
      </w:r>
      <w:r>
        <w:t xml:space="preserve"> from the patient dropdown</w:t>
      </w:r>
    </w:p>
    <w:p>
      <w:pPr>
        <w:pStyle w:val="ListNumber"/>
      </w:pPr>
      <w:r/>
      <w:r>
        <w:rPr>
          <w:b/>
        </w:rPr>
        <w:t>Show biologic recommendations for MCTD:</w:t>
      </w:r>
      <w:r/>
    </w:p>
    <w:p>
      <w:pPr>
        <w:pStyle w:val="ListBullet"/>
        <w:ind w:left="1077"/>
      </w:pPr>
      <w:r>
        <w:t>Immunosuppressive therapies targeting overlap features</w:t>
      </w:r>
    </w:p>
    <w:p>
      <w:pPr>
        <w:pStyle w:val="ListBullet"/>
        <w:ind w:left="1077"/>
      </w:pPr>
      <w:r>
        <w:t>Organ-specific treatment considerations</w:t>
      </w:r>
    </w:p>
    <w:p>
      <w:pPr>
        <w:pStyle w:val="ListBullet"/>
        <w:ind w:left="1077"/>
      </w:pPr>
      <w:r>
        <w:t>Biologic options ranked by evidence and predominant features</w:t>
      </w:r>
    </w:p>
    <w:p>
      <w:pPr>
        <w:pStyle w:val="ListNumber"/>
      </w:pPr>
      <w:r/>
      <w:r>
        <w:rPr>
          <w:b/>
        </w:rPr>
        <w:t>Walk through each recommendation:</w:t>
      </w:r>
      <w:r/>
    </w:p>
    <w:p>
      <w:pPr>
        <w:pStyle w:val="ListBullet"/>
        <w:ind w:left="1077"/>
      </w:pPr>
      <w:r>
        <w:t>Drug name, class, and mechanism of action</w:t>
      </w:r>
    </w:p>
    <w:p>
      <w:pPr>
        <w:pStyle w:val="ListBullet"/>
        <w:ind w:left="1077"/>
      </w:pPr>
      <w:r>
        <w:t>Indicated diseases and evidence level</w:t>
      </w:r>
    </w:p>
    <w:p>
      <w:pPr>
        <w:pStyle w:val="ListBullet"/>
        <w:ind w:left="1077"/>
      </w:pPr>
      <w:r>
        <w:t>PGx considerations (e.g., CYP3A4 for JAK inhibitors, FCGR3A for rituximab)</w:t>
      </w:r>
    </w:p>
    <w:p>
      <w:pPr>
        <w:pStyle w:val="ListBullet"/>
        <w:ind w:left="1077"/>
      </w:pPr>
      <w:r>
        <w:t>Contraindications (active infections, hepatitis B, pregnancy)</w:t>
      </w:r>
    </w:p>
    <w:p>
      <w:pPr>
        <w:pStyle w:val="ListBullet"/>
        <w:ind w:left="1077"/>
      </w:pPr>
      <w:r>
        <w:t>Required monitoring (TB screening, hepatitis B serology, CBC, LFTs)</w:t>
      </w:r>
    </w:p>
    <w:p>
      <w:pPr>
        <w:pStyle w:val="ListNumber"/>
      </w:pPr>
      <w:r/>
      <w:r>
        <w:rPr>
          <w:b/>
        </w:rPr>
        <w:t>Show the PGx filtering:</w:t>
      </w:r>
      <w:r/>
    </w:p>
    <w:p>
      <w:pPr>
        <w:pStyle w:val="ListBullet"/>
        <w:ind w:left="1077"/>
      </w:pPr>
      <w:r>
        <w:t>If Rachel has relevant pharmacogenomic variants, show how they modify recommendations</w:t>
      </w:r>
    </w:p>
    <w:p>
      <w:pPr>
        <w:pStyle w:val="ListBullet"/>
        <w:ind w:left="1077"/>
      </w:pPr>
      <w:r>
        <w:t>Explain that PGx data is integrated from the Biomarker Agent</w:t>
      </w:r>
    </w:p>
    <w:p>
      <w:r/>
      <w:r>
        <w:rPr>
          <w:b/>
        </w:rPr>
        <w:t>Expected output highlights:</w:t>
      </w:r>
      <w:r/>
    </w:p>
    <w:p>
      <w:pPr>
        <w:pStyle w:val="ListBullet"/>
        <w:ind w:left="720"/>
      </w:pPr>
      <w:r>
        <w:t>Ranked therapy list with evidence levels</w:t>
      </w:r>
    </w:p>
    <w:p>
      <w:pPr>
        <w:pStyle w:val="ListBullet"/>
        <w:ind w:left="720"/>
      </w:pPr>
      <w:r>
        <w:t>PGx considerations per drug</w:t>
      </w:r>
    </w:p>
    <w:p>
      <w:pPr>
        <w:pStyle w:val="ListBullet"/>
        <w:ind w:left="720"/>
      </w:pPr>
      <w:r>
        <w:t>Contraindication flags</w:t>
      </w:r>
    </w:p>
    <w:p>
      <w:pPr>
        <w:pStyle w:val="ListBullet"/>
        <w:ind w:left="720"/>
      </w:pPr>
      <w:r>
        <w:t>Monitoring requirements table</w:t>
      </w:r>
    </w:p>
    <w:p>
      <w:r/>
      <w:r>
        <w:rPr>
          <w:b/>
        </w:rPr>
        <w:t>Key talking point:</w:t>
      </w:r>
      <w:r>
        <w:t xml:space="preserve"> </w:t>
      </w:r>
      <w:r>
        <w:rPr>
          <w:i/>
        </w:rPr>
        <w:t>"Rachel's MCTD requires a nuanced therapy approach -- the advisor considers which overlap features predominate and recommends treatments accordingly. Each recommendation includes PGx considerations, contraindications, and required monitoring."</w:t>
      </w:r>
      <w:r/>
    </w:p>
    <w:p>
      <w:r>
        <w:t>____________________________________________________________</w:t>
      </w:r>
    </w:p>
    <w:p>
      <w:pPr>
        <w:pStyle w:val="Heading2"/>
      </w:pPr>
      <w:r>
        <w:t>Patient 3: James Cooper -- T1D + Celiac Overlap</w:t>
      </w:r>
    </w:p>
    <w:p>
      <w:pPr>
        <w:pStyle w:val="Heading3"/>
      </w:pPr>
      <w:r>
        <w:t>Key Narrative</w:t>
      </w:r>
    </w:p>
    <w:p>
      <w:r>
        <w:t>&gt; A 19-year-old male with Type 1 Diabetes, now presenting with GI symptoms and positive anti-tTG antibodies. HLA-DQB1*02:01 carrier (shared risk for both T1D and Celiac). Demonstrates autoimmune polyendocrine overlap syndrome.</w:t>
      </w:r>
    </w:p>
    <w:p>
      <w:pPr>
        <w:pStyle w:val="Heading3"/>
      </w:pPr>
      <w:r>
        <w:t>Tab 5: Autoantibody Panel (James Cooper)</w:t>
      </w:r>
    </w:p>
    <w:p>
      <w:r/>
      <w:r>
        <w:rPr>
          <w:b/>
        </w:rPr>
        <w:t>Setup:</w:t>
      </w:r>
      <w:r>
        <w:t xml:space="preserve"> Navigate to Tab 5 (Autoantibody Panel).</w:t>
      </w:r>
    </w:p>
    <w:p>
      <w:r/>
      <w:r>
        <w:rPr>
          <w:b/>
        </w:rPr>
        <w:t>Demo steps:</w:t>
      </w:r>
      <w:r/>
    </w:p>
    <w:p>
      <w:pPr>
        <w:pStyle w:val="ListNumber"/>
      </w:pPr>
      <w:r>
        <w:t xml:space="preserve">Select </w:t>
      </w:r>
      <w:r>
        <w:rPr>
          <w:b/>
        </w:rPr>
        <w:t>James Cooper</w:t>
      </w:r>
      <w:r>
        <w:t xml:space="preserve"> from the patient dropdown</w:t>
      </w:r>
    </w:p>
    <w:p>
      <w:pPr>
        <w:pStyle w:val="ListNumber"/>
      </w:pPr>
      <w:r/>
      <w:r>
        <w:rPr>
          <w:b/>
        </w:rPr>
        <w:t>Show James's autoantibody panel:</w:t>
      </w:r>
      <w:r/>
    </w:p>
    <w:p>
      <w:pPr>
        <w:pStyle w:val="ListBullet"/>
        <w:ind w:left="1077"/>
      </w:pPr>
      <w:r>
        <w:t>Anti-GAD65: positive -- highly specific for T1D (specificity ~98%)</w:t>
      </w:r>
    </w:p>
    <w:p>
      <w:pPr>
        <w:pStyle w:val="ListBullet"/>
        <w:ind w:left="1077"/>
      </w:pPr>
      <w:r>
        <w:t>Anti-IA2: positive -- T1D-specific islet cell antibody</w:t>
      </w:r>
    </w:p>
    <w:p>
      <w:pPr>
        <w:pStyle w:val="ListBullet"/>
        <w:ind w:left="1077"/>
      </w:pPr>
      <w:r>
        <w:t>Anti-ZnT8: positive -- zinc transporter antibody, T1D marker</w:t>
      </w:r>
    </w:p>
    <w:p>
      <w:pPr>
        <w:pStyle w:val="ListBullet"/>
        <w:ind w:left="1077"/>
      </w:pPr>
      <w:r>
        <w:t>Anti-tTG IgA: elevated -- tissue transglutaminase, celiac marker</w:t>
      </w:r>
    </w:p>
    <w:p>
      <w:pPr>
        <w:pStyle w:val="ListBullet"/>
        <w:ind w:left="1077"/>
      </w:pPr>
      <w:r>
        <w:t>Anti-EMA: positive -- endomysial antibody, celiac confirmation</w:t>
      </w:r>
    </w:p>
    <w:p>
      <w:pPr>
        <w:pStyle w:val="ListNumber"/>
      </w:pPr>
      <w:r/>
      <w:r>
        <w:rPr>
          <w:b/>
        </w:rPr>
        <w:t>Show disease association scoring:</w:t>
      </w:r>
      <w:r/>
    </w:p>
    <w:p>
      <w:pPr>
        <w:pStyle w:val="ListBullet"/>
        <w:ind w:left="1077"/>
      </w:pPr>
      <w:r>
        <w:t>Anti-GAD65 + anti-IA2 + anti-ZnT8 map strongly to T1D</w:t>
      </w:r>
    </w:p>
    <w:p>
      <w:pPr>
        <w:pStyle w:val="ListBullet"/>
        <w:ind w:left="1077"/>
      </w:pPr>
      <w:r>
        <w:t>Anti-tTG IgA + anti-EMA map strongly to Celiac Disease</w:t>
      </w:r>
    </w:p>
    <w:p>
      <w:pPr>
        <w:pStyle w:val="ListBullet"/>
        <w:ind w:left="1077"/>
      </w:pPr>
      <w:r>
        <w:t>The agent recognizes this as a T1D-Celiac overlap pattern</w:t>
      </w:r>
    </w:p>
    <w:p>
      <w:pPr>
        <w:pStyle w:val="ListNumber"/>
      </w:pPr>
      <w:r/>
      <w:r>
        <w:rPr>
          <w:b/>
        </w:rPr>
        <w:t>Contrast with Sarah's single-disease panel:</w:t>
      </w:r>
      <w:r/>
    </w:p>
    <w:p>
      <w:pPr>
        <w:pStyle w:val="ListBullet"/>
        <w:ind w:left="1077"/>
      </w:pPr>
      <w:r>
        <w:t>Sarah's antibodies all point to one disease (SLE)</w:t>
      </w:r>
    </w:p>
    <w:p>
      <w:pPr>
        <w:pStyle w:val="ListBullet"/>
        <w:ind w:left="1077"/>
      </w:pPr>
      <w:r>
        <w:t>James's antibodies span two distinct autoimmune diseases</w:t>
      </w:r>
    </w:p>
    <w:p>
      <w:r/>
      <w:r>
        <w:rPr>
          <w:b/>
        </w:rPr>
        <w:t>Expected output highlights:</w:t>
      </w:r>
      <w:r/>
    </w:p>
    <w:p>
      <w:pPr>
        <w:pStyle w:val="ListBullet"/>
        <w:ind w:left="720"/>
      </w:pPr>
      <w:r>
        <w:t>Dual disease association mapping</w:t>
      </w:r>
    </w:p>
    <w:p>
      <w:pPr>
        <w:pStyle w:val="ListBullet"/>
        <w:ind w:left="720"/>
      </w:pPr>
      <w:r>
        <w:t>Overlap syndrome identification</w:t>
      </w:r>
    </w:p>
    <w:p>
      <w:pPr>
        <w:pStyle w:val="ListBullet"/>
        <w:ind w:left="720"/>
      </w:pPr>
      <w:r>
        <w:t>Individual antibody sensitivity/specificity data</w:t>
      </w:r>
    </w:p>
    <w:p>
      <w:r/>
      <w:r>
        <w:rPr>
          <w:b/>
        </w:rPr>
        <w:t>Key talking point:</w:t>
      </w:r>
      <w:r>
        <w:t xml:space="preserve"> </w:t>
      </w:r>
      <w:r>
        <w:rPr>
          <w:i/>
        </w:rPr>
        <w:t>"James has autoantibodies spanning two diseases -- anti-GAD65 and anti-IA2 for Type 1 Diabetes, plus anti-tTG and anti-EMA for Celiac. This is not coincidence. HLA-DQB1</w:t>
      </w:r>
      <w:r>
        <w:t>02:01 confers shared risk for both conditions, and up to 10% of T1D patients develop Celiac. The autoimmune agent recognizes these overlap patterns."*</w:t>
      </w:r>
    </w:p>
    <w:p>
      <w:pPr>
        <w:pStyle w:val="Heading3"/>
      </w:pPr>
      <w:r>
        <w:t>Tab 6: HLA Analysis (James Cooper)</w:t>
      </w:r>
    </w:p>
    <w:p>
      <w:r/>
      <w:r>
        <w:rPr>
          <w:b/>
        </w:rPr>
        <w:t>Setup:</w:t>
      </w:r>
      <w:r>
        <w:t xml:space="preserve"> Navigate to Tab 6 (HLA Analysis).</w:t>
      </w:r>
    </w:p>
    <w:p>
      <w:r/>
      <w:r>
        <w:rPr>
          <w:b/>
        </w:rPr>
        <w:t>Demo steps:</w:t>
      </w:r>
      <w:r/>
    </w:p>
    <w:p>
      <w:pPr>
        <w:pStyle w:val="ListNumber"/>
      </w:pPr>
      <w:r>
        <w:t xml:space="preserve">Select </w:t>
      </w:r>
      <w:r>
        <w:rPr>
          <w:b/>
        </w:rPr>
        <w:t>James Cooper</w:t>
      </w:r>
      <w:r>
        <w:t xml:space="preserve"> from the patient dropdown</w:t>
      </w:r>
    </w:p>
    <w:p>
      <w:pPr>
        <w:pStyle w:val="ListNumber"/>
      </w:pPr>
      <w:r/>
      <w:r>
        <w:rPr>
          <w:b/>
        </w:rPr>
        <w:t>Show James's HLA profile:</w:t>
      </w:r>
      <w:r/>
    </w:p>
    <w:p>
      <w:pPr>
        <w:pStyle w:val="ListBullet"/>
        <w:ind w:left="1077"/>
      </w:pPr>
      <w:r>
        <w:t>HLA-DQB1*02:01 -- OR 7.0 for Celiac, OR 3.0 for T1D</w:t>
      </w:r>
    </w:p>
    <w:p>
      <w:pPr>
        <w:pStyle w:val="ListBullet"/>
        <w:ind w:left="1077"/>
      </w:pPr>
      <w:r>
        <w:t>HLA-DRB1*03:01 -- shared risk for T1D, SLE, Graves, Celiac</w:t>
      </w:r>
    </w:p>
    <w:p>
      <w:pPr>
        <w:pStyle w:val="ListNumber"/>
      </w:pPr>
      <w:r/>
      <w:r>
        <w:rPr>
          <w:b/>
        </w:rPr>
        <w:t>Explain the HLA-DQ2 heterodimer:</w:t>
      </w:r>
      <w:r/>
    </w:p>
    <w:p>
      <w:pPr>
        <w:pStyle w:val="ListBullet"/>
        <w:ind w:left="1077"/>
      </w:pPr>
      <w:r>
        <w:t>HLA-DQB1*02:01 forms part of the HLA-DQ2 molecule</w:t>
      </w:r>
    </w:p>
    <w:p>
      <w:pPr>
        <w:pStyle w:val="ListBullet"/>
        <w:ind w:left="1077"/>
      </w:pPr>
      <w:r>
        <w:t>HLA-DQ2 is the strongest known genetic risk factor for celiac disease</w:t>
      </w:r>
    </w:p>
    <w:p>
      <w:pPr>
        <w:pStyle w:val="ListBullet"/>
        <w:ind w:left="1077"/>
      </w:pPr>
      <w:r>
        <w:t>Nearly all celiac patients carry HLA-DQ2 or HLA-DQ8</w:t>
      </w:r>
    </w:p>
    <w:p>
      <w:pPr>
        <w:pStyle w:val="ListNumber"/>
      </w:pPr>
      <w:r/>
      <w:r>
        <w:rPr>
          <w:b/>
        </w:rPr>
        <w:t>Cross-disease risk profile:</w:t>
      </w:r>
      <w:r/>
    </w:p>
    <w:p>
      <w:pPr>
        <w:pStyle w:val="ListBullet"/>
        <w:ind w:left="1077"/>
      </w:pPr>
      <w:r>
        <w:t>Show the polyautoimmune risk assessment</w:t>
      </w:r>
    </w:p>
    <w:p>
      <w:pPr>
        <w:pStyle w:val="ListBullet"/>
        <w:ind w:left="1077"/>
      </w:pPr>
      <w:r>
        <w:t>Discuss monitoring recommendations for additional autoimmune conditions</w:t>
      </w:r>
    </w:p>
    <w:p>
      <w:r/>
      <w:r>
        <w:rPr>
          <w:b/>
        </w:rPr>
        <w:t>Expected output highlights:</w:t>
      </w:r>
      <w:r/>
    </w:p>
    <w:p>
      <w:pPr>
        <w:pStyle w:val="ListBullet"/>
        <w:ind w:left="720"/>
      </w:pPr>
      <w:r>
        <w:t>HLA allele table with dual disease associations</w:t>
      </w:r>
    </w:p>
    <w:p>
      <w:pPr>
        <w:pStyle w:val="ListBullet"/>
        <w:ind w:left="720"/>
      </w:pPr>
      <w:r>
        <w:t>Odds ratios for both T1D and Celiac</w:t>
      </w:r>
    </w:p>
    <w:p>
      <w:pPr>
        <w:pStyle w:val="ListBullet"/>
        <w:ind w:left="720"/>
      </w:pPr>
      <w:r>
        <w:t>Cross-disease risk visualization</w:t>
      </w:r>
    </w:p>
    <w:p>
      <w:r/>
      <w:r>
        <w:rPr>
          <w:b/>
        </w:rPr>
        <w:t>Key talking point:</w:t>
      </w:r>
      <w:r>
        <w:t xml:space="preserve"> </w:t>
      </w:r>
      <w:r>
        <w:rPr>
          <w:i/>
        </w:rPr>
        <w:t>"HLA-DQB1</w:t>
      </w:r>
      <w:r>
        <w:t>02:01 forms part of the HLA-DQ2 heterodimer -- the strongest genetic risk factor for celiac disease. The same allele also confers significant T1D risk. This is why autoimmune overlap syndromes are not random -- they are genetically programmed."*</w:t>
      </w:r>
    </w:p>
    <w:p>
      <w:r>
        <w:t>____________________________________________________________</w:t>
      </w:r>
    </w:p>
    <w:p>
      <w:pPr>
        <w:pStyle w:val="Heading2"/>
      </w:pPr>
      <w:r>
        <w:t>Patient 4: David Park -- Ankylosing Spondylitis</w:t>
      </w:r>
    </w:p>
    <w:p>
      <w:pPr>
        <w:pStyle w:val="Heading3"/>
      </w:pPr>
      <w:r>
        <w:t>Key Narrative</w:t>
      </w:r>
    </w:p>
    <w:p>
      <w:r>
        <w:t>&gt; A 45-year-old male with ankylosing spondylitis (AS), diagnosed after a 3-year diagnostic odyssey. HLA-B*27:05 carrier (OR 87.4 for AS). Presents with chronic lower back pain, sacroiliitis on imaging, and recurrent anterior uveitis. Currently on a TNF inhibitor.</w:t>
      </w:r>
    </w:p>
    <w:p>
      <w:pPr>
        <w:pStyle w:val="Heading3"/>
      </w:pPr>
      <w:r>
        <w:t>Tab 6: HLA Analysis (David Park)</w:t>
      </w:r>
    </w:p>
    <w:p>
      <w:r/>
      <w:r>
        <w:rPr>
          <w:b/>
        </w:rPr>
        <w:t>Setup:</w:t>
      </w:r>
      <w:r>
        <w:t xml:space="preserve"> Navigate to Tab 6 (HLA Analysis).</w:t>
      </w:r>
    </w:p>
    <w:p>
      <w:r/>
      <w:r>
        <w:rPr>
          <w:b/>
        </w:rPr>
        <w:t>Demo steps:</w:t>
      </w:r>
      <w:r/>
    </w:p>
    <w:p>
      <w:pPr>
        <w:pStyle w:val="ListNumber"/>
      </w:pPr>
      <w:r>
        <w:t xml:space="preserve">Select </w:t>
      </w:r>
      <w:r>
        <w:rPr>
          <w:b/>
        </w:rPr>
        <w:t>David Park</w:t>
      </w:r>
      <w:r>
        <w:t xml:space="preserve"> from the patient dropdown</w:t>
      </w:r>
    </w:p>
    <w:p>
      <w:pPr>
        <w:pStyle w:val="ListNumber"/>
      </w:pPr>
      <w:r/>
      <w:r>
        <w:rPr>
          <w:b/>
        </w:rPr>
        <w:t>Show David's HLA profile:</w:t>
      </w:r>
      <w:r/>
    </w:p>
    <w:p>
      <w:pPr>
        <w:pStyle w:val="ListBullet"/>
        <w:ind w:left="1077"/>
      </w:pPr>
      <w:r>
        <w:t>HLA-B*27:05 -- OR 87.4 for Ankylosing Spondylitis</w:t>
      </w:r>
    </w:p>
    <w:p>
      <w:pPr>
        <w:pStyle w:val="ListBullet"/>
        <w:ind w:left="1077"/>
      </w:pPr>
      <w:r>
        <w:t>This is the strongest HLA-disease association in the entire knowledge base</w:t>
      </w:r>
    </w:p>
    <w:p>
      <w:pPr>
        <w:pStyle w:val="ListNumber"/>
      </w:pPr>
      <w:r/>
      <w:r>
        <w:rPr>
          <w:b/>
        </w:rPr>
        <w:t>Compare odds ratios across diseases:</w:t>
      </w:r>
      <w:r/>
    </w:p>
    <w:p>
      <w:pPr>
        <w:pStyle w:val="ListBullet"/>
        <w:ind w:left="1077"/>
      </w:pPr>
      <w:r>
        <w:t>HLA-B*27:05 for AS: OR 87.4 (extremely strong)</w:t>
      </w:r>
    </w:p>
    <w:p>
      <w:pPr>
        <w:pStyle w:val="ListBullet"/>
        <w:ind w:left="1077"/>
      </w:pPr>
      <w:r>
        <w:t>HLA-DRB1*03:01 for SLE: OR 2.4 (moderate)</w:t>
      </w:r>
    </w:p>
    <w:p>
      <w:pPr>
        <w:pStyle w:val="ListBullet"/>
        <w:ind w:left="1077"/>
      </w:pPr>
      <w:r>
        <w:t>HLA-DQB1*02:01 for Celiac: OR 7.0 (strong)</w:t>
      </w:r>
    </w:p>
    <w:p>
      <w:pPr>
        <w:pStyle w:val="ListNumber"/>
      </w:pPr>
      <w:r/>
      <w:r>
        <w:rPr>
          <w:b/>
        </w:rPr>
        <w:t>Discuss clinical implications:</w:t>
      </w:r>
      <w:r/>
    </w:p>
    <w:p>
      <w:pPr>
        <w:pStyle w:val="ListBullet"/>
        <w:ind w:left="1077"/>
      </w:pPr>
      <w:r>
        <w:t>Over 90% of AS patients are HLA-B*27 positive</w:t>
      </w:r>
    </w:p>
    <w:p>
      <w:pPr>
        <w:pStyle w:val="ListBullet"/>
        <w:ind w:left="1077"/>
      </w:pPr>
      <w:r>
        <w:t>But only 5-10% of HLA-B*27 carriers develop AS</w:t>
      </w:r>
    </w:p>
    <w:p>
      <w:pPr>
        <w:pStyle w:val="ListBullet"/>
        <w:ind w:left="1077"/>
      </w:pPr>
      <w:r>
        <w:t>HLA-B*27 testing is a key part of the AS diagnostic workup</w:t>
      </w:r>
    </w:p>
    <w:p>
      <w:r/>
      <w:r>
        <w:rPr>
          <w:b/>
        </w:rPr>
        <w:t>Expected output highlights:</w:t>
      </w:r>
      <w:r/>
    </w:p>
    <w:p>
      <w:pPr>
        <w:pStyle w:val="ListBullet"/>
        <w:ind w:left="720"/>
      </w:pPr>
      <w:r>
        <w:t>HLA-B*27:05 prominently displayed with highest odds ratio</w:t>
      </w:r>
    </w:p>
    <w:p>
      <w:pPr>
        <w:pStyle w:val="ListBullet"/>
        <w:ind w:left="720"/>
      </w:pPr>
      <w:r>
        <w:t>Disease association confidence metrics</w:t>
      </w:r>
    </w:p>
    <w:p>
      <w:pPr>
        <w:pStyle w:val="ListBullet"/>
        <w:ind w:left="720"/>
      </w:pPr>
      <w:r>
        <w:t>Broad allele matching (B</w:t>
      </w:r>
      <w:r>
        <w:rPr>
          <w:i/>
        </w:rPr>
        <w:t>27:05 maps to B</w:t>
      </w:r>
      <w:r>
        <w:t>27 group)</w:t>
      </w:r>
    </w:p>
    <w:p>
      <w:r/>
      <w:r>
        <w:rPr>
          <w:b/>
        </w:rPr>
        <w:t>Key talking point:</w:t>
      </w:r>
      <w:r>
        <w:t xml:space="preserve"> </w:t>
      </w:r>
      <w:r>
        <w:rPr>
          <w:i/>
        </w:rPr>
        <w:t>"HLA-B</w:t>
      </w:r>
      <w:r>
        <w:t>27:05 has the strongest disease association in our knowledge base -- an odds ratio of 87.4 for ankylosing spondylitis. Over 90% of AS patients carry this allele. Yet only 5-10% of carriers develop AS, showing that HLA is necessary but not sufficient."*</w:t>
      </w:r>
    </w:p>
    <w:p>
      <w:pPr>
        <w:pStyle w:val="Heading3"/>
      </w:pPr>
      <w:r>
        <w:t>Tab 7: Disease Activity (David Park)</w:t>
      </w:r>
    </w:p>
    <w:p>
      <w:r/>
      <w:r>
        <w:rPr>
          <w:b/>
        </w:rPr>
        <w:t>Setup:</w:t>
      </w:r>
      <w:r>
        <w:t xml:space="preserve"> Navigate to Tab 7 (Disease Activity).</w:t>
      </w:r>
    </w:p>
    <w:p>
      <w:r/>
      <w:r>
        <w:rPr>
          <w:b/>
        </w:rPr>
        <w:t>Demo steps:</w:t>
      </w:r>
      <w:r/>
    </w:p>
    <w:p>
      <w:pPr>
        <w:pStyle w:val="ListNumber"/>
      </w:pPr>
      <w:r>
        <w:t xml:space="preserve">Select </w:t>
      </w:r>
      <w:r>
        <w:rPr>
          <w:b/>
        </w:rPr>
        <w:t>David Park</w:t>
      </w:r>
      <w:r>
        <w:t xml:space="preserve"> from the patient dropdown</w:t>
      </w:r>
    </w:p>
    <w:p>
      <w:pPr>
        <w:pStyle w:val="ListNumber"/>
      </w:pPr>
      <w:r/>
      <w:r>
        <w:rPr>
          <w:b/>
        </w:rPr>
        <w:t>Show BASDAI scoring:</w:t>
      </w:r>
      <w:r/>
    </w:p>
    <w:p>
      <w:pPr>
        <w:pStyle w:val="ListBullet"/>
        <w:ind w:left="1077"/>
      </w:pPr>
      <w:r>
        <w:t>Bath Ankylosing Spondylitis Disease Activity Index</w:t>
      </w:r>
    </w:p>
    <w:p>
      <w:pPr>
        <w:pStyle w:val="ListBullet"/>
        <w:ind w:left="1077"/>
      </w:pPr>
      <w:r>
        <w:t>Components: fatigue, spinal pain, peripheral pain, enthesitis, morning stiffness severity, morning stiffness duration</w:t>
      </w:r>
    </w:p>
    <w:p>
      <w:pPr>
        <w:pStyle w:val="ListBullet"/>
        <w:ind w:left="1077"/>
      </w:pPr>
      <w:r>
        <w:t>Score interpretation: &lt; 4 = low activity, &gt;= 4 = high activity</w:t>
      </w:r>
    </w:p>
    <w:p>
      <w:pPr>
        <w:pStyle w:val="ListNumber"/>
      </w:pPr>
      <w:r/>
      <w:r>
        <w:rPr>
          <w:b/>
        </w:rPr>
        <w:t>Discuss treatment decisions based on BASDAI:</w:t>
      </w:r>
      <w:r/>
    </w:p>
    <w:p>
      <w:pPr>
        <w:pStyle w:val="ListBullet"/>
        <w:ind w:left="1077"/>
      </w:pPr>
      <w:r>
        <w:t>BASDAI &gt;= 4 on two occasions 12 weeks apart -&gt; eligible for biologic therapy</w:t>
      </w:r>
    </w:p>
    <w:p>
      <w:pPr>
        <w:pStyle w:val="ListBullet"/>
        <w:ind w:left="1077"/>
      </w:pPr>
      <w:r>
        <w:t>This is the ASAS/EULAR recommendation for biologic initiation</w:t>
      </w:r>
    </w:p>
    <w:p>
      <w:r/>
      <w:r>
        <w:rPr>
          <w:b/>
        </w:rPr>
        <w:t>Expected output highlights:</w:t>
      </w:r>
      <w:r/>
    </w:p>
    <w:p>
      <w:pPr>
        <w:pStyle w:val="ListBullet"/>
        <w:ind w:left="720"/>
      </w:pPr>
      <w:r>
        <w:t>BASDAI score with component breakdown</w:t>
      </w:r>
    </w:p>
    <w:p>
      <w:pPr>
        <w:pStyle w:val="ListBullet"/>
        <w:ind w:left="720"/>
      </w:pPr>
      <w:r>
        <w:t>Activity level classification</w:t>
      </w:r>
    </w:p>
    <w:p>
      <w:pPr>
        <w:pStyle w:val="ListBullet"/>
        <w:ind w:left="720"/>
      </w:pPr>
      <w:r>
        <w:t>Treatment eligibility assessment</w:t>
      </w:r>
    </w:p>
    <w:p>
      <w:pPr>
        <w:pStyle w:val="Heading3"/>
      </w:pPr>
      <w:r>
        <w:t>Tab 4: Diagnostic Odyssey (David Park)</w:t>
      </w:r>
    </w:p>
    <w:p>
      <w:r/>
      <w:r>
        <w:rPr>
          <w:b/>
        </w:rPr>
        <w:t>Setup:</w:t>
      </w:r>
      <w:r>
        <w:t xml:space="preserve"> Navigate to Tab 4 (Diagnostic Odyssey).</w:t>
      </w:r>
    </w:p>
    <w:p>
      <w:r/>
      <w:r>
        <w:rPr>
          <w:b/>
        </w:rPr>
        <w:t>Demo steps:</w:t>
      </w:r>
      <w:r/>
    </w:p>
    <w:p>
      <w:pPr>
        <w:pStyle w:val="ListNumber"/>
      </w:pPr>
      <w:r>
        <w:t xml:space="preserve">Select </w:t>
      </w:r>
      <w:r>
        <w:rPr>
          <w:b/>
        </w:rPr>
        <w:t>David Park</w:t>
      </w:r>
      <w:r>
        <w:t xml:space="preserve"> from the patient dropdown</w:t>
      </w:r>
    </w:p>
    <w:p>
      <w:pPr>
        <w:pStyle w:val="ListNumber"/>
      </w:pPr>
      <w:r/>
      <w:r>
        <w:rPr>
          <w:b/>
        </w:rPr>
        <w:t>Show the 3-year diagnostic journey:</w:t>
      </w:r>
      <w:r/>
    </w:p>
    <w:p>
      <w:pPr>
        <w:pStyle w:val="ListBullet"/>
        <w:ind w:left="1077"/>
      </w:pPr>
      <w:r>
        <w:t>Initial presentation with lower back pain to primary care</w:t>
      </w:r>
    </w:p>
    <w:p>
      <w:pPr>
        <w:pStyle w:val="ListBullet"/>
        <w:ind w:left="1077"/>
      </w:pPr>
      <w:r>
        <w:t>Misattributed to mechanical back pain / disc disease</w:t>
      </w:r>
    </w:p>
    <w:p>
      <w:pPr>
        <w:pStyle w:val="ListBullet"/>
        <w:ind w:left="1077"/>
      </w:pPr>
      <w:r>
        <w:t>Physical therapy without improvement</w:t>
      </w:r>
    </w:p>
    <w:p>
      <w:pPr>
        <w:pStyle w:val="ListBullet"/>
        <w:ind w:left="1077"/>
      </w:pPr>
      <w:r>
        <w:t>Uveitis episode triggers immunology referral</w:t>
      </w:r>
    </w:p>
    <w:p>
      <w:pPr>
        <w:pStyle w:val="ListBullet"/>
        <w:ind w:left="1077"/>
      </w:pPr>
      <w:r>
        <w:t>HLA-B*27 testing and sacroiliac joint imaging</w:t>
      </w:r>
    </w:p>
    <w:p>
      <w:pPr>
        <w:pStyle w:val="ListBullet"/>
        <w:ind w:left="1077"/>
      </w:pPr>
      <w:r>
        <w:t>Definitive AS diagnosis by rheumatology</w:t>
      </w:r>
    </w:p>
    <w:p>
      <w:pPr>
        <w:pStyle w:val="ListNumber"/>
      </w:pPr>
      <w:r/>
      <w:r>
        <w:rPr>
          <w:b/>
        </w:rPr>
        <w:t>Highlight the pattern:</w:t>
      </w:r>
      <w:r>
        <w:t xml:space="preserve"> inflammatory back pain misdiagnosed as mechanical</w:t>
      </w:r>
    </w:p>
    <w:p>
      <w:r/>
      <w:r>
        <w:rPr>
          <w:b/>
        </w:rPr>
        <w:t>Key talking point:</w:t>
      </w:r>
      <w:r>
        <w:t xml:space="preserve"> </w:t>
      </w:r>
      <w:r>
        <w:rPr>
          <w:i/>
        </w:rPr>
        <w:t>"David's 3-year odyssey from first symptoms to AS diagnosis is typical -- inflammatory back pain in young men is frequently misattributed to mechanical causes. The diagnostic odyssey tool makes this pattern visible."</w:t>
      </w:r>
      <w:r/>
    </w:p>
    <w:p>
      <w:r>
        <w:t>____________________________________________________________</w:t>
      </w:r>
    </w:p>
    <w:p>
      <w:pPr>
        <w:pStyle w:val="Heading2"/>
      </w:pPr>
      <w:r>
        <w:t>Patient 5: Linda Chen -- Sjogren's Syndrome</w:t>
      </w:r>
    </w:p>
    <w:p>
      <w:pPr>
        <w:pStyle w:val="Heading3"/>
      </w:pPr>
      <w:r>
        <w:t>Key Narrative</w:t>
      </w:r>
    </w:p>
    <w:p>
      <w:r>
        <w:t>&gt; A 45-year-old woman with Sjogren's Syndrome presenting with sicca syndrome (dry eyes, dry mouth), positive anti-SSA/Ro and anti-SSB/La antibodies, abnormal Schirmer test, and parotid gland involvement. HLA-DRB1*03:01 carrier.</w:t>
      </w:r>
    </w:p>
    <w:p>
      <w:pPr>
        <w:pStyle w:val="Heading3"/>
      </w:pPr>
      <w:r>
        <w:t>Tab 5: Autoantibody Panel (Linda Chen)</w:t>
      </w:r>
    </w:p>
    <w:p>
      <w:r/>
      <w:r>
        <w:rPr>
          <w:b/>
        </w:rPr>
        <w:t>Setup:</w:t>
      </w:r>
      <w:r>
        <w:t xml:space="preserve"> Navigate to Tab 5 (Autoantibody Panel).</w:t>
      </w:r>
    </w:p>
    <w:p>
      <w:r/>
      <w:r>
        <w:rPr>
          <w:b/>
        </w:rPr>
        <w:t>Demo steps:</w:t>
      </w:r>
      <w:r/>
    </w:p>
    <w:p>
      <w:pPr>
        <w:pStyle w:val="ListNumber"/>
      </w:pPr>
      <w:r>
        <w:t xml:space="preserve">Select </w:t>
      </w:r>
      <w:r>
        <w:rPr>
          <w:b/>
        </w:rPr>
        <w:t>Linda Chen</w:t>
      </w:r>
      <w:r>
        <w:t xml:space="preserve"> from the patient dropdown</w:t>
      </w:r>
    </w:p>
    <w:p>
      <w:pPr>
        <w:pStyle w:val="ListNumber"/>
      </w:pPr>
      <w:r/>
      <w:r>
        <w:rPr>
          <w:b/>
        </w:rPr>
        <w:t>Show Linda's panel:</w:t>
      </w:r>
      <w:r/>
    </w:p>
    <w:p>
      <w:pPr>
        <w:pStyle w:val="ListBullet"/>
        <w:ind w:left="1077"/>
      </w:pPr>
      <w:r>
        <w:t>Anti-SSA/Ro: positive -- the most characteristic antibody for Sjogren's (sensitivity ~70%)</w:t>
      </w:r>
    </w:p>
    <w:p>
      <w:pPr>
        <w:pStyle w:val="ListBullet"/>
        <w:ind w:left="1077"/>
      </w:pPr>
      <w:r>
        <w:t>Anti-SSB/La: positive -- highly specific for Sjogren's (specificity ~95%)</w:t>
      </w:r>
    </w:p>
    <w:p>
      <w:pPr>
        <w:pStyle w:val="ListBullet"/>
        <w:ind w:left="1077"/>
      </w:pPr>
      <w:r>
        <w:t>ANA: positive (1:320, speckled pattern)</w:t>
      </w:r>
    </w:p>
    <w:p>
      <w:pPr>
        <w:pStyle w:val="ListBullet"/>
        <w:ind w:left="1077"/>
      </w:pPr>
      <w:r>
        <w:t>RF (Rheumatoid Factor): positive</w:t>
      </w:r>
    </w:p>
    <w:p>
      <w:pPr>
        <w:pStyle w:val="ListNumber"/>
      </w:pPr>
      <w:r/>
      <w:r>
        <w:rPr>
          <w:b/>
        </w:rPr>
        <w:t>Explain the SSA/SSB pattern:</w:t>
      </w:r>
      <w:r/>
    </w:p>
    <w:p>
      <w:pPr>
        <w:pStyle w:val="ListBullet"/>
        <w:ind w:left="1077"/>
      </w:pPr>
      <w:r>
        <w:t>Anti-SSA alone is found in SLE, Sjogren's, and neonatal lupus</w:t>
      </w:r>
    </w:p>
    <w:p>
      <w:pPr>
        <w:pStyle w:val="ListBullet"/>
        <w:ind w:left="1077"/>
      </w:pPr>
      <w:r>
        <w:t>Anti-SSA + anti-SSB together is the hallmark of primary Sjogren's</w:t>
      </w:r>
    </w:p>
    <w:p>
      <w:pPr>
        <w:pStyle w:val="ListBullet"/>
        <w:ind w:left="1077"/>
      </w:pPr>
      <w:r>
        <w:t>The speckled ANA pattern is consistent with anti-SSA/SSB</w:t>
      </w:r>
    </w:p>
    <w:p>
      <w:r/>
      <w:r>
        <w:rPr>
          <w:b/>
        </w:rPr>
        <w:t>Key talking point:</w:t>
      </w:r>
      <w:r>
        <w:t xml:space="preserve"> </w:t>
      </w:r>
      <w:r>
        <w:rPr>
          <w:i/>
        </w:rPr>
        <w:t>"Anti-SSA/Ro is not specific to Sjogren's -- it is also found in SLE. But anti-SSA plus anti-SSB together, with sicca symptoms and a speckled ANA pattern, is the hallmark of primary Sjogren's. The agent understands these patterns."</w:t>
      </w:r>
      <w:r/>
    </w:p>
    <w:p>
      <w:r>
        <w:t>____________________________________________________________</w:t>
      </w:r>
    </w:p>
    <w:p>
      <w:pPr>
        <w:pStyle w:val="Heading2"/>
      </w:pPr>
      <w:r>
        <w:t>Patient 6: Maya Rodriguez -- POTS / hEDS / MCAS</w:t>
      </w:r>
    </w:p>
    <w:p>
      <w:pPr>
        <w:pStyle w:val="Heading3"/>
      </w:pPr>
      <w:r>
        <w:t>Key Narrative</w:t>
      </w:r>
    </w:p>
    <w:p>
      <w:r>
        <w:t>&gt; A 28-year-old woman with the POTS/hEDS/MCAS triad (Postural Orthostatic Tachycardia Syndrome, hypermobile Ehlers-Danlos Syndrome, Mast Cell Activation Syndrome). This case demonstrates a complex diagnostic odyssey through multiple specialties before the triad is recognized.</w:t>
      </w:r>
    </w:p>
    <w:p>
      <w:pPr>
        <w:pStyle w:val="Heading3"/>
      </w:pPr>
      <w:r>
        <w:t>Tab 4: Diagnostic Odyssey (Maya Rodriguez)</w:t>
      </w:r>
    </w:p>
    <w:p>
      <w:r/>
      <w:r>
        <w:rPr>
          <w:b/>
        </w:rPr>
        <w:t>Setup:</w:t>
      </w:r>
      <w:r>
        <w:t xml:space="preserve"> Navigate to Tab 4 (Diagnostic Odyssey).</w:t>
      </w:r>
    </w:p>
    <w:p>
      <w:r/>
      <w:r>
        <w:rPr>
          <w:b/>
        </w:rPr>
        <w:t>Demo steps:</w:t>
      </w:r>
      <w:r/>
    </w:p>
    <w:p>
      <w:pPr>
        <w:pStyle w:val="ListNumber"/>
      </w:pPr>
      <w:r>
        <w:t xml:space="preserve">Select </w:t>
      </w:r>
      <w:r>
        <w:rPr>
          <w:b/>
        </w:rPr>
        <w:t>Maya Rodriguez</w:t>
      </w:r>
      <w:r>
        <w:t xml:space="preserve"> from the patient dropdown</w:t>
      </w:r>
    </w:p>
    <w:p>
      <w:pPr>
        <w:pStyle w:val="ListNumber"/>
      </w:pPr>
      <w:r/>
      <w:r>
        <w:rPr>
          <w:b/>
        </w:rPr>
        <w:t>Show the extended diagnostic odyssey:</w:t>
      </w:r>
      <w:r/>
    </w:p>
    <w:p>
      <w:pPr>
        <w:pStyle w:val="ListBullet"/>
        <w:ind w:left="1077"/>
      </w:pPr>
      <w:r>
        <w:t>Years of unexplained symptoms: dizziness, fatigue, GI distress, joint hypermobility</w:t>
      </w:r>
    </w:p>
    <w:p>
      <w:pPr>
        <w:pStyle w:val="ListBullet"/>
        <w:ind w:left="1077"/>
      </w:pPr>
      <w:r>
        <w:t>Multiple specialists: cardiology (POTS evaluation), gastroenterology, rheumatology, allergy/immunology</w:t>
      </w:r>
    </w:p>
    <w:p>
      <w:pPr>
        <w:pStyle w:val="ListBullet"/>
        <w:ind w:left="1077"/>
      </w:pPr>
      <w:r>
        <w:t>Tilt table testing for POTS diagnosis</w:t>
      </w:r>
    </w:p>
    <w:p>
      <w:pPr>
        <w:pStyle w:val="ListBullet"/>
        <w:ind w:left="1077"/>
      </w:pPr>
      <w:r>
        <w:t>Beighton score for hEDS assessment</w:t>
      </w:r>
    </w:p>
    <w:p>
      <w:pPr>
        <w:pStyle w:val="ListBullet"/>
        <w:ind w:left="1077"/>
      </w:pPr>
      <w:r>
        <w:t>Mast cell mediator testing for MCAS</w:t>
      </w:r>
    </w:p>
    <w:p>
      <w:pPr>
        <w:pStyle w:val="ListNumber"/>
      </w:pPr>
      <w:r/>
      <w:r>
        <w:rPr>
          <w:b/>
        </w:rPr>
        <w:t>Highlight the triad recognition:</w:t>
      </w:r>
      <w:r/>
    </w:p>
    <w:p>
      <w:pPr>
        <w:pStyle w:val="ListBullet"/>
        <w:ind w:left="1077"/>
      </w:pPr>
      <w:r>
        <w:t>POTS, hEDS, and MCAS frequently co-occur</w:t>
      </w:r>
    </w:p>
    <w:p>
      <w:pPr>
        <w:pStyle w:val="ListBullet"/>
        <w:ind w:left="1077"/>
      </w:pPr>
      <w:r>
        <w:t>The agent's overlap syndrome detection identifies this as the POTS/hEDS/MCAS triad</w:t>
      </w:r>
    </w:p>
    <w:p>
      <w:pPr>
        <w:pStyle w:val="ListBullet"/>
        <w:ind w:left="1077"/>
      </w:pPr>
      <w:r>
        <w:t>Each component was diagnosed separately over months to years</w:t>
      </w:r>
    </w:p>
    <w:p>
      <w:r/>
      <w:r>
        <w:rPr>
          <w:b/>
        </w:rPr>
        <w:t>Key talking point:</w:t>
      </w:r>
      <w:r>
        <w:t xml:space="preserve"> </w:t>
      </w:r>
      <w:r>
        <w:rPr>
          <w:i/>
        </w:rPr>
        <w:t>"Maya's case represents the POTS/hEDS/MCAS triad -- three conditions that frequently co-occur but are often diagnosed separately over years. The overlap syndrome detector recognizes this pattern and alerts clinicians to evaluate all three."</w:t>
      </w:r>
      <w:r/>
    </w:p>
    <w:p>
      <w:r>
        <w:t>____________________________________________________________</w:t>
      </w:r>
    </w:p>
    <w:p>
      <w:pPr>
        <w:pStyle w:val="Heading2"/>
      </w:pPr>
      <w:r>
        <w:t>Patient 7: Emma Williams -- Multiple Sclerosis (RRMS)</w:t>
      </w:r>
    </w:p>
    <w:p>
      <w:pPr>
        <w:pStyle w:val="Heading3"/>
      </w:pPr>
      <w:r>
        <w:t>Key Narrative</w:t>
      </w:r>
    </w:p>
    <w:p>
      <w:r>
        <w:t>&gt; A 34-year-old woman with Relapsing-Remitting Multiple Sclerosis (RRMS). Presented with optic neuritis, MRI showing periventricular lesions, oligoclonal bands in CSF. HLA-DRB1*15:01 carrier (the strongest genetic risk factor for MS).</w:t>
      </w:r>
    </w:p>
    <w:p>
      <w:pPr>
        <w:pStyle w:val="Heading3"/>
      </w:pPr>
      <w:r>
        <w:t>Tab 7: Disease Activity (Emma Williams)</w:t>
      </w:r>
    </w:p>
    <w:p>
      <w:r/>
      <w:r>
        <w:rPr>
          <w:b/>
        </w:rPr>
        <w:t>Setup:</w:t>
      </w:r>
      <w:r>
        <w:t xml:space="preserve"> Navigate to Tab 7 (Disease Activity).</w:t>
      </w:r>
    </w:p>
    <w:p>
      <w:r/>
      <w:r>
        <w:rPr>
          <w:b/>
        </w:rPr>
        <w:t>Demo steps:</w:t>
      </w:r>
      <w:r/>
    </w:p>
    <w:p>
      <w:pPr>
        <w:pStyle w:val="ListNumber"/>
      </w:pPr>
      <w:r>
        <w:t xml:space="preserve">Select </w:t>
      </w:r>
      <w:r>
        <w:rPr>
          <w:b/>
        </w:rPr>
        <w:t>Emma Williams</w:t>
      </w:r>
      <w:r>
        <w:t xml:space="preserve"> from the patient dropdown</w:t>
      </w:r>
    </w:p>
    <w:p>
      <w:pPr>
        <w:pStyle w:val="ListNumber"/>
      </w:pPr>
      <w:r/>
      <w:r>
        <w:rPr>
          <w:b/>
        </w:rPr>
        <w:t>Show EDSS scoring:</w:t>
      </w:r>
      <w:r/>
    </w:p>
    <w:p>
      <w:pPr>
        <w:pStyle w:val="ListBullet"/>
        <w:ind w:left="1077"/>
      </w:pPr>
      <w:r>
        <w:t>Expanded Disability Status Scale (0-10)</w:t>
      </w:r>
    </w:p>
    <w:p>
      <w:pPr>
        <w:pStyle w:val="ListBullet"/>
        <w:ind w:left="1077"/>
      </w:pPr>
      <w:r>
        <w:t>Functional system scores (visual, brainstem, pyramidal, cerebellar, sensory, bowel/bladder, cerebral)</w:t>
      </w:r>
    </w:p>
    <w:p>
      <w:pPr>
        <w:pStyle w:val="ListNumber"/>
      </w:pPr>
      <w:r/>
      <w:r>
        <w:rPr>
          <w:b/>
        </w:rPr>
        <w:t>Discuss DMT (disease-modifying therapy) selection:</w:t>
      </w:r>
      <w:r/>
    </w:p>
    <w:p>
      <w:pPr>
        <w:pStyle w:val="ListBullet"/>
        <w:ind w:left="1077"/>
      </w:pPr>
      <w:r>
        <w:t>Based on disease activity level and EDSS trajectory</w:t>
      </w:r>
    </w:p>
    <w:p>
      <w:pPr>
        <w:pStyle w:val="ListBullet"/>
        <w:ind w:left="1077"/>
      </w:pPr>
      <w:r>
        <w:t>High-efficacy vs moderate-efficacy DMTs</w:t>
      </w:r>
    </w:p>
    <w:p>
      <w:r/>
      <w:r>
        <w:rPr>
          <w:b/>
        </w:rPr>
        <w:t>Key talking point:</w:t>
      </w:r>
      <w:r>
        <w:t xml:space="preserve"> </w:t>
      </w:r>
      <w:r>
        <w:rPr>
          <w:i/>
        </w:rPr>
        <w:t>"Emma's RRMS requires continuous monitoring with the EDSS scale. The disease activity scorer tracks her functional system scores and helps guide disease-modifying therapy escalation decisions."</w:t>
      </w:r>
      <w:r/>
    </w:p>
    <w:p>
      <w:r>
        <w:t>____________________________________________________________</w:t>
      </w:r>
    </w:p>
    <w:p>
      <w:pPr>
        <w:pStyle w:val="Heading2"/>
      </w:pPr>
      <w:r>
        <w:t>Patient 8: Karen Foster -- Systemic Sclerosis (dcSSc)</w:t>
      </w:r>
    </w:p>
    <w:p>
      <w:pPr>
        <w:pStyle w:val="Heading3"/>
      </w:pPr>
      <w:r>
        <w:t>Key Narrative</w:t>
      </w:r>
    </w:p>
    <w:p>
      <w:r>
        <w:t>&gt; A 48-year-old woman with diffuse cutaneous systemic sclerosis (dcSSc). Anti-Scl-70 (anti-topoisomerase I) positive, Raynaud's phenomenon, skin thickening, and interstitial lung disease (ILD).</w:t>
      </w:r>
    </w:p>
    <w:p>
      <w:pPr>
        <w:pStyle w:val="Heading3"/>
      </w:pPr>
      <w:r>
        <w:t>Tab 9: Therapy Advisor (Karen Foster)</w:t>
      </w:r>
    </w:p>
    <w:p>
      <w:r/>
      <w:r>
        <w:rPr>
          <w:b/>
        </w:rPr>
        <w:t>Setup:</w:t>
      </w:r>
      <w:r>
        <w:t xml:space="preserve"> Navigate to Tab 9 (Therapy Advisor).</w:t>
      </w:r>
    </w:p>
    <w:p>
      <w:r/>
      <w:r>
        <w:rPr>
          <w:b/>
        </w:rPr>
        <w:t>Demo steps:</w:t>
      </w:r>
      <w:r/>
    </w:p>
    <w:p>
      <w:pPr>
        <w:pStyle w:val="ListNumber"/>
      </w:pPr>
      <w:r>
        <w:t xml:space="preserve">Select </w:t>
      </w:r>
      <w:r>
        <w:rPr>
          <w:b/>
        </w:rPr>
        <w:t>Karen Foster</w:t>
      </w:r>
      <w:r>
        <w:t xml:space="preserve"> from the patient dropdown</w:t>
      </w:r>
    </w:p>
    <w:p>
      <w:pPr>
        <w:pStyle w:val="ListNumber"/>
      </w:pPr>
      <w:r/>
      <w:r>
        <w:rPr>
          <w:b/>
        </w:rPr>
        <w:t>Show therapy recommendations for dcSSc:</w:t>
      </w:r>
      <w:r/>
    </w:p>
    <w:p>
      <w:pPr>
        <w:pStyle w:val="ListBullet"/>
        <w:ind w:left="1077"/>
      </w:pPr>
      <w:r>
        <w:t>Immunosuppressive therapies for skin and lung involvement</w:t>
      </w:r>
    </w:p>
    <w:p>
      <w:pPr>
        <w:pStyle w:val="ListBullet"/>
        <w:ind w:left="1077"/>
      </w:pPr>
      <w:r>
        <w:t>Mycophenolate or cyclophosphamide for ILD</w:t>
      </w:r>
    </w:p>
    <w:p>
      <w:pPr>
        <w:pStyle w:val="ListBullet"/>
        <w:ind w:left="1077"/>
      </w:pPr>
      <w:r>
        <w:t>Nintedanib for progressive ILD</w:t>
      </w:r>
    </w:p>
    <w:p>
      <w:pPr>
        <w:pStyle w:val="ListBullet"/>
        <w:ind w:left="1077"/>
      </w:pPr>
      <w:r>
        <w:t>Rituximab as an alternative</w:t>
      </w:r>
    </w:p>
    <w:p>
      <w:pPr>
        <w:pStyle w:val="ListNumber"/>
      </w:pPr>
      <w:r/>
      <w:r>
        <w:rPr>
          <w:b/>
        </w:rPr>
        <w:t>Discuss organ-specific monitoring:</w:t>
      </w:r>
      <w:r/>
    </w:p>
    <w:p>
      <w:pPr>
        <w:pStyle w:val="ListBullet"/>
        <w:ind w:left="1077"/>
      </w:pPr>
      <w:r>
        <w:t>Pulmonary function tests (FVC, DLCO) for ILD tracking</w:t>
      </w:r>
    </w:p>
    <w:p>
      <w:pPr>
        <w:pStyle w:val="ListBullet"/>
        <w:ind w:left="1077"/>
      </w:pPr>
      <w:r>
        <w:t>Modified Rodnan skin score for skin progression</w:t>
      </w:r>
    </w:p>
    <w:p>
      <w:pPr>
        <w:pStyle w:val="ListBullet"/>
        <w:ind w:left="1077"/>
      </w:pPr>
      <w:r>
        <w:t>Echocardiography for pulmonary hypertension screening</w:t>
      </w:r>
    </w:p>
    <w:p>
      <w:r/>
      <w:r>
        <w:rPr>
          <w:b/>
        </w:rPr>
        <w:t>Key talking point:</w:t>
      </w:r>
      <w:r>
        <w:t xml:space="preserve"> </w:t>
      </w:r>
      <w:r>
        <w:rPr>
          <w:i/>
        </w:rPr>
        <w:t>"Karen's dcSSc with ILD requires therapy that addresses both skin and lung disease. The advisor ranks treatments by evidence level and includes organ-specific monitoring protocols."</w:t>
      </w:r>
      <w:r/>
    </w:p>
    <w:p>
      <w:r>
        <w:t>____________________________________________________________</w:t>
      </w:r>
    </w:p>
    <w:p>
      <w:pPr>
        <w:pStyle w:val="Heading2"/>
      </w:pPr>
      <w:r>
        <w:t>Patient 9: Michael Torres -- Graves' Disease</w:t>
      </w:r>
    </w:p>
    <w:p>
      <w:pPr>
        <w:pStyle w:val="Heading3"/>
      </w:pPr>
      <w:r>
        <w:t>Key Narrative</w:t>
      </w:r>
    </w:p>
    <w:p>
      <w:r>
        <w:t>&gt; A 41-year-old male with Graves' Disease. Positive thyroid-stimulating immunoglobulin (TSI), elevated free T4, suppressed TSH. HLA-DRB1*03:01 carrier.</w:t>
      </w:r>
    </w:p>
    <w:p>
      <w:pPr>
        <w:pStyle w:val="Heading3"/>
      </w:pPr>
      <w:r>
        <w:t>Tab 2: Patient Analysis (Michael Torres)</w:t>
      </w:r>
    </w:p>
    <w:p>
      <w:r/>
      <w:r>
        <w:rPr>
          <w:b/>
        </w:rPr>
        <w:t>Setup:</w:t>
      </w:r>
      <w:r>
        <w:t xml:space="preserve"> Navigate to Tab 2 (Patient Analysis).</w:t>
      </w:r>
    </w:p>
    <w:p>
      <w:r/>
      <w:r>
        <w:rPr>
          <w:b/>
        </w:rPr>
        <w:t>Demo steps:</w:t>
      </w:r>
      <w:r/>
    </w:p>
    <w:p>
      <w:pPr>
        <w:pStyle w:val="ListNumber"/>
      </w:pPr>
      <w:r>
        <w:t xml:space="preserve">Select </w:t>
      </w:r>
      <w:r>
        <w:rPr>
          <w:b/>
        </w:rPr>
        <w:t>Michael Torres</w:t>
      </w:r>
      <w:r>
        <w:t xml:space="preserve"> from the patient dropdown</w:t>
      </w:r>
    </w:p>
    <w:p>
      <w:pPr>
        <w:pStyle w:val="ListNumber"/>
      </w:pPr>
      <w:r>
        <w:t xml:space="preserve">Click </w:t>
      </w:r>
      <w:r>
        <w:rPr>
          <w:b/>
        </w:rPr>
        <w:t>Run Full Analysis</w:t>
      </w:r>
      <w:r/>
    </w:p>
    <w:p>
      <w:pPr>
        <w:pStyle w:val="ListNumber"/>
      </w:pPr>
      <w:r/>
      <w:r>
        <w:rPr>
          <w:b/>
        </w:rPr>
        <w:t>Show Burch-Wartofsky scoring:</w:t>
      </w:r>
      <w:r/>
    </w:p>
    <w:p>
      <w:pPr>
        <w:pStyle w:val="ListBullet"/>
        <w:ind w:left="1077"/>
      </w:pPr>
      <w:r>
        <w:t>Point system for thyroid storm assessment</w:t>
      </w:r>
    </w:p>
    <w:p>
      <w:pPr>
        <w:pStyle w:val="ListBullet"/>
        <w:ind w:left="1077"/>
      </w:pPr>
      <w:r>
        <w:t>Components: temperature, CNS effects, GI dysfunction, heart rate, heart failure, atrial fibrillation, precipitant history</w:t>
      </w:r>
    </w:p>
    <w:p>
      <w:pPr>
        <w:pStyle w:val="ListBullet"/>
        <w:ind w:left="1077"/>
      </w:pPr>
      <w:r>
        <w:t>Score interpretation: &lt; 25 unlikely, 25-44 impending, &gt;= 45 thyroid storm</w:t>
      </w:r>
    </w:p>
    <w:p>
      <w:pPr>
        <w:pStyle w:val="ListNumber"/>
      </w:pPr>
      <w:r/>
      <w:r>
        <w:rPr>
          <w:b/>
        </w:rPr>
        <w:t>Show therapy recommendations:</w:t>
      </w:r>
      <w:r/>
    </w:p>
    <w:p>
      <w:pPr>
        <w:pStyle w:val="ListBullet"/>
        <w:ind w:left="1077"/>
      </w:pPr>
      <w:r>
        <w:t>Antithyroid drugs (methimazole, PTU) vs radioactive iodine (RAI) vs thyroidectomy</w:t>
      </w:r>
    </w:p>
    <w:p>
      <w:pPr>
        <w:pStyle w:val="ListBullet"/>
        <w:ind w:left="1077"/>
      </w:pPr>
      <w:r>
        <w:t>PGx considerations for drug metabolism</w:t>
      </w:r>
    </w:p>
    <w:p>
      <w:r/>
      <w:r>
        <w:rPr>
          <w:b/>
        </w:rPr>
        <w:t>Key talking point:</w:t>
      </w:r>
      <w:r>
        <w:t xml:space="preserve"> </w:t>
      </w:r>
      <w:r>
        <w:rPr>
          <w:i/>
        </w:rPr>
        <w:t>"Michael's Graves' Disease case demonstrates the Burch-Wartofsky scoring system for thyroid storm assessment -- a clinical emergency. The agent calculates the score and provides treatment recommendations including the antithyroid drug vs RAI decision framework."</w:t>
      </w:r>
      <w:r/>
    </w:p>
    <w:p>
      <w:r>
        <w:t>____________________________________________________________</w:t>
      </w:r>
    </w:p>
    <w:p>
      <w:pPr>
        <w:pStyle w:val="Heading2"/>
      </w:pPr>
      <w:r>
        <w:t>Tab 10: Knowledge Base</w:t>
      </w:r>
    </w:p>
    <w:p>
      <w:r/>
      <w:r>
        <w:rPr>
          <w:b/>
        </w:rPr>
        <w:t>Setup:</w:t>
      </w:r>
      <w:r>
        <w:t xml:space="preserve"> Navigate to Tab 10 (Knowledge Base).</w:t>
      </w:r>
    </w:p>
    <w:p>
      <w:r/>
      <w:r>
        <w:rPr>
          <w:b/>
        </w:rPr>
        <w:t>Demo steps (use with any patient or standalone):</w:t>
      </w:r>
      <w:r/>
    </w:p>
    <w:p>
      <w:pPr>
        <w:pStyle w:val="ListNumber"/>
      </w:pPr>
      <w:r/>
      <w:r>
        <w:rPr>
          <w:b/>
        </w:rPr>
        <w:t>Show knowledge base version and statistics:</w:t>
      </w:r>
      <w:r/>
    </w:p>
    <w:p>
      <w:pPr>
        <w:pStyle w:val="ListBullet"/>
        <w:ind w:left="1077"/>
      </w:pPr>
      <w:r>
        <w:t>Version: 2.0.0</w:t>
      </w:r>
    </w:p>
    <w:p>
      <w:pPr>
        <w:pStyle w:val="ListBullet"/>
        <w:ind w:left="1077"/>
      </w:pPr>
      <w:r>
        <w:t>22 HLA alleles mapped with disease associations and odds ratios</w:t>
      </w:r>
    </w:p>
    <w:p>
      <w:pPr>
        <w:pStyle w:val="ListBullet"/>
        <w:ind w:left="1077"/>
      </w:pPr>
      <w:r>
        <w:t>24 autoantibodies characterized with sensitivity/specificity data</w:t>
      </w:r>
    </w:p>
    <w:p>
      <w:pPr>
        <w:pStyle w:val="ListBullet"/>
        <w:ind w:left="1077"/>
      </w:pPr>
      <w:r>
        <w:t>22 biologic therapies catalogued with PGx considerations</w:t>
      </w:r>
    </w:p>
    <w:p>
      <w:pPr>
        <w:pStyle w:val="ListBullet"/>
        <w:ind w:left="1077"/>
      </w:pPr>
      <w:r>
        <w:t>20 disease activity scoring systems across 13 diseases</w:t>
      </w:r>
    </w:p>
    <w:p>
      <w:pPr>
        <w:pStyle w:val="ListBullet"/>
        <w:ind w:left="1077"/>
      </w:pPr>
      <w:r>
        <w:t>13 flare prediction biomarker patterns</w:t>
      </w:r>
    </w:p>
    <w:p>
      <w:pPr>
        <w:pStyle w:val="ListBullet"/>
        <w:ind w:left="1077"/>
      </w:pPr>
      <w:r>
        <w:t>10 ACR/EULAR classification criteria sets</w:t>
      </w:r>
    </w:p>
    <w:p>
      <w:pPr>
        <w:pStyle w:val="ListBullet"/>
        <w:ind w:left="1077"/>
      </w:pPr>
      <w:r>
        <w:t>9 overlap syndrome patterns</w:t>
      </w:r>
    </w:p>
    <w:p>
      <w:pPr>
        <w:pStyle w:val="ListNumber"/>
      </w:pPr>
      <w:r/>
      <w:r>
        <w:rPr>
          <w:b/>
        </w:rPr>
        <w:t>Show collection statistics:</w:t>
      </w:r>
      <w:r/>
    </w:p>
    <w:p>
      <w:pPr>
        <w:pStyle w:val="ListBullet"/>
        <w:ind w:left="1077"/>
      </w:pPr>
      <w:r>
        <w:t>Vector counts per collection</w:t>
      </w:r>
    </w:p>
    <w:p>
      <w:pPr>
        <w:pStyle w:val="ListBullet"/>
        <w:ind w:left="1077"/>
      </w:pPr>
      <w:r>
        <w:t>Total vectors across all 14 collections</w:t>
      </w:r>
    </w:p>
    <w:p>
      <w:pPr>
        <w:pStyle w:val="ListBullet"/>
        <w:ind w:left="1077"/>
      </w:pPr>
      <w:r>
        <w:t>Index type and similarity metric</w:t>
      </w:r>
    </w:p>
    <w:p>
      <w:pPr>
        <w:pStyle w:val="ListNumber"/>
      </w:pPr>
      <w:r/>
      <w:r>
        <w:rPr>
          <w:b/>
        </w:rPr>
        <w:t>Show source citations:</w:t>
      </w:r>
      <w:r/>
    </w:p>
    <w:p>
      <w:pPr>
        <w:pStyle w:val="ListBullet"/>
        <w:ind w:left="1077"/>
      </w:pPr>
      <w:r>
        <w:t>ACR/EULAR classification criteria (with publication years)</w:t>
      </w:r>
    </w:p>
    <w:p>
      <w:pPr>
        <w:pStyle w:val="ListBullet"/>
        <w:ind w:left="1077"/>
      </w:pPr>
      <w:r>
        <w:t>CPIC pharmacogenomic guidelines</w:t>
      </w:r>
    </w:p>
    <w:p>
      <w:pPr>
        <w:pStyle w:val="ListBullet"/>
        <w:ind w:left="1077"/>
      </w:pPr>
      <w:r>
        <w:t>HLA disease association databases</w:t>
      </w:r>
    </w:p>
    <w:p>
      <w:pPr>
        <w:pStyle w:val="ListBullet"/>
        <w:ind w:left="1077"/>
      </w:pPr>
      <w:r>
        <w:t>FDA biologic drug approvals</w:t>
      </w:r>
    </w:p>
    <w:p>
      <w:r/>
      <w:r>
        <w:rPr>
          <w:b/>
        </w:rPr>
        <w:t>Key talking point:</w:t>
      </w:r>
      <w:r>
        <w:t xml:space="preserve"> </w:t>
      </w:r>
      <w:r>
        <w:rPr>
          <w:i/>
        </w:rPr>
        <w:t>"The knowledge base is curated from validated clinical sources -- ACR/EULAR classification criteria, HLA disease association databases, CPIC pharmacogenomic guidelines, and FDA biologic approvals. Every recommendation traces back to published evidence."</w:t>
      </w:r>
      <w:r/>
    </w:p>
    <w:p>
      <w:r>
        <w:t>____________________________________________________________</w:t>
      </w:r>
    </w:p>
    <w:p>
      <w:pPr>
        <w:pStyle w:val="Heading2"/>
      </w:pPr>
      <w:r>
        <w:t>Sample API Interactions</w:t>
      </w:r>
    </w:p>
    <w:p>
      <w:r>
        <w:t>For technical audiences, demonstrate the REST API alongside the UI:</w:t>
      </w:r>
    </w:p>
    <w:p>
      <w:pPr>
        <w:pStyle w:val="Heading3"/>
      </w:pPr>
      <w:r>
        <w:t>Query via API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curl -X POST http://localhost:8532/v1/query \</w:t>
        <w:br/>
        <w:t xml:space="preserve">  -H "Content-Type: application/json" \</w:t>
        <w:br/>
        <w:t xml:space="preserve">  -d '{</w:t>
        <w:br/>
        <w:t xml:space="preserve">    "question": "What biologics are recommended for refractory lupus nephritis?",</w:t>
        <w:br/>
        <w:t xml:space="preserve">    "patient_id": "sarah_mitchell"</w:t>
        <w:br/>
        <w:t xml:space="preserve">  }'</w:t>
      </w:r>
    </w:p>
    <w:p>
      <w:r/>
      <w:r>
        <w:rPr>
          <w:b/>
        </w:rPr>
        <w:t>Expected response:</w:t>
      </w:r>
      <w:r>
        <w:t xml:space="preserve"> JSON with </w:t>
      </w:r>
      <w:r>
        <w:rPr>
          <w:rFonts w:ascii="Consolas" w:hAnsi="Consolas"/>
          <w:color w:val="2E864B"/>
          <w:sz w:val="20"/>
        </w:rPr>
        <w:t>answer</w:t>
      </w:r>
      <w:r>
        <w:t xml:space="preserve">, </w:t>
      </w:r>
      <w:r>
        <w:rPr>
          <w:rFonts w:ascii="Consolas" w:hAnsi="Consolas"/>
          <w:color w:val="2E864B"/>
          <w:sz w:val="20"/>
        </w:rPr>
        <w:t>evidence</w:t>
      </w:r>
      <w:r>
        <w:t xml:space="preserve"> (list of citations with scores), and </w:t>
      </w:r>
      <w:r>
        <w:rPr>
          <w:rFonts w:ascii="Consolas" w:hAnsi="Consolas"/>
          <w:color w:val="2E864B"/>
          <w:sz w:val="20"/>
        </w:rPr>
        <w:t>knowledge_used</w:t>
      </w:r>
      <w:r>
        <w:t xml:space="preserve"> fields.</w:t>
      </w:r>
    </w:p>
    <w:p>
      <w:pPr>
        <w:pStyle w:val="Heading3"/>
      </w:pPr>
      <w:r>
        <w:t>Patient Analysis via API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curl -X POST http://localhost:8532/v1/analyze \</w:t>
        <w:br/>
        <w:t xml:space="preserve">  -H "Content-Type: application/json" \</w:t>
        <w:br/>
        <w:t xml:space="preserve">  -d '{</w:t>
        <w:br/>
        <w:t xml:space="preserve">    "patient_id": "sarah_mitchell",</w:t>
        <w:br/>
        <w:t xml:space="preserve">    "include_autoantibodies": true,</w:t>
        <w:br/>
        <w:t xml:space="preserve">    "include_hla": true,</w:t>
        <w:br/>
        <w:t xml:space="preserve">    "include_activity": true,</w:t>
        <w:br/>
        <w:t xml:space="preserve">    "include_flare": true,</w:t>
        <w:br/>
        <w:t xml:space="preserve">    "include_therapy": true</w:t>
        <w:br/>
        <w:t xml:space="preserve">  }'</w:t>
      </w:r>
    </w:p>
    <w:p>
      <w:r/>
      <w:r>
        <w:rPr>
          <w:b/>
        </w:rPr>
        <w:t>Expected response:</w:t>
      </w:r>
      <w:r>
        <w:t xml:space="preserve"> JSON with sections for autoantibody</w:t>
      </w:r>
      <w:r>
        <w:rPr>
          <w:i/>
        </w:rPr>
        <w:t>interpretation, hla</w:t>
      </w:r>
      <w:r>
        <w:t>associations, disease</w:t>
      </w:r>
      <w:r>
        <w:rPr>
          <w:i/>
        </w:rPr>
        <w:t>activity, flare</w:t>
      </w:r>
      <w:r>
        <w:t>prediction, and therapy_recommendations.</w:t>
      </w:r>
    </w:p>
    <w:p>
      <w:pPr>
        <w:pStyle w:val="Heading3"/>
      </w:pPr>
      <w:r>
        <w:t>Export via API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FHIR R4 export</w:t>
        <w:br/>
        <w:t>curl -X POST http://localhost:8532/v1/export/fhir \</w:t>
        <w:br/>
        <w:t xml:space="preserve">  -H "Content-Type: application/json" \</w:t>
        <w:br/>
        <w:t xml:space="preserve">  -d '{"patient_id": "sarah_mitchell"}' \</w:t>
        <w:br/>
        <w:t xml:space="preserve">  -o sarah_mitchell_fhir.json</w:t>
        <w:br/>
        <w:br/>
        <w:t># PDF report</w:t>
        <w:br/>
        <w:t>curl -X GET http://localhost:8532/v1/report/sarah_mitchell/pdf \</w:t>
        <w:br/>
        <w:t xml:space="preserve">  -o sarah_mitchell_report.pdf</w:t>
      </w:r>
    </w:p>
    <w:p>
      <w:r>
        <w:t>____________________________________________________________</w:t>
      </w:r>
    </w:p>
    <w:p>
      <w:pPr>
        <w:pStyle w:val="Heading2"/>
      </w:pPr>
      <w:r>
        <w:t>Troubleshooting</w:t>
      </w:r>
    </w:p>
    <w:p>
      <w:pPr>
        <w:pStyle w:val="Heading3"/>
      </w:pPr>
      <w:r>
        <w:t>Common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Issue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Symptoms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Resolution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Streamlit not starting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Port 8531 not responding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Check port is free: `lsof -i :8531`. Kill conflicting process if needed.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"No collections found"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Empty results in all tabs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Run `python3 scripts/setup_collections.py --seed` to create and seed collections.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RAG returns empty responses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Query returns but with no citations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Check Milvus is running: `curl localhost:19530/healthz`. Verify collections are seeded.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Document ingest fails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Error on PDF upload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Check PDF file size (&lt; 50 MB) and format. Ensure PyPDF2 can read the file. Corrupted PDFs will fail.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No demo patients available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Patient dropdown is empty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Run `python3 scripts/generate_demo_patients.py` to generate and ingest demo data.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LLM features unavailable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Queries return without synthesis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Verify `AUTO_ANTHROPIC_API_KEY` or `ANTHROPIC_API_KEY` environment variable is set with a valid key.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HLA analysis empty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 HLA associations shown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Ensure the selected patient has HLA profile data loaded. Not all patients have HLA genotyping.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Slow query responses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Queries take &gt; 60 seconds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Check network latency to Anthropic API. Verify Milvus is not under memory pressure (`docker stats`).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Collection count mismatch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Fewer than 14 collections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Run `python3 scripts/setup_collections.py --seed` with `--drop-existing` flag to recreate all collections.</w:t>
            </w:r>
          </w:p>
        </w:tc>
      </w:tr>
    </w:tbl>
    <w:p>
      <w:pPr>
        <w:pStyle w:val="Heading3"/>
      </w:pPr>
      <w:r>
        <w:t>Milvus Connection Issues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Check if Milvus container is running</w:t>
        <w:br/>
        <w:t>docker ps | grep milvus</w:t>
        <w:br/>
        <w:br/>
        <w:t># Check Milvus logs for errors</w:t>
        <w:br/>
        <w:t>docker logs milvus-standalone --tail 50</w:t>
        <w:br/>
        <w:br/>
        <w:t># Restart Milvus if needed</w:t>
        <w:br/>
        <w:t>docker restart milvus-standalone</w:t>
        <w:br/>
        <w:br/>
        <w:t># Wait for Milvus to be ready (30-60 seconds)</w:t>
        <w:br/>
        <w:t>until curl -s http://localhost:19530/healthz | grep -q OK; do</w:t>
        <w:br/>
        <w:t xml:space="preserve">  echo "Waiting for Milvus..."</w:t>
        <w:br/>
        <w:t xml:space="preserve">  sleep 5</w:t>
        <w:br/>
        <w:t>done</w:t>
        <w:br/>
        <w:t>echo "Milvus is ready"</w:t>
      </w:r>
    </w:p>
    <w:p>
      <w:pPr>
        <w:pStyle w:val="Heading3"/>
      </w:pPr>
      <w:r>
        <w:t>Anthropic API Issues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Verify API key is set</w:t>
        <w:br/>
        <w:t>echo $ANTHROPIC_API_KEY | head -c 10</w:t>
        <w:br/>
        <w:t># Should show: sk-ant-api</w:t>
        <w:br/>
        <w:br/>
        <w:t># Test API connectivity</w:t>
        <w:br/>
        <w:t>curl -s https://api.anthropic.com/v1/messages \</w:t>
        <w:br/>
        <w:t xml:space="preserve">  -H "x-api-key: $ANTHROPIC_API_KEY" \</w:t>
        <w:br/>
        <w:t xml:space="preserve">  -H "content-type: application/json" \</w:t>
        <w:br/>
        <w:t xml:space="preserve">  -H "anthropic-version: 2023-06-01" \</w:t>
        <w:br/>
        <w:t xml:space="preserve">  -d '{"model":"claude-sonnet-4-6","max_tokens":10,"messages":[{"role":"user","content":"hi"}]}' \</w:t>
        <w:br/>
        <w:t xml:space="preserve">  | python3 -m json.tool</w:t>
      </w:r>
    </w:p>
    <w:p>
      <w:pPr>
        <w:pStyle w:val="Heading3"/>
      </w:pPr>
      <w:r>
        <w:t>Performance Optimization</w:t>
      </w:r>
    </w:p>
    <w:p>
      <w:r>
        <w:t>If demo performance is slow:</w:t>
      </w:r>
    </w:p>
    <w:p>
      <w:pPr>
        <w:pStyle w:val="ListNumber"/>
      </w:pPr>
      <w:r/>
      <w:r>
        <w:rPr>
          <w:b/>
        </w:rPr>
        <w:t>Reduce collections searched:</w:t>
      </w:r>
      <w:r>
        <w:t xml:space="preserve"> Set </w:t>
      </w:r>
      <w:r>
        <w:rPr>
          <w:rFonts w:ascii="Consolas" w:hAnsi="Consolas"/>
          <w:color w:val="2E864B"/>
          <w:sz w:val="20"/>
        </w:rPr>
        <w:t>AUTO_TOP_K_PER_COLLECTION=3</w:t>
      </w:r>
      <w:r>
        <w:t xml:space="preserve"> (default 5)</w:t>
      </w:r>
    </w:p>
    <w:p>
      <w:pPr>
        <w:pStyle w:val="ListNumber"/>
      </w:pPr>
      <w:r/>
      <w:r>
        <w:rPr>
          <w:b/>
        </w:rPr>
        <w:t>Lower evidence threshold:</w:t>
      </w:r>
      <w:r>
        <w:t xml:space="preserve"> Set </w:t>
      </w:r>
      <w:r>
        <w:rPr>
          <w:rFonts w:ascii="Consolas" w:hAnsi="Consolas"/>
          <w:color w:val="2E864B"/>
          <w:sz w:val="20"/>
        </w:rPr>
        <w:t>AUTO_SCORE_THRESHOLD=0.50</w:t>
      </w:r>
      <w:r>
        <w:t xml:space="preserve"> (default 0.40) to reduce low-relevance results</w:t>
      </w:r>
    </w:p>
    <w:p>
      <w:pPr>
        <w:pStyle w:val="ListNumber"/>
      </w:pPr>
      <w:r/>
      <w:r>
        <w:rPr>
          <w:b/>
        </w:rPr>
        <w:t>Check Docker resource allocation:</w:t>
      </w:r>
      <w:r>
        <w:t xml:space="preserve"> Ensure Docker has at least 8 GB RAM allocated</w:t>
      </w:r>
    </w:p>
    <w:p>
      <w:pPr>
        <w:pStyle w:val="ListNumber"/>
      </w:pPr>
      <w:r/>
      <w:r>
        <w:rPr>
          <w:b/>
        </w:rPr>
        <w:t>Monitor Milvus memory:</w:t>
      </w:r>
      <w:r>
        <w:t xml:space="preserve"> </w:t>
      </w:r>
      <w:r>
        <w:rPr>
          <w:rFonts w:ascii="Consolas" w:hAnsi="Consolas"/>
          <w:color w:val="2E864B"/>
          <w:sz w:val="20"/>
        </w:rPr>
        <w:t>docker stats milvus-standalone</w:t>
      </w:r>
      <w:r>
        <w:t xml:space="preserve"> -- Milvus should use &lt; 4 GB for 14 collections</w:t>
      </w:r>
    </w:p>
    <w:p>
      <w:r>
        <w:t>____________________________________________________________</w:t>
      </w:r>
    </w:p>
    <w:p>
      <w:pPr>
        <w:pStyle w:val="Heading2"/>
      </w:pPr>
      <w:r>
        <w:t>Quick Reset</w:t>
      </w:r>
    </w:p>
    <w:p>
      <w:r>
        <w:t>If you need to reset the demo environment completely: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cd ai_agent_adds/precision_autoimmune_agent</w:t>
        <w:br/>
        <w:br/>
        <w:t># Re-create collections and re-seed knowledge (drops and recreates)</w:t>
        <w:br/>
        <w:t>python3 scripts/setup_collections.py --seed --drop-existing</w:t>
        <w:br/>
        <w:br/>
        <w:t># Re-generate demo patient data</w:t>
        <w:br/>
        <w:t>python3 scripts/generate_demo_patients.py</w:t>
        <w:br/>
        <w:br/>
        <w:t># Verify all tests pass</w:t>
        <w:br/>
        <w:t>python3 -m pytest tests/ -v</w:t>
        <w:br/>
        <w:t># -&gt; 455 tests passed</w:t>
        <w:br/>
        <w:br/>
        <w:t># Restart Streamlit UI</w:t>
        <w:br/>
        <w:t># Ctrl+C the streamlit process, then:</w:t>
        <w:br/>
        <w:t>streamlit run app/autoimmune_ui.py --server.port 8531</w:t>
        <w:br/>
        <w:br/>
        <w:t># Restart FastAPI server</w:t>
        <w:br/>
        <w:t># Ctrl+C the uvicorn process, then:</w:t>
        <w:br/>
        <w:t>uvicorn api.main:app --host 0.0.0.0 --port 8532 --workers 2</w:t>
      </w:r>
    </w:p>
    <w:p>
      <w:pPr>
        <w:pStyle w:val="Heading3"/>
      </w:pPr>
      <w:r>
        <w:t>Docker Reset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Stop all autoimmune agent containers</w:t>
        <w:br/>
        <w:t>docker compose -f docker-compose.yml down</w:t>
        <w:br/>
        <w:br/>
        <w:t># Rebuild and restart</w:t>
        <w:br/>
        <w:t>docker compose -f docker-compose.yml up -d --build</w:t>
        <w:br/>
        <w:br/>
        <w:t># Watch setup progress</w:t>
        <w:br/>
        <w:t>docker compose logs -f autoimmune-setup</w:t>
        <w:br/>
        <w:br/>
        <w:t># Verify services are healthy</w:t>
        <w:br/>
        <w:t>docker compose 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7733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7733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773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