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333"/>
          <w:sz w:val="48"/>
        </w:rPr>
        <w:t>Clinical Trial Intelligence Agent</w:t>
      </w:r>
    </w:p>
    <w:p>
      <w:pPr>
        <w:pStyle w:val="Heading1"/>
      </w:pPr>
      <w:r>
        <w:rPr>
          <w:color w:val="1B2333"/>
          <w:sz w:val="36"/>
        </w:rPr>
        <w:t>Clinical Impact Assessment &amp; Uniqueness Analysis</w:t>
      </w:r>
    </w:p>
    <w:p>
      <w:r>
        <w:rPr>
          <w:b/>
          <w:color w:val="333333"/>
          <w:sz w:val="20"/>
        </w:rPr>
        <w:t>HCLS AI Factory — Precision Medicine Platform</w:t>
      </w:r>
    </w:p>
    <w:p>
      <w:r>
        <w:rPr>
          <w:b w:val="0"/>
          <w:color w:val="333333"/>
          <w:sz w:val="20"/>
        </w:rPr>
        <w:t>Author: Adam Jones | Date: March 2026 | Platform: NVIDIA DGX Spark</w:t>
      </w:r>
    </w:p>
    <w:p>
      <w:r>
        <w:rPr>
          <w:b w:val="0"/>
          <w:color w:val="333333"/>
          <w:sz w:val="20"/>
        </w:rPr>
        <w:t>Version 2.0.0 | Apache 2.0 License</w:t>
      </w:r>
    </w:p>
    <w:p>
      <w:r>
        <w:br w:type="page"/>
      </w:r>
    </w:p>
    <w:p>
      <w:pPr>
        <w:pStyle w:val="Heading1"/>
      </w:pPr>
      <w:r>
        <w:rPr>
          <w:color w:val="1B2333"/>
          <w:sz w:val="36"/>
        </w:rPr>
        <w:t>Will This Agent Decrease Time to Treat Disease?</w:t>
      </w:r>
    </w:p>
    <w:p>
      <w:r>
        <w:rPr>
          <w:b w:val="0"/>
          <w:color w:val="333333"/>
          <w:sz w:val="20"/>
        </w:rPr>
        <w:t>Yes — and the impact is more direct than any other agent in the platform because clinical trials are the literal gateway between a drug candidate and a patient. Every day a trial is delayed is a day patients who could benefit from effective therapies continue to suffer or die.</w:t>
      </w:r>
    </w:p>
    <w:p>
      <w:pPr>
        <w:pStyle w:val="Heading2"/>
      </w:pPr>
      <w:r>
        <w:rPr>
          <w:color w:val="1AAFCC"/>
          <w:sz w:val="28"/>
        </w:rPr>
        <w:t>Time Compression by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Current Time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With 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Protocol design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 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Searches 40 landmark trials + 14 collections for optimized blueprint with complexity scoring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Patient-trial matching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2-4 weeks per patient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Per-criterion eligibility evaluation across entire ClinicalTrials.gov database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optimization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done (discovered 12-18 months 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Automated at design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86% of protocols have overly restrictive criteria (Tufts CSDD) — agent identifies before first patient enrolled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Safety signal 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6-12 months (quarterly FAERS review)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PRR/ROR/IC/EBGM calculated instantly, cross-referenced with PGx and cardiac safety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Regulatory doc preparation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4-6 weeks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IND/CSR frameworks generated with evidence citations and regulatory precedent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Site selection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7-dimension scoring: enrollment rate, screen failure, investigator h-index, diversity, regulatory readiness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Competitive intelligence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Ongoing manual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Automated pipeline tracking, enrollment velocity, differentiation 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Diversity assessment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Retrospective (post-enrollment)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Prospective (at design)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FDA Diversity Action Plan generated at protocol design, not after recruitment failure</w:t>
            </w:r>
          </w:p>
        </w:tc>
      </w:tr>
    </w:tbl>
    <w:p/>
    <w:p>
      <w:pPr>
        <w:pStyle w:val="Heading2"/>
      </w:pPr>
      <w:r>
        <w:rPr>
          <w:color w:val="1AAFCC"/>
          <w:sz w:val="28"/>
        </w:rPr>
        <w:t>The Recruitment Bottleneck</w:t>
      </w:r>
    </w:p>
    <w:p>
      <w:r>
        <w:rPr>
          <w:b/>
          <w:color w:val="333333"/>
          <w:sz w:val="20"/>
        </w:rPr>
        <w:t>The #1 reason trials fail is recruitment. The statistics are stark:</w:t>
      </w:r>
    </w:p>
    <w:p>
      <w:pPr>
        <w:pStyle w:val="ListBullet"/>
      </w:pPr>
      <w:r>
        <w:t>80% of clinical trials fail to recruit on time</w:t>
      </w:r>
    </w:p>
    <w:p>
      <w:pPr>
        <w:pStyle w:val="ListBullet"/>
      </w:pPr>
      <w:r>
        <w:t>50% of trial sites enroll zero patients</w:t>
      </w:r>
    </w:p>
    <w:p>
      <w:pPr>
        <w:pStyle w:val="ListBullet"/>
      </w:pPr>
      <w:r>
        <w:t>Recruitment accounts for 30% of total trial cost</w:t>
      </w:r>
    </w:p>
    <w:p>
      <w:pPr>
        <w:pStyle w:val="ListBullet"/>
      </w:pPr>
      <w:r>
        <w:t>Protocol complexity has increased 70% over the past decade (avg 170 procedures, 13 endpoints)</w:t>
      </w:r>
    </w:p>
    <w:p>
      <w:pPr>
        <w:pStyle w:val="ListBullet"/>
      </w:pPr>
      <w:r>
        <w:t>An estimated 30,000 cancer patients in the US alone die annually while waiting for drugs that will eventually gain FDA approval</w:t>
      </w:r>
    </w:p>
    <w:p>
      <w:r>
        <w:rPr>
          <w:b w:val="0"/>
          <w:color w:val="333333"/>
          <w:sz w:val="20"/>
        </w:rPr>
        <w:t>The Clinical Trial Intelligence Agent attacks all five of these problems simultaneously — protocol optimization reduces complexity, eligibility analysis broadens the eligible population, site intelligence identifies high-performing sites, and patient matching connects the right patients to the right trials.</w:t>
      </w:r>
    </w:p>
    <w:p>
      <w:pPr>
        <w:pStyle w:val="Heading2"/>
      </w:pPr>
      <w:r>
        <w:rPr>
          <w:color w:val="1AAFCC"/>
          <w:sz w:val="28"/>
        </w:rPr>
        <w:t>The Cross-Agent Multiplier</w:t>
      </w:r>
    </w:p>
    <w:p>
      <w:r>
        <w:rPr>
          <w:b/>
          <w:color w:val="333333"/>
          <w:sz w:val="20"/>
        </w:rPr>
        <w:t>This agent does not work in isolation. When a drug candidate emerges from the Drug Discovery Pipeline:</w:t>
      </w:r>
    </w:p>
    <w:p>
      <w:pPr>
        <w:pStyle w:val="ListNumber"/>
      </w:pPr>
      <w:r>
        <w:t>1. Clinical Trial Agent designs the optimal protocol (complexity scoring, endpoint benchmarking)</w:t>
      </w:r>
    </w:p>
    <w:p>
      <w:pPr>
        <w:pStyle w:val="ListNumber"/>
      </w:pPr>
      <w:r>
        <w:t>2. Oncology Agent provides molecular profiling for patient eligibility (EGFR, ALK, BRAF, MSI-H)</w:t>
      </w:r>
    </w:p>
    <w:p>
      <w:pPr>
        <w:pStyle w:val="ListNumber"/>
      </w:pPr>
      <w:r>
        <w:t>3. Pharmacogenomics Agent screens for CYP450 metabolism (will patients process the drug safely?)</w:t>
      </w:r>
    </w:p>
    <w:p>
      <w:pPr>
        <w:pStyle w:val="ListNumber"/>
      </w:pPr>
      <w:r>
        <w:t>4. Cardiology Agent assesses cardiac safety endpoints (QTc prolongation, MACE risk)</w:t>
      </w:r>
    </w:p>
    <w:p>
      <w:pPr>
        <w:pStyle w:val="ListNumber"/>
      </w:pPr>
      <w:r>
        <w:t>5. Biomarker Agent optimizes enrichment strategies (predictive vs prognostic biomarker selection)</w:t>
      </w:r>
    </w:p>
    <w:p>
      <w:pPr>
        <w:pStyle w:val="ListNumber"/>
      </w:pPr>
      <w:r>
        <w:t>6. Single-Cell Agent validates target expression at cellular resolution (on-tumor vs off-tumor)</w:t>
      </w:r>
    </w:p>
    <w:p>
      <w:r>
        <w:rPr>
          <w:b w:val="0"/>
          <w:color w:val="333333"/>
          <w:sz w:val="20"/>
        </w:rPr>
        <w:t>This cross-agent coordination — from molecule to trial design to patient recruitment — is a workflow that currently takes pharmaceutical companies 12-18 months. The HCLS AI Factory compresses it to days.</w:t>
      </w:r>
    </w:p>
    <w:p>
      <w:pPr>
        <w:pStyle w:val="Heading2"/>
      </w:pPr>
      <w:r>
        <w:rPr>
          <w:color w:val="1AAFCC"/>
          <w:sz w:val="28"/>
        </w:rPr>
        <w:t>Real-World Impact Estimate</w:t>
      </w:r>
    </w:p>
    <w:p>
      <w:r>
        <w:rPr>
          <w:b/>
          <w:color w:val="333333"/>
          <w:sz w:val="20"/>
        </w:rPr>
        <w:t>If the agent reduces trial design time by 40% and improves recruitment efficiency by 3x, a typical Phase III trial timeline could shrink from 3-5 years to 2-3 years. Across the approximately 4,000 Phase III trials active globally at any given time, that acceleration could bring effective therapies to millions of patients 1-2 years sooner.</w:t>
      </w:r>
    </w:p>
    <w:p>
      <w:r>
        <w:br w:type="page"/>
      </w:r>
    </w:p>
    <w:p>
      <w:pPr>
        <w:pStyle w:val="Heading1"/>
      </w:pPr>
      <w:r>
        <w:rPr>
          <w:color w:val="1B2333"/>
          <w:sz w:val="36"/>
        </w:rPr>
        <w:t>Does Something Like This Currently Exist?</w:t>
      </w:r>
    </w:p>
    <w:p>
      <w:r>
        <w:rPr>
          <w:b/>
          <w:color w:val="333333"/>
          <w:sz w:val="20"/>
        </w:rPr>
        <w:t>Not like this. Not with this integration depth.</w:t>
      </w:r>
    </w:p>
    <w:p>
      <w:pPr>
        <w:pStyle w:val="Heading2"/>
      </w:pPr>
      <w:r>
        <w:rPr>
          <w:color w:val="1AAFCC"/>
          <w:sz w:val="28"/>
        </w:rPr>
        <w:t>Market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Doesn't 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Medidata Rave (Dassault)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Trial data management (EDC/CDMS), site monitoring, randomization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AI protocol optimization, no genomic matching, no 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Veeva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 operations, document management, regulatory submissions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intelligent protocol design, no eligibility analysis, no cross-agent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Deep 6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patient matching against EHR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Single-purpose — no protocol optimization, no safety, no regulatory, no competitive intel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Unlearn.AI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twin control arms (reduce placebo enrollment)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aspect of trial design only, not end-to-end intelligence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TriNetX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Real-world data network for feasibility and recruitment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Network-based not RAG-based — can't reason across protocols and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 analytics and data quality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Post-hoc analysis, not prospective design optimization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Tempus Trial 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Genomic-informed trial matching (oncology)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Oncology-only, proprietary, enterprise pricing ($500K+/yr), no protocol design</w:t>
            </w:r>
          </w:p>
        </w:tc>
      </w:tr>
    </w:tbl>
    <w:p/>
    <w:p>
      <w:pPr>
        <w:pStyle w:val="Heading2"/>
      </w:pPr>
      <w:r>
        <w:rPr>
          <w:color w:val="1AAFCC"/>
          <w:sz w:val="28"/>
        </w:rPr>
        <w:t>What Makes This Architecturally Novel</w:t>
      </w:r>
    </w:p>
    <w:p>
      <w:r>
        <w:rPr>
          <w:b/>
          <w:color w:val="333333"/>
          <w:sz w:val="20"/>
        </w:rPr>
        <w:t>Multi-dimensional intelligence in a single agent:</w:t>
      </w:r>
    </w:p>
    <w:p>
      <w:r>
        <w:rPr>
          <w:b w:val="0"/>
          <w:color w:val="333333"/>
          <w:sz w:val="20"/>
        </w:rPr>
        <w:t>Every existing platform addresses one aspect — matching OR design OR data management OR regulatory. This agent covers 10 workflows in a single system with shared knowledge. No existing platform offers this breadth.</w:t>
      </w:r>
    </w:p>
    <w:p>
      <w:r>
        <w:rPr>
          <w:b/>
          <w:color w:val="333333"/>
          <w:sz w:val="20"/>
        </w:rPr>
        <w:t>Cross-agent molecular intelligence:</w:t>
      </w:r>
    </w:p>
    <w:p>
      <w:r>
        <w:rPr>
          <w:b w:val="0"/>
          <w:color w:val="333333"/>
          <w:sz w:val="20"/>
        </w:rPr>
        <w:t>When evaluating a patient, the agent queries the Oncology Agent for molecular profiling, the PGx Agent for CYP450 metabolism, and the Cardiology Agent for cardiac risk. No clinical trial platform has 8 companion agents to query.</w:t>
      </w:r>
    </w:p>
    <w:p>
      <w:r>
        <w:rPr>
          <w:b/>
          <w:color w:val="333333"/>
          <w:sz w:val="20"/>
        </w:rPr>
        <w:t>Evidence-grounded explainable recommendations:</w:t>
      </w:r>
    </w:p>
    <w:p>
      <w:r>
        <w:rPr>
          <w:b w:val="0"/>
          <w:color w:val="333333"/>
          <w:sz w:val="20"/>
        </w:rPr>
        <w:t>Deep 6 AI and Tempus are black boxes. This agent returns per-criterion match scores with confidence levels, evidence citations, and guideline references. The calibrated confidence formula produces auditable scores.</w:t>
      </w:r>
    </w:p>
    <w:p>
      <w:r>
        <w:rPr>
          <w:b/>
          <w:color w:val="333333"/>
          <w:sz w:val="20"/>
        </w:rPr>
        <w:t>Open source on accessible hardware:</w:t>
      </w:r>
    </w:p>
    <w:p>
      <w:r>
        <w:rPr>
          <w:b w:val="0"/>
          <w:color w:val="333333"/>
          <w:sz w:val="20"/>
        </w:rPr>
        <w:t>Medidata: $500K/year. Veeva: $200K/year. Tempus: per-patient fees. This agent: $3,999 DGX Spark, Apache 2.0 license. A small biotech or hospital in a developing country can run this.</w:t>
      </w:r>
    </w:p>
    <w:p>
      <w:r>
        <w:rPr>
          <w:b/>
          <w:color w:val="333333"/>
          <w:sz w:val="20"/>
        </w:rPr>
        <w:t>Adaptive design intelligence:</w:t>
      </w:r>
    </w:p>
    <w:p>
      <w:r>
        <w:rPr>
          <w:b w:val="0"/>
          <w:color w:val="333333"/>
          <w:sz w:val="20"/>
        </w:rPr>
        <w:t>9 adaptive design types with regulatory precedent from ICH E20 and FDA guidance. No existing platform provides AI-driven adaptive recommendations with this regulatory depth.</w:t>
      </w:r>
    </w:p>
    <w:p>
      <w:r>
        <w:br w:type="page"/>
      </w:r>
    </w:p>
    <w:p>
      <w:pPr>
        <w:pStyle w:val="Heading1"/>
      </w:pPr>
      <w:r>
        <w:rPr>
          <w:color w:val="1B2333"/>
          <w:sz w:val="36"/>
        </w:rPr>
        <w:t>Platform Capability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Clinical Workflows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Protocol Design, Patient Matching, Site Selection, Eligibility Optimization, Adaptive Design, Safety Signal, Regulatory Docs, Competitive Intel, Diversity, DCT Planning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 Support 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Confidence Calibrator, Protocol Complexity Scorer, Enrollment Predictor, Eligibility Analyzer, Competitive Threat Scorer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Vector Collections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trial-specific + 1 shared genomic_evidence (3.5M variants)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Landmark 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KEYNOTE-024 to CASGEVY to PURPOSE 1 across all therapeutic areas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Trial Conditions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Across oncology, cardiology, neurology, immunology, rare disease, infectious, metabolic, dermatology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Drugs Tracked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pembrolizumab to resmetirom to teplizumab with brand names and mechanisms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Biomarkers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PD-L1, HER2, EGFR, ctDNA, MRD, NfL, FGFR, Trop-2, and 16 more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Regulatory Agencies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FDA, EMA, PMDA, Health Canada, TGA, MHRA, NMPA, Swissmedic, ANVISA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Adaptive Design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 sequential to platform trial to dose finding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Endpoint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to composite to MRD to ctDNA clearance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Biomarker Strategies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Enrichment to companion diagnostic to digital biomarker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DCT 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eConsent to wearables to remote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 Signal 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PRR, ROR, IC, EBGM, MGPS, TreeScan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Query Synonym Maps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 mapped terms across drugs, biomarkers, endpoints, regulatory,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Entity 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Disease abbreviations, drug brand names, clinical terms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with auth, rate limiting, SSE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pass rate, 0.47s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 LOC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23,062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19,813 source + 3,249 test across 39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+ 9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markdown + 9 DOCX, deployed to GitHub and Netlify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Cross-Agent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Oncology, PGx, Cardiology, Biomarker, Autoimmune</w:t>
            </w:r>
          </w:p>
        </w:tc>
      </w:tr>
    </w:tbl>
    <w:p/>
    <w:p>
      <w:pPr>
        <w:pStyle w:val="Heading2"/>
      </w:pPr>
      <w:r>
        <w:rPr>
          <w:color w:val="1AAFCC"/>
          <w:sz w:val="28"/>
        </w:rPr>
        <w:t>Bottom Line</w:t>
      </w:r>
    </w:p>
    <w:p>
      <w:r>
        <w:rPr>
          <w:b/>
          <w:color w:val="333333"/>
          <w:sz w:val="20"/>
        </w:rPr>
        <w:t>Clinical trials are the bottleneck of medicine. It takes $2.6 billion and 10-15 years to bring a drug to market, and most of that time is spent in trials. This agent attacks the five biggest time sinks simultaneously: protocol design, patient recruitment, eligibility optimization, safety monitoring, and regulatory preparation.</w:t>
      </w:r>
    </w:p>
    <w:p>
      <w:r>
        <w:rPr>
          <w:b w:val="0"/>
          <w:color w:val="333333"/>
          <w:sz w:val="20"/>
        </w:rPr>
        <w:t>The individual capabilities exist in fragments across $500K+/year enterprise platforms. The integration of all of them into one RAG-powered agent with cross-agent molecular intelligence on accessible hardware is genuinely new. This is the agent that pharmaceutical companies and academic medical centers will want after seeing it at GTC Europe.</w:t>
      </w:r>
    </w:p>
    <w:p/>
    <w:p>
      <w:r>
        <w:rPr>
          <w:color w:val="999999"/>
          <w:sz w:val="16"/>
        </w:rPr>
        <w:t>HCLS AI Factory — Clinical Trial Intelligence Agent v2.0.0 | March 2026 | Adam Jones</w:t>
      </w:r>
      <w:r>
        <w:rPr>
          <w:color w:val="999999"/>
          <w:sz w:val="16"/>
        </w:rPr>
        <w:br/>
        <w:t>Apache 2.0 License | NVIDIA DGX Spark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