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Clinical Trial Intelligence Agent -- Learning Guide: Foundations</w:t>
      </w:r>
    </w:p>
    <w:p>
      <w:pPr>
        <w:pStyle w:val="Heading1"/>
        <w:spacing w:before="400" w:after="160"/>
      </w:pPr>
      <w:r>
        <w:rPr>
          <w:rFonts w:ascii="Calibri" w:hAnsi="Calibri"/>
          <w:b/>
          <w:color w:val="1B2333"/>
          <w:sz w:val="32"/>
        </w:rPr>
        <w:t>A Clinical Trial Primer for Non-Specialists</w:t>
      </w:r>
    </w:p>
    <w:p>
      <w:pPr>
        <w:spacing w:before="0" w:after="120"/>
      </w:pPr>
      <w:r>
        <w:rPr>
          <w:rFonts w:ascii="Calibri" w:hAnsi="Calibri"/>
          <w:b/>
          <w:color w:val="333333"/>
          <w:sz w:val="20"/>
        </w:rPr>
        <w:t>Version:</w:t>
      </w:r>
      <w:r>
        <w:rPr>
          <w:rFonts w:ascii="Calibri" w:hAnsi="Calibri"/>
          <w:color w:val="333333"/>
          <w:sz w:val="20"/>
        </w:rPr>
        <w:t xml:space="preserve"> 2.0.0</w:t>
      </w:r>
    </w:p>
    <w:p>
      <w:pPr>
        <w:spacing w:before="0" w:after="120"/>
      </w:pPr>
      <w:r>
        <w:rPr>
          <w:rFonts w:ascii="Calibri" w:hAnsi="Calibri"/>
          <w:b/>
          <w:color w:val="333333"/>
          <w:sz w:val="20"/>
        </w:rPr>
        <w:t>Date:</w:t>
      </w:r>
      <w:r>
        <w:rPr>
          <w:rFonts w:ascii="Calibri" w:hAnsi="Calibri"/>
          <w:color w:val="333333"/>
          <w:sz w:val="20"/>
        </w:rPr>
        <w:t xml:space="preserve"> March 22, 2026</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Platform:</w:t>
      </w:r>
      <w:r>
        <w:rPr>
          <w:rFonts w:ascii="Calibri" w:hAnsi="Calibri"/>
          <w:color w:val="333333"/>
          <w:sz w:val="20"/>
        </w:rPr>
        <w:t xml:space="preserve"> NVIDIA DGX Spark -- HCLS AI Factory</w:t>
      </w:r>
    </w:p>
    <w:p>
      <w:pPr>
        <w:spacing w:before="80" w:after="80"/>
        <w:pBdr>
          <w:bottom w:val="single" w:sz="6" w:color="1AAFCC"/>
        </w:pBdr>
      </w:pPr>
    </w:p>
    <w:p>
      <w:pPr>
        <w:pStyle w:val="Heading1"/>
        <w:spacing w:before="400" w:after="160"/>
      </w:pPr>
      <w:r>
        <w:rPr>
          <w:rFonts w:ascii="Calibri" w:hAnsi="Calibri"/>
          <w:b/>
          <w:color w:val="1B2333"/>
          <w:sz w:val="32"/>
        </w:rPr>
        <w:t>Table of Contents</w:t>
      </w:r>
    </w:p>
    <w:p>
      <w:pPr>
        <w:spacing w:before="40" w:after="40"/>
        <w:ind w:left="504" w:hanging="288"/>
      </w:pPr>
      <w:r>
        <w:rPr>
          <w:rFonts w:ascii="Calibri" w:hAnsi="Calibri"/>
          <w:b/>
          <w:color w:val="333333"/>
          <w:sz w:val="20"/>
        </w:rPr>
        <w:t xml:space="preserve">1.  </w:t>
      </w:r>
      <w:r>
        <w:rPr>
          <w:rFonts w:ascii="Calibri" w:hAnsi="Calibri"/>
          <w:color w:val="1AAFCC"/>
          <w:sz w:val="20"/>
        </w:rPr>
        <w:t>What Is a Clinical Trial?</w:t>
      </w:r>
    </w:p>
    <w:p>
      <w:pPr>
        <w:spacing w:before="40" w:after="40"/>
        <w:ind w:left="504" w:hanging="288"/>
      </w:pPr>
      <w:r>
        <w:rPr>
          <w:rFonts w:ascii="Calibri" w:hAnsi="Calibri"/>
          <w:b/>
          <w:color w:val="333333"/>
          <w:sz w:val="20"/>
        </w:rPr>
        <w:t xml:space="preserve">2.  </w:t>
      </w:r>
      <w:r>
        <w:rPr>
          <w:rFonts w:ascii="Calibri" w:hAnsi="Calibri"/>
          <w:color w:val="1AAFCC"/>
          <w:sz w:val="20"/>
        </w:rPr>
        <w:t>The Drug Development Pipeline</w:t>
      </w:r>
    </w:p>
    <w:p>
      <w:pPr>
        <w:spacing w:before="40" w:after="40"/>
        <w:ind w:left="504" w:hanging="288"/>
      </w:pPr>
      <w:r>
        <w:rPr>
          <w:rFonts w:ascii="Calibri" w:hAnsi="Calibri"/>
          <w:b/>
          <w:color w:val="333333"/>
          <w:sz w:val="20"/>
        </w:rPr>
        <w:t xml:space="preserve">3.  </w:t>
      </w:r>
      <w:r>
        <w:rPr>
          <w:rFonts w:ascii="Calibri" w:hAnsi="Calibri"/>
          <w:color w:val="1AAFCC"/>
          <w:sz w:val="20"/>
        </w:rPr>
        <w:t>Trial Phases in Detail</w:t>
      </w:r>
    </w:p>
    <w:p>
      <w:pPr>
        <w:spacing w:before="40" w:after="40"/>
        <w:ind w:left="504" w:hanging="288"/>
      </w:pPr>
      <w:r>
        <w:rPr>
          <w:rFonts w:ascii="Calibri" w:hAnsi="Calibri"/>
          <w:b/>
          <w:color w:val="333333"/>
          <w:sz w:val="20"/>
        </w:rPr>
        <w:t xml:space="preserve">4.  </w:t>
      </w:r>
      <w:r>
        <w:rPr>
          <w:rFonts w:ascii="Calibri" w:hAnsi="Calibri"/>
          <w:color w:val="1AAFCC"/>
          <w:sz w:val="20"/>
        </w:rPr>
        <w:t>Key Players in a Clinical Trial</w:t>
      </w:r>
    </w:p>
    <w:p>
      <w:pPr>
        <w:spacing w:before="40" w:after="40"/>
        <w:ind w:left="504" w:hanging="288"/>
      </w:pPr>
      <w:r>
        <w:rPr>
          <w:rFonts w:ascii="Calibri" w:hAnsi="Calibri"/>
          <w:b/>
          <w:color w:val="333333"/>
          <w:sz w:val="20"/>
        </w:rPr>
        <w:t xml:space="preserve">5.  </w:t>
      </w:r>
      <w:r>
        <w:rPr>
          <w:rFonts w:ascii="Calibri" w:hAnsi="Calibri"/>
          <w:color w:val="1AAFCC"/>
          <w:sz w:val="20"/>
        </w:rPr>
        <w:t>Endpoints: Measuring Success</w:t>
      </w:r>
    </w:p>
    <w:p>
      <w:pPr>
        <w:spacing w:before="40" w:after="40"/>
        <w:ind w:left="504" w:hanging="288"/>
      </w:pPr>
      <w:r>
        <w:rPr>
          <w:rFonts w:ascii="Calibri" w:hAnsi="Calibri"/>
          <w:b/>
          <w:color w:val="333333"/>
          <w:sz w:val="20"/>
        </w:rPr>
        <w:t xml:space="preserve">6.  </w:t>
      </w:r>
      <w:r>
        <w:rPr>
          <w:rFonts w:ascii="Calibri" w:hAnsi="Calibri"/>
          <w:color w:val="1AAFCC"/>
          <w:sz w:val="20"/>
        </w:rPr>
        <w:t>Statistical Foundations</w:t>
      </w:r>
    </w:p>
    <w:p>
      <w:pPr>
        <w:spacing w:before="40" w:after="40"/>
        <w:ind w:left="504" w:hanging="288"/>
      </w:pPr>
      <w:r>
        <w:rPr>
          <w:rFonts w:ascii="Calibri" w:hAnsi="Calibri"/>
          <w:b/>
          <w:color w:val="333333"/>
          <w:sz w:val="20"/>
        </w:rPr>
        <w:t xml:space="preserve">7.  </w:t>
      </w:r>
      <w:r>
        <w:rPr>
          <w:rFonts w:ascii="Calibri" w:hAnsi="Calibri"/>
          <w:color w:val="1AAFCC"/>
          <w:sz w:val="20"/>
        </w:rPr>
        <w:t>Regulatory Landscape</w:t>
      </w:r>
    </w:p>
    <w:p>
      <w:pPr>
        <w:spacing w:before="40" w:after="40"/>
        <w:ind w:left="504" w:hanging="288"/>
      </w:pPr>
      <w:r>
        <w:rPr>
          <w:rFonts w:ascii="Calibri" w:hAnsi="Calibri"/>
          <w:b/>
          <w:color w:val="333333"/>
          <w:sz w:val="20"/>
        </w:rPr>
        <w:t xml:space="preserve">8.  </w:t>
      </w:r>
      <w:r>
        <w:rPr>
          <w:rFonts w:ascii="Calibri" w:hAnsi="Calibri"/>
          <w:color w:val="1AAFCC"/>
          <w:sz w:val="20"/>
        </w:rPr>
        <w:t>Adaptive Trial Designs</w:t>
      </w:r>
    </w:p>
    <w:p>
      <w:pPr>
        <w:spacing w:before="40" w:after="40"/>
        <w:ind w:left="504" w:hanging="288"/>
      </w:pPr>
      <w:r>
        <w:rPr>
          <w:rFonts w:ascii="Calibri" w:hAnsi="Calibri"/>
          <w:b/>
          <w:color w:val="333333"/>
          <w:sz w:val="20"/>
        </w:rPr>
        <w:t xml:space="preserve">9.  </w:t>
      </w:r>
      <w:r>
        <w:rPr>
          <w:rFonts w:ascii="Calibri" w:hAnsi="Calibri"/>
          <w:color w:val="1AAFCC"/>
          <w:sz w:val="20"/>
        </w:rPr>
        <w:t>Biomarker Strategies</w:t>
      </w:r>
    </w:p>
    <w:p>
      <w:pPr>
        <w:spacing w:before="40" w:after="40"/>
        <w:ind w:left="504" w:hanging="288"/>
      </w:pPr>
      <w:r>
        <w:rPr>
          <w:rFonts w:ascii="Calibri" w:hAnsi="Calibri"/>
          <w:b/>
          <w:color w:val="333333"/>
          <w:sz w:val="20"/>
        </w:rPr>
        <w:t xml:space="preserve">10.  </w:t>
      </w:r>
      <w:r>
        <w:rPr>
          <w:rFonts w:ascii="Calibri" w:hAnsi="Calibri"/>
          <w:color w:val="1AAFCC"/>
          <w:sz w:val="20"/>
        </w:rPr>
        <w:t>Patient Eligibility</w:t>
      </w:r>
    </w:p>
    <w:p>
      <w:pPr>
        <w:spacing w:before="40" w:after="40"/>
        <w:ind w:left="504" w:hanging="288"/>
      </w:pPr>
      <w:r>
        <w:rPr>
          <w:rFonts w:ascii="Calibri" w:hAnsi="Calibri"/>
          <w:b/>
          <w:color w:val="333333"/>
          <w:sz w:val="20"/>
        </w:rPr>
        <w:t xml:space="preserve">11.  </w:t>
      </w:r>
      <w:r>
        <w:rPr>
          <w:rFonts w:ascii="Calibri" w:hAnsi="Calibri"/>
          <w:color w:val="1AAFCC"/>
          <w:sz w:val="20"/>
        </w:rPr>
        <w:t>Safety Monitoring</w:t>
      </w:r>
    </w:p>
    <w:p>
      <w:pPr>
        <w:spacing w:before="40" w:after="40"/>
        <w:ind w:left="504" w:hanging="288"/>
      </w:pPr>
      <w:r>
        <w:rPr>
          <w:rFonts w:ascii="Calibri" w:hAnsi="Calibri"/>
          <w:b/>
          <w:color w:val="333333"/>
          <w:sz w:val="20"/>
        </w:rPr>
        <w:t xml:space="preserve">12.  </w:t>
      </w:r>
      <w:r>
        <w:rPr>
          <w:rFonts w:ascii="Calibri" w:hAnsi="Calibri"/>
          <w:color w:val="1AAFCC"/>
          <w:sz w:val="20"/>
        </w:rPr>
        <w:t>Decentralized Trials</w:t>
      </w:r>
    </w:p>
    <w:p>
      <w:pPr>
        <w:spacing w:before="40" w:after="40"/>
        <w:ind w:left="504" w:hanging="288"/>
      </w:pPr>
      <w:r>
        <w:rPr>
          <w:rFonts w:ascii="Calibri" w:hAnsi="Calibri"/>
          <w:b/>
          <w:color w:val="333333"/>
          <w:sz w:val="20"/>
        </w:rPr>
        <w:t xml:space="preserve">13.  </w:t>
      </w:r>
      <w:r>
        <w:rPr>
          <w:rFonts w:ascii="Calibri" w:hAnsi="Calibri"/>
          <w:color w:val="1AAFCC"/>
          <w:sz w:val="20"/>
        </w:rPr>
        <w:t>Diversity and Inclusion</w:t>
      </w:r>
    </w:p>
    <w:p>
      <w:pPr>
        <w:spacing w:before="40" w:after="40"/>
        <w:ind w:left="504" w:hanging="288"/>
      </w:pPr>
      <w:r>
        <w:rPr>
          <w:rFonts w:ascii="Calibri" w:hAnsi="Calibri"/>
          <w:b/>
          <w:color w:val="333333"/>
          <w:sz w:val="20"/>
        </w:rPr>
        <w:t xml:space="preserve">14.  </w:t>
      </w:r>
      <w:r>
        <w:rPr>
          <w:rFonts w:ascii="Calibri" w:hAnsi="Calibri"/>
          <w:color w:val="1AAFCC"/>
          <w:sz w:val="20"/>
        </w:rPr>
        <w:t>Common Abbreviations</w:t>
      </w:r>
    </w:p>
    <w:p>
      <w:pPr>
        <w:spacing w:before="40" w:after="40"/>
        <w:ind w:left="504" w:hanging="288"/>
      </w:pPr>
      <w:r>
        <w:rPr>
          <w:rFonts w:ascii="Calibri" w:hAnsi="Calibri"/>
          <w:b/>
          <w:color w:val="333333"/>
          <w:sz w:val="20"/>
        </w:rPr>
        <w:t xml:space="preserve">15.  </w:t>
      </w:r>
      <w:r>
        <w:rPr>
          <w:rFonts w:ascii="Calibri" w:hAnsi="Calibri"/>
          <w:color w:val="1AAFCC"/>
          <w:sz w:val="20"/>
        </w:rPr>
        <w:t>How the Clinical Trial Intelligence Agent Helps</w:t>
      </w:r>
    </w:p>
    <w:p>
      <w:pPr>
        <w:spacing w:before="80" w:after="80"/>
        <w:pBdr>
          <w:bottom w:val="single" w:sz="6" w:color="1AAFCC"/>
        </w:pBdr>
      </w:pPr>
    </w:p>
    <w:p>
      <w:pPr>
        <w:pStyle w:val="Heading1"/>
        <w:spacing w:before="400" w:after="160"/>
      </w:pPr>
      <w:r>
        <w:rPr>
          <w:rFonts w:ascii="Calibri" w:hAnsi="Calibri"/>
          <w:b/>
          <w:color w:val="1B2333"/>
          <w:sz w:val="32"/>
        </w:rPr>
        <w:t>1. What Is a Clinical Trial?</w:t>
      </w:r>
    </w:p>
    <w:p>
      <w:pPr>
        <w:spacing w:before="0" w:after="120"/>
      </w:pPr>
      <w:r>
        <w:rPr>
          <w:rFonts w:ascii="Calibri" w:hAnsi="Calibri"/>
          <w:color w:val="333333"/>
          <w:sz w:val="20"/>
        </w:rPr>
        <w:t>A clinical trial is a carefully designed research study that evaluates whether a medical intervention -- a drug, biologic, device, or behavioral change -- is safe and effective in humans. Clinical trials are the only way to prove that a new treatment works before it is approved for widespread use.</w:t>
      </w:r>
    </w:p>
    <w:p>
      <w:pPr>
        <w:pStyle w:val="Heading2"/>
        <w:spacing w:before="280" w:after="120"/>
      </w:pPr>
      <w:r>
        <w:rPr>
          <w:rFonts w:ascii="Calibri" w:hAnsi="Calibri"/>
          <w:b/>
          <w:color w:val="1AAFCC"/>
          <w:sz w:val="26"/>
        </w:rPr>
        <w:t>Why Clinical Trials Matter</w:t>
      </w:r>
    </w:p>
    <w:p>
      <w:pPr>
        <w:spacing w:before="40" w:after="40"/>
        <w:ind w:left="504" w:hanging="216"/>
      </w:pPr>
      <w:r>
        <w:rPr>
          <w:rFonts w:ascii="Calibri" w:hAnsi="Calibri"/>
          <w:color w:val="1AAFCC"/>
          <w:sz w:val="20"/>
        </w:rPr>
        <w:t xml:space="preserve">•  </w:t>
      </w:r>
      <w:r>
        <w:rPr>
          <w:rFonts w:ascii="Calibri" w:hAnsi="Calibri"/>
          <w:b/>
          <w:color w:val="333333"/>
          <w:sz w:val="20"/>
        </w:rPr>
        <w:t>Safety first:</w:t>
      </w:r>
      <w:r>
        <w:rPr>
          <w:rFonts w:ascii="Calibri" w:hAnsi="Calibri"/>
          <w:color w:val="333333"/>
          <w:sz w:val="20"/>
        </w:rPr>
        <w:t xml:space="preserve"> No treatment reaches patients without rigorous safety testing in clinical trials</w:t>
      </w:r>
    </w:p>
    <w:p>
      <w:pPr>
        <w:spacing w:before="40" w:after="40"/>
        <w:ind w:left="504" w:hanging="216"/>
      </w:pPr>
      <w:r>
        <w:rPr>
          <w:rFonts w:ascii="Calibri" w:hAnsi="Calibri"/>
          <w:color w:val="1AAFCC"/>
          <w:sz w:val="20"/>
        </w:rPr>
        <w:t xml:space="preserve">•  </w:t>
      </w:r>
      <w:r>
        <w:rPr>
          <w:rFonts w:ascii="Calibri" w:hAnsi="Calibri"/>
          <w:b/>
          <w:color w:val="333333"/>
          <w:sz w:val="20"/>
        </w:rPr>
        <w:t>Evidence-based medicine:</w:t>
      </w:r>
      <w:r>
        <w:rPr>
          <w:rFonts w:ascii="Calibri" w:hAnsi="Calibri"/>
          <w:color w:val="333333"/>
          <w:sz w:val="20"/>
        </w:rPr>
        <w:t xml:space="preserve"> Clinical trials produce the highest level of medical evidence (Level 1a/1b)</w:t>
      </w:r>
    </w:p>
    <w:p>
      <w:pPr>
        <w:spacing w:before="40" w:after="40"/>
        <w:ind w:left="504" w:hanging="216"/>
      </w:pPr>
      <w:r>
        <w:rPr>
          <w:rFonts w:ascii="Calibri" w:hAnsi="Calibri"/>
          <w:color w:val="1AAFCC"/>
          <w:sz w:val="20"/>
        </w:rPr>
        <w:t xml:space="preserve">•  </w:t>
      </w:r>
      <w:r>
        <w:rPr>
          <w:rFonts w:ascii="Calibri" w:hAnsi="Calibri"/>
          <w:b/>
          <w:color w:val="333333"/>
          <w:sz w:val="20"/>
        </w:rPr>
        <w:t>Regulatory requirement:</w:t>
      </w:r>
      <w:r>
        <w:rPr>
          <w:rFonts w:ascii="Calibri" w:hAnsi="Calibri"/>
          <w:color w:val="333333"/>
          <w:sz w:val="20"/>
        </w:rPr>
        <w:t xml:space="preserve"> The FDA, EMA, and all major regulatory agencies require clinical trial data before approving new treatments</w:t>
      </w:r>
    </w:p>
    <w:p>
      <w:pPr>
        <w:spacing w:before="40" w:after="40"/>
        <w:ind w:left="504" w:hanging="216"/>
      </w:pPr>
      <w:r>
        <w:rPr>
          <w:rFonts w:ascii="Calibri" w:hAnsi="Calibri"/>
          <w:color w:val="1AAFCC"/>
          <w:sz w:val="20"/>
        </w:rPr>
        <w:t xml:space="preserve">•  </w:t>
      </w:r>
      <w:r>
        <w:rPr>
          <w:rFonts w:ascii="Calibri" w:hAnsi="Calibri"/>
          <w:b/>
          <w:color w:val="333333"/>
          <w:sz w:val="20"/>
        </w:rPr>
        <w:t>Patient access:</w:t>
      </w:r>
      <w:r>
        <w:rPr>
          <w:rFonts w:ascii="Calibri" w:hAnsi="Calibri"/>
          <w:color w:val="333333"/>
          <w:sz w:val="20"/>
        </w:rPr>
        <w:t xml:space="preserve"> Trials give patients access to promising treatments years before commercial availability</w:t>
      </w:r>
    </w:p>
    <w:p>
      <w:pPr>
        <w:pStyle w:val="Heading2"/>
        <w:spacing w:before="280" w:after="120"/>
      </w:pPr>
      <w:r>
        <w:rPr>
          <w:rFonts w:ascii="Calibri" w:hAnsi="Calibri"/>
          <w:b/>
          <w:color w:val="1AAFCC"/>
          <w:sz w:val="26"/>
        </w:rPr>
        <w:t>The Numbers</w:t>
      </w:r>
    </w:p>
    <w:p>
      <w:pPr>
        <w:spacing w:before="40" w:after="40"/>
        <w:ind w:left="504" w:hanging="216"/>
      </w:pPr>
      <w:r>
        <w:rPr>
          <w:rFonts w:ascii="Calibri" w:hAnsi="Calibri"/>
          <w:color w:val="1AAFCC"/>
          <w:sz w:val="20"/>
        </w:rPr>
        <w:t xml:space="preserve">•  </w:t>
      </w:r>
      <w:r>
        <w:rPr>
          <w:rFonts w:ascii="Calibri" w:hAnsi="Calibri"/>
          <w:color w:val="333333"/>
          <w:sz w:val="20"/>
        </w:rPr>
        <w:t>Approximately 400,000 clinical trials are registered on ClinicalTrials.gov</w:t>
      </w:r>
    </w:p>
    <w:p>
      <w:pPr>
        <w:spacing w:before="40" w:after="40"/>
        <w:ind w:left="504" w:hanging="216"/>
      </w:pPr>
      <w:r>
        <w:rPr>
          <w:rFonts w:ascii="Calibri" w:hAnsi="Calibri"/>
          <w:color w:val="1AAFCC"/>
          <w:sz w:val="20"/>
        </w:rPr>
        <w:t xml:space="preserve">•  </w:t>
      </w:r>
      <w:r>
        <w:rPr>
          <w:rFonts w:ascii="Calibri" w:hAnsi="Calibri"/>
          <w:color w:val="333333"/>
          <w:sz w:val="20"/>
        </w:rPr>
        <w:t>About 8,000 new trials are registered each month</w:t>
      </w:r>
    </w:p>
    <w:p>
      <w:pPr>
        <w:spacing w:before="40" w:after="40"/>
        <w:ind w:left="504" w:hanging="216"/>
      </w:pPr>
      <w:r>
        <w:rPr>
          <w:rFonts w:ascii="Calibri" w:hAnsi="Calibri"/>
          <w:color w:val="1AAFCC"/>
          <w:sz w:val="20"/>
        </w:rPr>
        <w:t xml:space="preserve">•  </w:t>
      </w:r>
      <w:r>
        <w:rPr>
          <w:rFonts w:ascii="Calibri" w:hAnsi="Calibri"/>
          <w:color w:val="333333"/>
          <w:sz w:val="20"/>
        </w:rPr>
        <w:t>Only ~10% of drugs entering Phase 1 eventually receive FDA approval</w:t>
      </w:r>
    </w:p>
    <w:p>
      <w:pPr>
        <w:spacing w:before="40" w:after="40"/>
        <w:ind w:left="504" w:hanging="216"/>
      </w:pPr>
      <w:r>
        <w:rPr>
          <w:rFonts w:ascii="Calibri" w:hAnsi="Calibri"/>
          <w:color w:val="1AAFCC"/>
          <w:sz w:val="20"/>
        </w:rPr>
        <w:t xml:space="preserve">•  </w:t>
      </w:r>
      <w:r>
        <w:rPr>
          <w:rFonts w:ascii="Calibri" w:hAnsi="Calibri"/>
          <w:color w:val="333333"/>
          <w:sz w:val="20"/>
        </w:rPr>
        <w:t>The average new drug takes 10-15 years from discovery to approval</w:t>
      </w:r>
    </w:p>
    <w:p>
      <w:pPr>
        <w:spacing w:before="40" w:after="40"/>
        <w:ind w:left="504" w:hanging="216"/>
      </w:pPr>
      <w:r>
        <w:rPr>
          <w:rFonts w:ascii="Calibri" w:hAnsi="Calibri"/>
          <w:color w:val="1AAFCC"/>
          <w:sz w:val="20"/>
        </w:rPr>
        <w:t xml:space="preserve">•  </w:t>
      </w:r>
      <w:r>
        <w:rPr>
          <w:rFonts w:ascii="Calibri" w:hAnsi="Calibri"/>
          <w:color w:val="333333"/>
          <w:sz w:val="20"/>
        </w:rPr>
        <w:t>Estimated cost per approved drug: $2.6 billion (including failures)</w:t>
      </w:r>
    </w:p>
    <w:p>
      <w:pPr>
        <w:spacing w:before="80" w:after="80"/>
        <w:pBdr>
          <w:bottom w:val="single" w:sz="6" w:color="1AAFCC"/>
        </w:pBdr>
      </w:pPr>
    </w:p>
    <w:p>
      <w:pPr>
        <w:pStyle w:val="Heading1"/>
        <w:spacing w:before="400" w:after="160"/>
      </w:pPr>
      <w:r>
        <w:rPr>
          <w:rFonts w:ascii="Calibri" w:hAnsi="Calibri"/>
          <w:b/>
          <w:color w:val="1B2333"/>
          <w:sz w:val="32"/>
        </w:rPr>
        <w:t>2. The Drug Development Pipeline</w:t>
      </w:r>
    </w:p>
    <w:p>
      <w:pPr>
        <w:spacing w:before="0" w:after="120"/>
      </w:pPr>
      <w:r>
        <w:rPr>
          <w:rFonts w:ascii="Calibri" w:hAnsi="Calibri"/>
          <w:color w:val="333333"/>
          <w:sz w:val="20"/>
        </w:rPr>
        <w:t>The journey from a promising molecule to an approved treatment follows a well-defined pipeline:</w:t>
      </w:r>
    </w:p>
    <w:p>
      <w:pPr>
        <w:spacing w:before="0" w:after="0" w:line="240" w:lineRule="auto"/>
        <w:ind w:left="288"/>
        <w:shd w:val="clear" w:fill="F0F0F0"/>
      </w:pPr>
      <w:r>
        <w:rPr>
          <w:rFonts w:ascii="Courier New" w:hAnsi="Courier New"/>
          <w:color w:val="444444"/>
          <w:sz w:val="18"/>
        </w:rPr>
        <w:t>Discovery -&gt; Preclinical -&gt; Phase 1 -&gt; Phase 2 -&gt; Phase 3 -&gt; Regulatory Review -&gt; Approval -&gt; Phase 4</w:t>
      </w:r>
    </w:p>
    <w:p>
      <w:pPr>
        <w:spacing w:before="0" w:after="0" w:line="240" w:lineRule="auto"/>
        <w:ind w:left="288"/>
        <w:shd w:val="clear" w:fill="F0F0F0"/>
      </w:pPr>
      <w:r>
        <w:rPr>
          <w:rFonts w:ascii="Courier New" w:hAnsi="Courier New"/>
          <w:color w:val="444444"/>
          <w:sz w:val="18"/>
        </w:rPr>
        <w:t xml:space="preserve">  (2-5 yr)    (1-3 yr)    (6-12 mo)  (1-2 yr)   (2-4 yr)    (6-18 mo)                    (ongoing)</w:t>
      </w:r>
    </w:p>
    <w:p>
      <w:pPr>
        <w:pStyle w:val="Heading2"/>
        <w:spacing w:before="280" w:after="120"/>
      </w:pPr>
      <w:r>
        <w:rPr>
          <w:rFonts w:ascii="Calibri" w:hAnsi="Calibri"/>
          <w:b/>
          <w:color w:val="1AAFCC"/>
          <w:sz w:val="26"/>
        </w:rPr>
        <w:t>Timeline Reality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Stage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Typical Duration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Success Rate to Next Stage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Preclinical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years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 enter Phase 1</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1</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6-12 months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60% advance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years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 advance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 years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 advance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Regulatory review</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6-18 months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 approved if filed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**Overall**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**10-15 years**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from Phase 1 to approval**</w:t>
            </w:r>
          </w:p>
        </w:tc>
      </w:tr>
    </w:tbl>
    <w:p>
      <w:pPr>
        <w:spacing w:before="40" w:after="80"/>
      </w:pPr>
    </w:p>
    <w:p>
      <w:pPr>
        <w:pStyle w:val="Heading2"/>
        <w:spacing w:before="280" w:after="120"/>
      </w:pPr>
      <w:r>
        <w:rPr>
          <w:rFonts w:ascii="Calibri" w:hAnsi="Calibri"/>
          <w:b/>
          <w:color w:val="1AAFCC"/>
          <w:sz w:val="26"/>
        </w:rPr>
        <w:t>Cost Distribution</w:t>
      </w:r>
    </w:p>
    <w:p>
      <w:pPr>
        <w:spacing w:before="0" w:after="120"/>
      </w:pPr>
      <w:r>
        <w:rPr>
          <w:rFonts w:ascii="Calibri" w:hAnsi="Calibri"/>
          <w:color w:val="333333"/>
          <w:sz w:val="20"/>
        </w:rPr>
        <w:t>Clinical trials consume 60-70% of total development costs:</w:t>
      </w:r>
    </w:p>
    <w:p>
      <w:pPr>
        <w:spacing w:before="40" w:after="40"/>
        <w:ind w:left="504" w:hanging="216"/>
      </w:pPr>
      <w:r>
        <w:rPr>
          <w:rFonts w:ascii="Calibri" w:hAnsi="Calibri"/>
          <w:color w:val="1AAFCC"/>
          <w:sz w:val="20"/>
        </w:rPr>
        <w:t xml:space="preserve">•  </w:t>
      </w:r>
      <w:r>
        <w:rPr>
          <w:rFonts w:ascii="Calibri" w:hAnsi="Calibri"/>
          <w:color w:val="333333"/>
          <w:sz w:val="20"/>
        </w:rPr>
        <w:t>Phase 1: $1-10 million per trial</w:t>
      </w:r>
    </w:p>
    <w:p>
      <w:pPr>
        <w:spacing w:before="40" w:after="40"/>
        <w:ind w:left="504" w:hanging="216"/>
      </w:pPr>
      <w:r>
        <w:rPr>
          <w:rFonts w:ascii="Calibri" w:hAnsi="Calibri"/>
          <w:color w:val="1AAFCC"/>
          <w:sz w:val="20"/>
        </w:rPr>
        <w:t xml:space="preserve">•  </w:t>
      </w:r>
      <w:r>
        <w:rPr>
          <w:rFonts w:ascii="Calibri" w:hAnsi="Calibri"/>
          <w:color w:val="333333"/>
          <w:sz w:val="20"/>
        </w:rPr>
        <w:t>Phase 2: $5-50 million per trial</w:t>
      </w:r>
    </w:p>
    <w:p>
      <w:pPr>
        <w:spacing w:before="40" w:after="40"/>
        <w:ind w:left="504" w:hanging="216"/>
      </w:pPr>
      <w:r>
        <w:rPr>
          <w:rFonts w:ascii="Calibri" w:hAnsi="Calibri"/>
          <w:color w:val="1AAFCC"/>
          <w:sz w:val="20"/>
        </w:rPr>
        <w:t xml:space="preserve">•  </w:t>
      </w:r>
      <w:r>
        <w:rPr>
          <w:rFonts w:ascii="Calibri" w:hAnsi="Calibri"/>
          <w:color w:val="333333"/>
          <w:sz w:val="20"/>
        </w:rPr>
        <w:t>Phase 3: $20-200 million per trial (or more)</w:t>
      </w:r>
    </w:p>
    <w:p>
      <w:pPr>
        <w:spacing w:before="80" w:after="80"/>
        <w:pBdr>
          <w:bottom w:val="single" w:sz="6" w:color="1AAFCC"/>
        </w:pBdr>
      </w:pPr>
    </w:p>
    <w:p>
      <w:pPr>
        <w:pStyle w:val="Heading1"/>
        <w:spacing w:before="400" w:after="160"/>
      </w:pPr>
      <w:r>
        <w:rPr>
          <w:rFonts w:ascii="Calibri" w:hAnsi="Calibri"/>
          <w:b/>
          <w:color w:val="1B2333"/>
          <w:sz w:val="32"/>
        </w:rPr>
        <w:t>3. Trial Phases in Detail</w:t>
      </w:r>
    </w:p>
    <w:p>
      <w:pPr>
        <w:pStyle w:val="Heading2"/>
        <w:spacing w:before="280" w:after="120"/>
      </w:pPr>
      <w:r>
        <w:rPr>
          <w:rFonts w:ascii="Calibri" w:hAnsi="Calibri"/>
          <w:b/>
          <w:color w:val="1AAFCC"/>
          <w:sz w:val="26"/>
        </w:rPr>
        <w:t>Phase 0 (Exploratory IND)</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First-ever test in humans at sub-therapeutic doses</w:t>
      </w:r>
    </w:p>
    <w:p>
      <w:pPr>
        <w:spacing w:before="40" w:after="40"/>
        <w:ind w:left="504" w:hanging="216"/>
      </w:pPr>
      <w:r>
        <w:rPr>
          <w:rFonts w:ascii="Calibri" w:hAnsi="Calibri"/>
          <w:color w:val="1AAFCC"/>
          <w:sz w:val="20"/>
        </w:rPr>
        <w:t xml:space="preserve">•  </w:t>
      </w:r>
      <w:r>
        <w:rPr>
          <w:rFonts w:ascii="Calibri" w:hAnsi="Calibri"/>
          <w:b/>
          <w:color w:val="333333"/>
          <w:sz w:val="20"/>
        </w:rPr>
        <w:t>Participants:</w:t>
      </w:r>
      <w:r>
        <w:rPr>
          <w:rFonts w:ascii="Calibri" w:hAnsi="Calibri"/>
          <w:color w:val="333333"/>
          <w:sz w:val="20"/>
        </w:rPr>
        <w:t xml:space="preserve"> 10-15 healthy volunteers or patients</w:t>
      </w:r>
    </w:p>
    <w:p>
      <w:pPr>
        <w:spacing w:before="40" w:after="40"/>
        <w:ind w:left="504" w:hanging="216"/>
      </w:pPr>
      <w:r>
        <w:rPr>
          <w:rFonts w:ascii="Calibri" w:hAnsi="Calibri"/>
          <w:color w:val="1AAFCC"/>
          <w:sz w:val="20"/>
        </w:rPr>
        <w:t xml:space="preserve">•  </w:t>
      </w:r>
      <w:r>
        <w:rPr>
          <w:rFonts w:ascii="Calibri" w:hAnsi="Calibri"/>
          <w:b/>
          <w:color w:val="333333"/>
          <w:sz w:val="20"/>
        </w:rPr>
        <w:t>Key question:</w:t>
      </w:r>
      <w:r>
        <w:rPr>
          <w:rFonts w:ascii="Calibri" w:hAnsi="Calibri"/>
          <w:color w:val="333333"/>
          <w:sz w:val="20"/>
        </w:rPr>
        <w:t xml:space="preserve"> "Does this drug reach its target in humans?"</w:t>
      </w:r>
    </w:p>
    <w:p>
      <w:pPr>
        <w:spacing w:before="40" w:after="40"/>
        <w:ind w:left="504" w:hanging="216"/>
      </w:pPr>
      <w:r>
        <w:rPr>
          <w:rFonts w:ascii="Calibri" w:hAnsi="Calibri"/>
          <w:color w:val="1AAFCC"/>
          <w:sz w:val="20"/>
        </w:rPr>
        <w:t xml:space="preserve">•  </w:t>
      </w:r>
      <w:r>
        <w:rPr>
          <w:rFonts w:ascii="Calibri" w:hAnsi="Calibri"/>
          <w:b/>
          <w:color w:val="333333"/>
          <w:sz w:val="20"/>
        </w:rPr>
        <w:t>What it measures:</w:t>
      </w:r>
      <w:r>
        <w:rPr>
          <w:rFonts w:ascii="Calibri" w:hAnsi="Calibri"/>
          <w:color w:val="333333"/>
          <w:sz w:val="20"/>
        </w:rPr>
        <w:t xml:space="preserve"> Pharmacokinetics (how the body absorbs, distributes, and eliminates the drug)</w:t>
      </w:r>
    </w:p>
    <w:p>
      <w:pPr>
        <w:spacing w:before="40" w:after="40"/>
        <w:ind w:left="504" w:hanging="216"/>
      </w:pPr>
      <w:r>
        <w:rPr>
          <w:rFonts w:ascii="Calibri" w:hAnsi="Calibri"/>
          <w:color w:val="1AAFCC"/>
          <w:sz w:val="20"/>
        </w:rPr>
        <w:t xml:space="preserve">•  </w:t>
      </w:r>
      <w:r>
        <w:rPr>
          <w:rFonts w:ascii="Calibri" w:hAnsi="Calibri"/>
          <w:b/>
          <w:color w:val="333333"/>
          <w:sz w:val="20"/>
        </w:rPr>
        <w:t>Duration:</w:t>
      </w:r>
      <w:r>
        <w:rPr>
          <w:rFonts w:ascii="Calibri" w:hAnsi="Calibri"/>
          <w:color w:val="333333"/>
          <w:sz w:val="20"/>
        </w:rPr>
        <w:t xml:space="preserve"> 1-2 months</w:t>
      </w:r>
    </w:p>
    <w:p>
      <w:pPr>
        <w:pStyle w:val="Heading2"/>
        <w:spacing w:before="280" w:after="120"/>
      </w:pPr>
      <w:r>
        <w:rPr>
          <w:rFonts w:ascii="Calibri" w:hAnsi="Calibri"/>
          <w:b/>
          <w:color w:val="1AAFCC"/>
          <w:sz w:val="26"/>
        </w:rPr>
        <w:t>Phase 1</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Evaluate safety, tolerability, and dosing</w:t>
      </w:r>
    </w:p>
    <w:p>
      <w:pPr>
        <w:spacing w:before="40" w:after="40"/>
        <w:ind w:left="504" w:hanging="216"/>
      </w:pPr>
      <w:r>
        <w:rPr>
          <w:rFonts w:ascii="Calibri" w:hAnsi="Calibri"/>
          <w:color w:val="1AAFCC"/>
          <w:sz w:val="20"/>
        </w:rPr>
        <w:t xml:space="preserve">•  </w:t>
      </w:r>
      <w:r>
        <w:rPr>
          <w:rFonts w:ascii="Calibri" w:hAnsi="Calibri"/>
          <w:b/>
          <w:color w:val="333333"/>
          <w:sz w:val="20"/>
        </w:rPr>
        <w:t>Participants:</w:t>
      </w:r>
      <w:r>
        <w:rPr>
          <w:rFonts w:ascii="Calibri" w:hAnsi="Calibri"/>
          <w:color w:val="333333"/>
          <w:sz w:val="20"/>
        </w:rPr>
        <w:t xml:space="preserve"> 20-80, often healthy volunteers (except in oncology, where patients are used)</w:t>
      </w:r>
    </w:p>
    <w:p>
      <w:pPr>
        <w:spacing w:before="40" w:after="40"/>
        <w:ind w:left="504" w:hanging="216"/>
      </w:pPr>
      <w:r>
        <w:rPr>
          <w:rFonts w:ascii="Calibri" w:hAnsi="Calibri"/>
          <w:color w:val="1AAFCC"/>
          <w:sz w:val="20"/>
        </w:rPr>
        <w:t xml:space="preserve">•  </w:t>
      </w:r>
      <w:r>
        <w:rPr>
          <w:rFonts w:ascii="Calibri" w:hAnsi="Calibri"/>
          <w:b/>
          <w:color w:val="333333"/>
          <w:sz w:val="20"/>
        </w:rPr>
        <w:t>Key question:</w:t>
      </w:r>
      <w:r>
        <w:rPr>
          <w:rFonts w:ascii="Calibri" w:hAnsi="Calibri"/>
          <w:color w:val="333333"/>
          <w:sz w:val="20"/>
        </w:rPr>
        <w:t xml:space="preserve"> "What is the safe dose range?"</w:t>
      </w:r>
    </w:p>
    <w:p>
      <w:pPr>
        <w:spacing w:before="40" w:after="40"/>
        <w:ind w:left="504" w:hanging="216"/>
      </w:pPr>
      <w:r>
        <w:rPr>
          <w:rFonts w:ascii="Calibri" w:hAnsi="Calibri"/>
          <w:color w:val="1AAFCC"/>
          <w:sz w:val="20"/>
        </w:rPr>
        <w:t xml:space="preserve">•  </w:t>
      </w:r>
      <w:r>
        <w:rPr>
          <w:rFonts w:ascii="Calibri" w:hAnsi="Calibri"/>
          <w:b/>
          <w:color w:val="333333"/>
          <w:sz w:val="20"/>
        </w:rPr>
        <w:t>What it measures:</w:t>
      </w:r>
      <w:r>
        <w:rPr>
          <w:rFonts w:ascii="Calibri" w:hAnsi="Calibri"/>
          <w:color w:val="333333"/>
          <w:sz w:val="20"/>
        </w:rPr>
        <w:t xml:space="preserve"> Maximum tolerated dose (MTD), dose-limiting toxicities (DLTs), pharmacokinetics</w:t>
      </w:r>
    </w:p>
    <w:p>
      <w:pPr>
        <w:spacing w:before="40" w:after="40"/>
        <w:ind w:left="504" w:hanging="216"/>
      </w:pPr>
      <w:r>
        <w:rPr>
          <w:rFonts w:ascii="Calibri" w:hAnsi="Calibri"/>
          <w:color w:val="1AAFCC"/>
          <w:sz w:val="20"/>
        </w:rPr>
        <w:t xml:space="preserve">•  </w:t>
      </w:r>
      <w:r>
        <w:rPr>
          <w:rFonts w:ascii="Calibri" w:hAnsi="Calibri"/>
          <w:b/>
          <w:color w:val="333333"/>
          <w:sz w:val="20"/>
        </w:rPr>
        <w:t>Design:</w:t>
      </w:r>
      <w:r>
        <w:rPr>
          <w:rFonts w:ascii="Calibri" w:hAnsi="Calibri"/>
          <w:color w:val="333333"/>
          <w:sz w:val="20"/>
        </w:rPr>
        <w:t xml:space="preserve"> Dose escalation (e.g., 3+3 design or model-based CRM)</w:t>
      </w:r>
    </w:p>
    <w:p>
      <w:pPr>
        <w:spacing w:before="40" w:after="40"/>
        <w:ind w:left="504" w:hanging="216"/>
      </w:pPr>
      <w:r>
        <w:rPr>
          <w:rFonts w:ascii="Calibri" w:hAnsi="Calibri"/>
          <w:color w:val="1AAFCC"/>
          <w:sz w:val="20"/>
        </w:rPr>
        <w:t xml:space="preserve">•  </w:t>
      </w:r>
      <w:r>
        <w:rPr>
          <w:rFonts w:ascii="Calibri" w:hAnsi="Calibri"/>
          <w:b/>
          <w:color w:val="333333"/>
          <w:sz w:val="20"/>
        </w:rPr>
        <w:t>Duration:</w:t>
      </w:r>
      <w:r>
        <w:rPr>
          <w:rFonts w:ascii="Calibri" w:hAnsi="Calibri"/>
          <w:color w:val="333333"/>
          <w:sz w:val="20"/>
        </w:rPr>
        <w:t xml:space="preserve"> 6-12 months</w:t>
      </w:r>
    </w:p>
    <w:p>
      <w:pPr>
        <w:spacing w:before="40" w:after="40"/>
        <w:ind w:left="504" w:hanging="216"/>
      </w:pPr>
      <w:r>
        <w:rPr>
          <w:rFonts w:ascii="Calibri" w:hAnsi="Calibri"/>
          <w:color w:val="1AAFCC"/>
          <w:sz w:val="20"/>
        </w:rPr>
        <w:t xml:space="preserve">•  </w:t>
      </w:r>
      <w:r>
        <w:rPr>
          <w:rFonts w:ascii="Calibri" w:hAnsi="Calibri"/>
          <w:b/>
          <w:color w:val="333333"/>
          <w:sz w:val="20"/>
        </w:rPr>
        <w:t>Success rate:</w:t>
      </w:r>
      <w:r>
        <w:rPr>
          <w:rFonts w:ascii="Calibri" w:hAnsi="Calibri"/>
          <w:color w:val="333333"/>
          <w:sz w:val="20"/>
        </w:rPr>
        <w:t xml:space="preserve"> ~60%</w:t>
      </w:r>
    </w:p>
    <w:p>
      <w:pPr>
        <w:pStyle w:val="Heading2"/>
        <w:spacing w:before="280" w:after="120"/>
      </w:pPr>
      <w:r>
        <w:rPr>
          <w:rFonts w:ascii="Calibri" w:hAnsi="Calibri"/>
          <w:b/>
          <w:color w:val="1AAFCC"/>
          <w:sz w:val="26"/>
        </w:rPr>
        <w:t>Phase 2</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Evaluate efficacy in the target disease and refine dosing</w:t>
      </w:r>
    </w:p>
    <w:p>
      <w:pPr>
        <w:spacing w:before="40" w:after="40"/>
        <w:ind w:left="504" w:hanging="216"/>
      </w:pPr>
      <w:r>
        <w:rPr>
          <w:rFonts w:ascii="Calibri" w:hAnsi="Calibri"/>
          <w:color w:val="1AAFCC"/>
          <w:sz w:val="20"/>
        </w:rPr>
        <w:t xml:space="preserve">•  </w:t>
      </w:r>
      <w:r>
        <w:rPr>
          <w:rFonts w:ascii="Calibri" w:hAnsi="Calibri"/>
          <w:b/>
          <w:color w:val="333333"/>
          <w:sz w:val="20"/>
        </w:rPr>
        <w:t>Participants:</w:t>
      </w:r>
      <w:r>
        <w:rPr>
          <w:rFonts w:ascii="Calibri" w:hAnsi="Calibri"/>
          <w:color w:val="333333"/>
          <w:sz w:val="20"/>
        </w:rPr>
        <w:t xml:space="preserve"> 100-300 patients with the target disease</w:t>
      </w:r>
    </w:p>
    <w:p>
      <w:pPr>
        <w:spacing w:before="40" w:after="40"/>
        <w:ind w:left="504" w:hanging="216"/>
      </w:pPr>
      <w:r>
        <w:rPr>
          <w:rFonts w:ascii="Calibri" w:hAnsi="Calibri"/>
          <w:color w:val="1AAFCC"/>
          <w:sz w:val="20"/>
        </w:rPr>
        <w:t xml:space="preserve">•  </w:t>
      </w:r>
      <w:r>
        <w:rPr>
          <w:rFonts w:ascii="Calibri" w:hAnsi="Calibri"/>
          <w:b/>
          <w:color w:val="333333"/>
          <w:sz w:val="20"/>
        </w:rPr>
        <w:t>Key question:</w:t>
      </w:r>
      <w:r>
        <w:rPr>
          <w:rFonts w:ascii="Calibri" w:hAnsi="Calibri"/>
          <w:color w:val="333333"/>
          <w:sz w:val="20"/>
        </w:rPr>
        <w:t xml:space="preserve"> "Does this drug work, and at what dose?"</w:t>
      </w:r>
    </w:p>
    <w:p>
      <w:pPr>
        <w:spacing w:before="40" w:after="40"/>
        <w:ind w:left="504" w:hanging="216"/>
      </w:pPr>
      <w:r>
        <w:rPr>
          <w:rFonts w:ascii="Calibri" w:hAnsi="Calibri"/>
          <w:color w:val="1AAFCC"/>
          <w:sz w:val="20"/>
        </w:rPr>
        <w:t xml:space="preserve">•  </w:t>
      </w:r>
      <w:r>
        <w:rPr>
          <w:rFonts w:ascii="Calibri" w:hAnsi="Calibri"/>
          <w:b/>
          <w:color w:val="333333"/>
          <w:sz w:val="20"/>
        </w:rPr>
        <w:t>Sub-phases:</w:t>
      </w:r>
    </w:p>
    <w:p>
      <w:pPr>
        <w:spacing w:before="20" w:after="20"/>
        <w:ind w:left="864" w:hanging="216"/>
      </w:pPr>
      <w:r>
        <w:rPr>
          <w:rFonts w:ascii="Calibri" w:hAnsi="Calibri"/>
          <w:color w:val="1AAFCC"/>
          <w:sz w:val="18"/>
        </w:rPr>
        <w:t xml:space="preserve">◦  </w:t>
      </w:r>
      <w:r>
        <w:rPr>
          <w:rFonts w:ascii="Calibri" w:hAnsi="Calibri"/>
          <w:b/>
          <w:color w:val="333333"/>
          <w:sz w:val="20"/>
        </w:rPr>
        <w:t>Phase 2a:</w:t>
      </w:r>
      <w:r>
        <w:rPr>
          <w:rFonts w:ascii="Calibri" w:hAnsi="Calibri"/>
          <w:color w:val="333333"/>
          <w:sz w:val="20"/>
        </w:rPr>
        <w:t xml:space="preserve"> Proof of concept -- does the drug show any sign of working?</w:t>
      </w:r>
    </w:p>
    <w:p>
      <w:pPr>
        <w:spacing w:before="20" w:after="20"/>
        <w:ind w:left="864" w:hanging="216"/>
      </w:pPr>
      <w:r>
        <w:rPr>
          <w:rFonts w:ascii="Calibri" w:hAnsi="Calibri"/>
          <w:color w:val="1AAFCC"/>
          <w:sz w:val="18"/>
        </w:rPr>
        <w:t xml:space="preserve">◦  </w:t>
      </w:r>
      <w:r>
        <w:rPr>
          <w:rFonts w:ascii="Calibri" w:hAnsi="Calibri"/>
          <w:b/>
          <w:color w:val="333333"/>
          <w:sz w:val="20"/>
        </w:rPr>
        <w:t>Phase 2b:</w:t>
      </w:r>
      <w:r>
        <w:rPr>
          <w:rFonts w:ascii="Calibri" w:hAnsi="Calibri"/>
          <w:color w:val="333333"/>
          <w:sz w:val="20"/>
        </w:rPr>
        <w:t xml:space="preserve"> Dose-finding -- what is the best dose?</w:t>
      </w:r>
    </w:p>
    <w:p>
      <w:pPr>
        <w:spacing w:before="40" w:after="40"/>
        <w:ind w:left="504" w:hanging="216"/>
      </w:pPr>
      <w:r>
        <w:rPr>
          <w:rFonts w:ascii="Calibri" w:hAnsi="Calibri"/>
          <w:color w:val="1AAFCC"/>
          <w:sz w:val="20"/>
        </w:rPr>
        <w:t xml:space="preserve">•  </w:t>
      </w:r>
      <w:r>
        <w:rPr>
          <w:rFonts w:ascii="Calibri" w:hAnsi="Calibri"/>
          <w:b/>
          <w:color w:val="333333"/>
          <w:sz w:val="20"/>
        </w:rPr>
        <w:t>Design:</w:t>
      </w:r>
      <w:r>
        <w:rPr>
          <w:rFonts w:ascii="Calibri" w:hAnsi="Calibri"/>
          <w:color w:val="333333"/>
          <w:sz w:val="20"/>
        </w:rPr>
        <w:t xml:space="preserve"> Often randomized, sometimes with a placebo or active comparator</w:t>
      </w:r>
    </w:p>
    <w:p>
      <w:pPr>
        <w:spacing w:before="40" w:after="40"/>
        <w:ind w:left="504" w:hanging="216"/>
      </w:pPr>
      <w:r>
        <w:rPr>
          <w:rFonts w:ascii="Calibri" w:hAnsi="Calibri"/>
          <w:color w:val="1AAFCC"/>
          <w:sz w:val="20"/>
        </w:rPr>
        <w:t xml:space="preserve">•  </w:t>
      </w:r>
      <w:r>
        <w:rPr>
          <w:rFonts w:ascii="Calibri" w:hAnsi="Calibri"/>
          <w:b/>
          <w:color w:val="333333"/>
          <w:sz w:val="20"/>
        </w:rPr>
        <w:t>Duration:</w:t>
      </w:r>
      <w:r>
        <w:rPr>
          <w:rFonts w:ascii="Calibri" w:hAnsi="Calibri"/>
          <w:color w:val="333333"/>
          <w:sz w:val="20"/>
        </w:rPr>
        <w:t xml:space="preserve"> 1-2 years</w:t>
      </w:r>
    </w:p>
    <w:p>
      <w:pPr>
        <w:spacing w:before="40" w:after="40"/>
        <w:ind w:left="504" w:hanging="216"/>
      </w:pPr>
      <w:r>
        <w:rPr>
          <w:rFonts w:ascii="Calibri" w:hAnsi="Calibri"/>
          <w:color w:val="1AAFCC"/>
          <w:sz w:val="20"/>
        </w:rPr>
        <w:t xml:space="preserve">•  </w:t>
      </w:r>
      <w:r>
        <w:rPr>
          <w:rFonts w:ascii="Calibri" w:hAnsi="Calibri"/>
          <w:b/>
          <w:color w:val="333333"/>
          <w:sz w:val="20"/>
        </w:rPr>
        <w:t>Success rate:</w:t>
      </w:r>
      <w:r>
        <w:rPr>
          <w:rFonts w:ascii="Calibri" w:hAnsi="Calibri"/>
          <w:color w:val="333333"/>
          <w:sz w:val="20"/>
        </w:rPr>
        <w:t xml:space="preserve"> ~33% (the "valley of death" for drug development)</w:t>
      </w:r>
    </w:p>
    <w:p>
      <w:pPr>
        <w:pStyle w:val="Heading2"/>
        <w:spacing w:before="280" w:after="120"/>
      </w:pPr>
      <w:r>
        <w:rPr>
          <w:rFonts w:ascii="Calibri" w:hAnsi="Calibri"/>
          <w:b/>
          <w:color w:val="1AAFCC"/>
          <w:sz w:val="26"/>
        </w:rPr>
        <w:t>Phase 3 (Pivotal)</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Confirm efficacy and safety for regulatory approval</w:t>
      </w:r>
    </w:p>
    <w:p>
      <w:pPr>
        <w:spacing w:before="40" w:after="40"/>
        <w:ind w:left="504" w:hanging="216"/>
      </w:pPr>
      <w:r>
        <w:rPr>
          <w:rFonts w:ascii="Calibri" w:hAnsi="Calibri"/>
          <w:color w:val="1AAFCC"/>
          <w:sz w:val="20"/>
        </w:rPr>
        <w:t xml:space="preserve">•  </w:t>
      </w:r>
      <w:r>
        <w:rPr>
          <w:rFonts w:ascii="Calibri" w:hAnsi="Calibri"/>
          <w:b/>
          <w:color w:val="333333"/>
          <w:sz w:val="20"/>
        </w:rPr>
        <w:t>Participants:</w:t>
      </w:r>
      <w:r>
        <w:rPr>
          <w:rFonts w:ascii="Calibri" w:hAnsi="Calibri"/>
          <w:color w:val="333333"/>
          <w:sz w:val="20"/>
        </w:rPr>
        <w:t xml:space="preserve"> 300-3,000+ patients across many sites and countries</w:t>
      </w:r>
    </w:p>
    <w:p>
      <w:pPr>
        <w:spacing w:before="40" w:after="40"/>
        <w:ind w:left="504" w:hanging="216"/>
      </w:pPr>
      <w:r>
        <w:rPr>
          <w:rFonts w:ascii="Calibri" w:hAnsi="Calibri"/>
          <w:color w:val="1AAFCC"/>
          <w:sz w:val="20"/>
        </w:rPr>
        <w:t xml:space="preserve">•  </w:t>
      </w:r>
      <w:r>
        <w:rPr>
          <w:rFonts w:ascii="Calibri" w:hAnsi="Calibri"/>
          <w:b/>
          <w:color w:val="333333"/>
          <w:sz w:val="20"/>
        </w:rPr>
        <w:t>Key question:</w:t>
      </w:r>
      <w:r>
        <w:rPr>
          <w:rFonts w:ascii="Calibri" w:hAnsi="Calibri"/>
          <w:color w:val="333333"/>
          <w:sz w:val="20"/>
        </w:rPr>
        <w:t xml:space="preserve"> "Is this drug better than the current standard of care?"</w:t>
      </w:r>
    </w:p>
    <w:p>
      <w:pPr>
        <w:spacing w:before="40" w:after="40"/>
        <w:ind w:left="504" w:hanging="216"/>
      </w:pPr>
      <w:r>
        <w:rPr>
          <w:rFonts w:ascii="Calibri" w:hAnsi="Calibri"/>
          <w:color w:val="1AAFCC"/>
          <w:sz w:val="20"/>
        </w:rPr>
        <w:t xml:space="preserve">•  </w:t>
      </w:r>
      <w:r>
        <w:rPr>
          <w:rFonts w:ascii="Calibri" w:hAnsi="Calibri"/>
          <w:b/>
          <w:color w:val="333333"/>
          <w:sz w:val="20"/>
        </w:rPr>
        <w:t>Design:</w:t>
      </w:r>
      <w:r>
        <w:rPr>
          <w:rFonts w:ascii="Calibri" w:hAnsi="Calibri"/>
          <w:color w:val="333333"/>
          <w:sz w:val="20"/>
        </w:rPr>
        <w:t xml:space="preserve"> Randomized, controlled, double-blind (the gold standard)</w:t>
      </w:r>
    </w:p>
    <w:p>
      <w:pPr>
        <w:spacing w:before="40" w:after="40"/>
        <w:ind w:left="504" w:hanging="216"/>
      </w:pPr>
      <w:r>
        <w:rPr>
          <w:rFonts w:ascii="Calibri" w:hAnsi="Calibri"/>
          <w:color w:val="1AAFCC"/>
          <w:sz w:val="20"/>
        </w:rPr>
        <w:t xml:space="preserve">•  </w:t>
      </w:r>
      <w:r>
        <w:rPr>
          <w:rFonts w:ascii="Calibri" w:hAnsi="Calibri"/>
          <w:b/>
          <w:color w:val="333333"/>
          <w:sz w:val="20"/>
        </w:rPr>
        <w:t>Duration:</w:t>
      </w:r>
      <w:r>
        <w:rPr>
          <w:rFonts w:ascii="Calibri" w:hAnsi="Calibri"/>
          <w:color w:val="333333"/>
          <w:sz w:val="20"/>
        </w:rPr>
        <w:t xml:space="preserve"> 2-4 years</w:t>
      </w:r>
    </w:p>
    <w:p>
      <w:pPr>
        <w:spacing w:before="40" w:after="40"/>
        <w:ind w:left="504" w:hanging="216"/>
      </w:pPr>
      <w:r>
        <w:rPr>
          <w:rFonts w:ascii="Calibri" w:hAnsi="Calibri"/>
          <w:color w:val="1AAFCC"/>
          <w:sz w:val="20"/>
        </w:rPr>
        <w:t xml:space="preserve">•  </w:t>
      </w:r>
      <w:r>
        <w:rPr>
          <w:rFonts w:ascii="Calibri" w:hAnsi="Calibri"/>
          <w:b/>
          <w:color w:val="333333"/>
          <w:sz w:val="20"/>
        </w:rPr>
        <w:t>Success rate:</w:t>
      </w:r>
      <w:r>
        <w:rPr>
          <w:rFonts w:ascii="Calibri" w:hAnsi="Calibri"/>
          <w:color w:val="333333"/>
          <w:sz w:val="20"/>
        </w:rPr>
        <w:t xml:space="preserve"> ~50%</w:t>
      </w:r>
    </w:p>
    <w:p>
      <w:pPr>
        <w:spacing w:before="40" w:after="40"/>
        <w:ind w:left="504" w:hanging="216"/>
      </w:pPr>
      <w:r>
        <w:rPr>
          <w:rFonts w:ascii="Calibri" w:hAnsi="Calibri"/>
          <w:color w:val="1AAFCC"/>
          <w:sz w:val="20"/>
        </w:rPr>
        <w:t xml:space="preserve">•  </w:t>
      </w:r>
      <w:r>
        <w:rPr>
          <w:rFonts w:ascii="Calibri" w:hAnsi="Calibri"/>
          <w:b/>
          <w:color w:val="333333"/>
          <w:sz w:val="20"/>
        </w:rPr>
        <w:t>Regulatory significance:</w:t>
      </w:r>
      <w:r>
        <w:rPr>
          <w:rFonts w:ascii="Calibri" w:hAnsi="Calibri"/>
          <w:color w:val="333333"/>
          <w:sz w:val="20"/>
        </w:rPr>
        <w:t xml:space="preserve"> Two adequate and well-controlled Phase 3 studies (or one large, definitive study) typically required for FDA approval</w:t>
      </w:r>
    </w:p>
    <w:p>
      <w:pPr>
        <w:pStyle w:val="Heading2"/>
        <w:spacing w:before="280" w:after="120"/>
      </w:pPr>
      <w:r>
        <w:rPr>
          <w:rFonts w:ascii="Calibri" w:hAnsi="Calibri"/>
          <w:b/>
          <w:color w:val="1AAFCC"/>
          <w:sz w:val="26"/>
        </w:rPr>
        <w:t>Phase 4 (Post-Marketing)</w:t>
      </w:r>
    </w:p>
    <w:p>
      <w:pPr>
        <w:spacing w:before="40" w:after="40"/>
        <w:ind w:left="504" w:hanging="216"/>
      </w:pPr>
      <w:r>
        <w:rPr>
          <w:rFonts w:ascii="Calibri" w:hAnsi="Calibri"/>
          <w:color w:val="1AAFCC"/>
          <w:sz w:val="20"/>
        </w:rPr>
        <w:t xml:space="preserve">•  </w:t>
      </w:r>
      <w:r>
        <w:rPr>
          <w:rFonts w:ascii="Calibri" w:hAnsi="Calibri"/>
          <w:b/>
          <w:color w:val="333333"/>
          <w:sz w:val="20"/>
        </w:rPr>
        <w:t>Purpose:</w:t>
      </w:r>
      <w:r>
        <w:rPr>
          <w:rFonts w:ascii="Calibri" w:hAnsi="Calibri"/>
          <w:color w:val="333333"/>
          <w:sz w:val="20"/>
        </w:rPr>
        <w:t xml:space="preserve"> Monitor long-term safety and effectiveness in the real world</w:t>
      </w:r>
    </w:p>
    <w:p>
      <w:pPr>
        <w:spacing w:before="40" w:after="40"/>
        <w:ind w:left="504" w:hanging="216"/>
      </w:pPr>
      <w:r>
        <w:rPr>
          <w:rFonts w:ascii="Calibri" w:hAnsi="Calibri"/>
          <w:color w:val="1AAFCC"/>
          <w:sz w:val="20"/>
        </w:rPr>
        <w:t xml:space="preserve">•  </w:t>
      </w:r>
      <w:r>
        <w:rPr>
          <w:rFonts w:ascii="Calibri" w:hAnsi="Calibri"/>
          <w:b/>
          <w:color w:val="333333"/>
          <w:sz w:val="20"/>
        </w:rPr>
        <w:t>Participants:</w:t>
      </w:r>
      <w:r>
        <w:rPr>
          <w:rFonts w:ascii="Calibri" w:hAnsi="Calibri"/>
          <w:color w:val="333333"/>
          <w:sz w:val="20"/>
        </w:rPr>
        <w:t xml:space="preserve"> 1,000-100,000+ patients in routine clinical practice</w:t>
      </w:r>
    </w:p>
    <w:p>
      <w:pPr>
        <w:spacing w:before="40" w:after="40"/>
        <w:ind w:left="504" w:hanging="216"/>
      </w:pPr>
      <w:r>
        <w:rPr>
          <w:rFonts w:ascii="Calibri" w:hAnsi="Calibri"/>
          <w:color w:val="1AAFCC"/>
          <w:sz w:val="20"/>
        </w:rPr>
        <w:t xml:space="preserve">•  </w:t>
      </w:r>
      <w:r>
        <w:rPr>
          <w:rFonts w:ascii="Calibri" w:hAnsi="Calibri"/>
          <w:b/>
          <w:color w:val="333333"/>
          <w:sz w:val="20"/>
        </w:rPr>
        <w:t>Key question:</w:t>
      </w:r>
      <w:r>
        <w:rPr>
          <w:rFonts w:ascii="Calibri" w:hAnsi="Calibri"/>
          <w:color w:val="333333"/>
          <w:sz w:val="20"/>
        </w:rPr>
        <w:t xml:space="preserve"> "Are there rare side effects or new uses we didn't see in Phase 3?"</w:t>
      </w:r>
    </w:p>
    <w:p>
      <w:pPr>
        <w:spacing w:before="40" w:after="40"/>
        <w:ind w:left="504" w:hanging="216"/>
      </w:pPr>
      <w:r>
        <w:rPr>
          <w:rFonts w:ascii="Calibri" w:hAnsi="Calibri"/>
          <w:color w:val="1AAFCC"/>
          <w:sz w:val="20"/>
        </w:rPr>
        <w:t xml:space="preserve">•  </w:t>
      </w:r>
      <w:r>
        <w:rPr>
          <w:rFonts w:ascii="Calibri" w:hAnsi="Calibri"/>
          <w:b/>
          <w:color w:val="333333"/>
          <w:sz w:val="20"/>
        </w:rPr>
        <w:t>Design:</w:t>
      </w:r>
      <w:r>
        <w:rPr>
          <w:rFonts w:ascii="Calibri" w:hAnsi="Calibri"/>
          <w:color w:val="333333"/>
          <w:sz w:val="20"/>
        </w:rPr>
        <w:t xml:space="preserve"> Observational studies, registries, real-world evidence studies</w:t>
      </w:r>
    </w:p>
    <w:p>
      <w:pPr>
        <w:spacing w:before="40" w:after="40"/>
        <w:ind w:left="504" w:hanging="216"/>
      </w:pPr>
      <w:r>
        <w:rPr>
          <w:rFonts w:ascii="Calibri" w:hAnsi="Calibri"/>
          <w:color w:val="1AAFCC"/>
          <w:sz w:val="20"/>
        </w:rPr>
        <w:t xml:space="preserve">•  </w:t>
      </w:r>
      <w:r>
        <w:rPr>
          <w:rFonts w:ascii="Calibri" w:hAnsi="Calibri"/>
          <w:b/>
          <w:color w:val="333333"/>
          <w:sz w:val="20"/>
        </w:rPr>
        <w:t>Duration:</w:t>
      </w:r>
      <w:r>
        <w:rPr>
          <w:rFonts w:ascii="Calibri" w:hAnsi="Calibri"/>
          <w:color w:val="333333"/>
          <w:sz w:val="20"/>
        </w:rPr>
        <w:t xml:space="preserve"> Ongoing (years to decades)</w:t>
      </w:r>
    </w:p>
    <w:p>
      <w:pPr>
        <w:spacing w:before="40" w:after="40"/>
        <w:ind w:left="504" w:hanging="216"/>
      </w:pPr>
      <w:r>
        <w:rPr>
          <w:rFonts w:ascii="Calibri" w:hAnsi="Calibri"/>
          <w:color w:val="1AAFCC"/>
          <w:sz w:val="20"/>
        </w:rPr>
        <w:t xml:space="preserve">•  </w:t>
      </w:r>
      <w:r>
        <w:rPr>
          <w:rFonts w:ascii="Calibri" w:hAnsi="Calibri"/>
          <w:b/>
          <w:color w:val="333333"/>
          <w:sz w:val="20"/>
        </w:rPr>
        <w:t>Regulatory significance:</w:t>
      </w:r>
      <w:r>
        <w:rPr>
          <w:rFonts w:ascii="Calibri" w:hAnsi="Calibri"/>
          <w:color w:val="333333"/>
          <w:sz w:val="20"/>
        </w:rPr>
        <w:t xml:space="preserve"> Post-Marketing Requirements (PMRs) may be mandated by FDA</w:t>
      </w:r>
    </w:p>
    <w:p>
      <w:pPr>
        <w:spacing w:before="80" w:after="80"/>
        <w:pBdr>
          <w:bottom w:val="single" w:sz="6" w:color="1AAFCC"/>
        </w:pBdr>
      </w:pPr>
    </w:p>
    <w:p>
      <w:pPr>
        <w:pStyle w:val="Heading1"/>
        <w:spacing w:before="400" w:after="160"/>
      </w:pPr>
      <w:r>
        <w:rPr>
          <w:rFonts w:ascii="Calibri" w:hAnsi="Calibri"/>
          <w:b/>
          <w:color w:val="1B2333"/>
          <w:sz w:val="32"/>
        </w:rPr>
        <w:t>4. Key Players in a Clinical Trial</w:t>
      </w:r>
    </w:p>
    <w:p>
      <w:pPr>
        <w:pStyle w:val="Heading2"/>
        <w:spacing w:before="280" w:after="120"/>
      </w:pPr>
      <w:r>
        <w:rPr>
          <w:rFonts w:ascii="Calibri" w:hAnsi="Calibri"/>
          <w:b/>
          <w:color w:val="1AAFCC"/>
          <w:sz w:val="26"/>
        </w:rPr>
        <w:t>Sponsor</w:t>
      </w:r>
    </w:p>
    <w:p>
      <w:pPr>
        <w:spacing w:before="0" w:after="120"/>
      </w:pPr>
      <w:r>
        <w:rPr>
          <w:rFonts w:ascii="Calibri" w:hAnsi="Calibri"/>
          <w:color w:val="333333"/>
          <w:sz w:val="20"/>
        </w:rPr>
        <w:t>The organization (pharmaceutical company, biotech, academic institution, or government agency) that initiates, manages, and funds the trial. The sponsor is legally responsible for the trial's conduct and regulatory compliance.</w:t>
      </w:r>
    </w:p>
    <w:p>
      <w:pPr>
        <w:pStyle w:val="Heading2"/>
        <w:spacing w:before="280" w:after="120"/>
      </w:pPr>
      <w:r>
        <w:rPr>
          <w:rFonts w:ascii="Calibri" w:hAnsi="Calibri"/>
          <w:b/>
          <w:color w:val="1AAFCC"/>
          <w:sz w:val="26"/>
        </w:rPr>
        <w:t>Principal Investigator (PI)</w:t>
      </w:r>
    </w:p>
    <w:p>
      <w:pPr>
        <w:spacing w:before="0" w:after="120"/>
      </w:pPr>
      <w:r>
        <w:rPr>
          <w:rFonts w:ascii="Calibri" w:hAnsi="Calibri"/>
          <w:color w:val="333333"/>
          <w:sz w:val="20"/>
        </w:rPr>
        <w:t>The physician at each trial site who is responsible for the trial's conduct at that site. The PI ensures patient safety, protocol compliance, and data integrity. Sites typically have one PI and a team of sub-investigators and study coordinators.</w:t>
      </w:r>
    </w:p>
    <w:p>
      <w:pPr>
        <w:pStyle w:val="Heading2"/>
        <w:spacing w:before="280" w:after="120"/>
      </w:pPr>
      <w:r>
        <w:rPr>
          <w:rFonts w:ascii="Calibri" w:hAnsi="Calibri"/>
          <w:b/>
          <w:color w:val="1AAFCC"/>
          <w:sz w:val="26"/>
        </w:rPr>
        <w:t>Contract Research Organization (CRO)</w:t>
      </w:r>
    </w:p>
    <w:p>
      <w:pPr>
        <w:spacing w:before="0" w:after="120"/>
      </w:pPr>
      <w:r>
        <w:rPr>
          <w:rFonts w:ascii="Calibri" w:hAnsi="Calibri"/>
          <w:color w:val="333333"/>
          <w:sz w:val="20"/>
        </w:rPr>
        <w:t>A company hired by the sponsor to manage trial operations: site selection, monitoring, data management, statistical analysis, and regulatory submissions. Major CROs include IQVIA, Covance (LabCorp), PPD (Thermo Fisher), and Parexel.</w:t>
      </w:r>
    </w:p>
    <w:p>
      <w:pPr>
        <w:pStyle w:val="Heading2"/>
        <w:spacing w:before="280" w:after="120"/>
      </w:pPr>
      <w:r>
        <w:rPr>
          <w:rFonts w:ascii="Calibri" w:hAnsi="Calibri"/>
          <w:b/>
          <w:color w:val="1AAFCC"/>
          <w:sz w:val="26"/>
        </w:rPr>
        <w:t>Data Safety Monitoring Board (DSMB)</w:t>
      </w:r>
    </w:p>
    <w:p>
      <w:pPr>
        <w:spacing w:before="0" w:after="120"/>
      </w:pPr>
      <w:r>
        <w:rPr>
          <w:rFonts w:ascii="Calibri" w:hAnsi="Calibri"/>
          <w:color w:val="333333"/>
          <w:sz w:val="20"/>
        </w:rPr>
        <w:t>An independent committee of clinical experts and statisticians who review unblinded safety data during the trial. The DSMB can recommend stopping the trial early for safety concerns, efficacy (if the drug clearly works), or futility (if the drug clearly does not work).</w:t>
      </w:r>
    </w:p>
    <w:p>
      <w:pPr>
        <w:pStyle w:val="Heading2"/>
        <w:spacing w:before="280" w:after="120"/>
      </w:pPr>
      <w:r>
        <w:rPr>
          <w:rFonts w:ascii="Calibri" w:hAnsi="Calibri"/>
          <w:b/>
          <w:color w:val="1AAFCC"/>
          <w:sz w:val="26"/>
        </w:rPr>
        <w:t>Institutional Review Board (IRB) / Ethics Committee</w:t>
      </w:r>
    </w:p>
    <w:p>
      <w:pPr>
        <w:spacing w:before="0" w:after="120"/>
      </w:pPr>
      <w:r>
        <w:rPr>
          <w:rFonts w:ascii="Calibri" w:hAnsi="Calibri"/>
          <w:color w:val="333333"/>
          <w:sz w:val="20"/>
        </w:rPr>
        <w:t>An independent committee that reviews and approves the trial protocol, informed consent form, and any protocol amendments to ensure patient safety and ethical conduct. No trial can begin without IRB/EC approval.</w:t>
      </w:r>
    </w:p>
    <w:p>
      <w:pPr>
        <w:pStyle w:val="Heading2"/>
        <w:spacing w:before="280" w:after="120"/>
      </w:pPr>
      <w:r>
        <w:rPr>
          <w:rFonts w:ascii="Calibri" w:hAnsi="Calibri"/>
          <w:b/>
          <w:color w:val="1AAFCC"/>
          <w:sz w:val="26"/>
        </w:rPr>
        <w:t>Regulatory Agency</w:t>
      </w:r>
    </w:p>
    <w:p>
      <w:pPr>
        <w:spacing w:before="0" w:after="120"/>
      </w:pPr>
      <w:r>
        <w:rPr>
          <w:rFonts w:ascii="Calibri" w:hAnsi="Calibri"/>
          <w:color w:val="333333"/>
          <w:sz w:val="20"/>
        </w:rPr>
        <w:t>The government body that reviews and approves the trial design (IND/CTA) and the marketing application (NDA/BLA/MAA). Major agencies include FDA (US), EMA (EU), PMDA (Japan), Health Canada, TGA (Australia), MHRA (UK), NMPA (China), Swissmedic, and ANVISA (Brazil).</w:t>
      </w:r>
    </w:p>
    <w:p>
      <w:pPr>
        <w:pStyle w:val="Heading2"/>
        <w:spacing w:before="280" w:after="120"/>
      </w:pPr>
      <w:r>
        <w:rPr>
          <w:rFonts w:ascii="Calibri" w:hAnsi="Calibri"/>
          <w:b/>
          <w:color w:val="1AAFCC"/>
          <w:sz w:val="26"/>
        </w:rPr>
        <w:t>Patients / Participants</w:t>
      </w:r>
    </w:p>
    <w:p>
      <w:pPr>
        <w:spacing w:before="0" w:after="120"/>
      </w:pPr>
      <w:r>
        <w:rPr>
          <w:rFonts w:ascii="Calibri" w:hAnsi="Calibri"/>
          <w:color w:val="333333"/>
          <w:sz w:val="20"/>
        </w:rPr>
        <w:t>The most important stakeholders. Patients volunteer to participate in trials, often receiving access to experimental treatments. Informed consent is a fundamental ethical requirement: patients must understand the risks, benefits, and alternatives before enrolling.</w:t>
      </w:r>
    </w:p>
    <w:p>
      <w:pPr>
        <w:spacing w:before="80" w:after="80"/>
        <w:pBdr>
          <w:bottom w:val="single" w:sz="6" w:color="1AAFCC"/>
        </w:pBdr>
      </w:pPr>
    </w:p>
    <w:p>
      <w:pPr>
        <w:pStyle w:val="Heading1"/>
        <w:spacing w:before="400" w:after="160"/>
      </w:pPr>
      <w:r>
        <w:rPr>
          <w:rFonts w:ascii="Calibri" w:hAnsi="Calibri"/>
          <w:b/>
          <w:color w:val="1B2333"/>
          <w:sz w:val="32"/>
        </w:rPr>
        <w:t>5. Endpoints: Measuring Success</w:t>
      </w:r>
    </w:p>
    <w:p>
      <w:pPr>
        <w:spacing w:before="0" w:after="120"/>
      </w:pPr>
      <w:r>
        <w:rPr>
          <w:rFonts w:ascii="Calibri" w:hAnsi="Calibri"/>
          <w:color w:val="333333"/>
          <w:sz w:val="20"/>
        </w:rPr>
        <w:t>An endpoint is the specific measurement used to determine whether a treatment works. Choosing the right endpoints is one of the most critical decisions in trial design.</w:t>
      </w:r>
    </w:p>
    <w:p>
      <w:pPr>
        <w:pStyle w:val="Heading2"/>
        <w:spacing w:before="280" w:after="120"/>
      </w:pPr>
      <w:r>
        <w:rPr>
          <w:rFonts w:ascii="Calibri" w:hAnsi="Calibri"/>
          <w:b/>
          <w:color w:val="1AAFCC"/>
          <w:sz w:val="26"/>
        </w:rPr>
        <w:t>Primary Endpoint</w:t>
      </w:r>
    </w:p>
    <w:p>
      <w:pPr>
        <w:spacing w:before="0" w:after="120"/>
      </w:pPr>
      <w:r>
        <w:rPr>
          <w:rFonts w:ascii="Calibri" w:hAnsi="Calibri"/>
          <w:color w:val="333333"/>
          <w:sz w:val="20"/>
        </w:rPr>
        <w:t>The main outcome measure that determines whether the trial is "positive" or "negative." The entire trial is powered (sized) to detect a meaningful difference in the primary endpoint. Examples: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Therapeutic Area</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Common Primary Endpoint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Oncology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Overall Survival (OS), Progression-Free Survival (PFS)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Cardiology</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Major Adverse CV Events (MACE: CV death, MI, stroke)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Diabetes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HbA1c reduction from baseline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Rheumatology</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ACR20 response rate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Respiratory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Change in FEV1 from baseline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Neurology</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Disease-specific functional scale (ADAS-Cog for AD)</w:t>
            </w:r>
          </w:p>
        </w:tc>
      </w:tr>
    </w:tbl>
    <w:p>
      <w:pPr>
        <w:spacing w:before="40" w:after="80"/>
      </w:pPr>
    </w:p>
    <w:p>
      <w:pPr>
        <w:pStyle w:val="Heading2"/>
        <w:spacing w:before="280" w:after="120"/>
      </w:pPr>
      <w:r>
        <w:rPr>
          <w:rFonts w:ascii="Calibri" w:hAnsi="Calibri"/>
          <w:b/>
          <w:color w:val="1AAFCC"/>
          <w:sz w:val="26"/>
        </w:rPr>
        <w:t>Secondary Endpoints</w:t>
      </w:r>
    </w:p>
    <w:p>
      <w:pPr>
        <w:spacing w:before="0" w:after="120"/>
      </w:pPr>
      <w:r>
        <w:rPr>
          <w:rFonts w:ascii="Calibri" w:hAnsi="Calibri"/>
          <w:color w:val="333333"/>
          <w:sz w:val="20"/>
        </w:rPr>
        <w:t>Additional measures that support the primary endpoint or evaluate other treatment effects. Examples: quality of life (EQ-5D, SF-36), biomarker changes, duration of response. Key secondary endpoints can support labeling claims if multiplicity-controlled.</w:t>
      </w:r>
    </w:p>
    <w:p>
      <w:pPr>
        <w:pStyle w:val="Heading2"/>
        <w:spacing w:before="280" w:after="120"/>
      </w:pPr>
      <w:r>
        <w:rPr>
          <w:rFonts w:ascii="Calibri" w:hAnsi="Calibri"/>
          <w:b/>
          <w:color w:val="1AAFCC"/>
          <w:sz w:val="26"/>
        </w:rPr>
        <w:t>Surrogate Endpoints</w:t>
      </w:r>
    </w:p>
    <w:p>
      <w:pPr>
        <w:spacing w:before="0" w:after="120"/>
      </w:pPr>
      <w:r>
        <w:rPr>
          <w:rFonts w:ascii="Calibri" w:hAnsi="Calibri"/>
          <w:color w:val="333333"/>
          <w:sz w:val="20"/>
        </w:rPr>
        <w:t>Measurable outcomes that are "reasonably likely to predict" a clinical benefit. The FDA accepts some surrogate endpoints for accelerated approval (e.g., tumor response rate as a surrogate for overall survival). The trade-off: faster approval, but a confirmatory trial is required.</w:t>
      </w:r>
    </w:p>
    <w:p>
      <w:pPr>
        <w:pStyle w:val="Heading2"/>
        <w:spacing w:before="280" w:after="120"/>
      </w:pPr>
      <w:r>
        <w:rPr>
          <w:rFonts w:ascii="Calibri" w:hAnsi="Calibri"/>
          <w:b/>
          <w:color w:val="1AAFCC"/>
          <w:sz w:val="26"/>
        </w:rPr>
        <w:t>Patient-Reported Outcomes (PROs)</w:t>
      </w:r>
    </w:p>
    <w:p>
      <w:pPr>
        <w:spacing w:before="0" w:after="120"/>
      </w:pPr>
      <w:r>
        <w:rPr>
          <w:rFonts w:ascii="Calibri" w:hAnsi="Calibri"/>
          <w:color w:val="333333"/>
          <w:sz w:val="20"/>
        </w:rPr>
        <w:t>Endpoints reported directly by patients without clinician interpretation. Capture how the patient feels, functions, and survives. Increasingly important for FDA labeling claims. Examples: pain scores, quality of life instruments, symptom diaries.</w:t>
      </w:r>
    </w:p>
    <w:p>
      <w:pPr>
        <w:pStyle w:val="Heading2"/>
        <w:spacing w:before="280" w:after="120"/>
      </w:pPr>
      <w:r>
        <w:rPr>
          <w:rFonts w:ascii="Calibri" w:hAnsi="Calibri"/>
          <w:b/>
          <w:color w:val="1AAFCC"/>
          <w:sz w:val="26"/>
        </w:rPr>
        <w:t>Composite Endpoints</w:t>
      </w:r>
    </w:p>
    <w:p>
      <w:pPr>
        <w:spacing w:before="0" w:after="120"/>
      </w:pPr>
      <w:r>
        <w:rPr>
          <w:rFonts w:ascii="Calibri" w:hAnsi="Calibri"/>
          <w:color w:val="333333"/>
          <w:sz w:val="20"/>
        </w:rPr>
        <w:t>A combination of multiple events into a single endpoint. Common when individual events are too infrequent to power the trial. Example: MACE (major adverse cardiovascular events) = cardiovascular death + myocardial infarction + stroke.</w:t>
      </w:r>
    </w:p>
    <w:p>
      <w:pPr>
        <w:spacing w:before="80" w:after="80"/>
        <w:pBdr>
          <w:bottom w:val="single" w:sz="6" w:color="1AAFCC"/>
        </w:pBdr>
      </w:pPr>
    </w:p>
    <w:p>
      <w:pPr>
        <w:pStyle w:val="Heading1"/>
        <w:spacing w:before="400" w:after="160"/>
      </w:pPr>
      <w:r>
        <w:rPr>
          <w:rFonts w:ascii="Calibri" w:hAnsi="Calibri"/>
          <w:b/>
          <w:color w:val="1B2333"/>
          <w:sz w:val="32"/>
        </w:rPr>
        <w:t>6. Statistical Foundations</w:t>
      </w:r>
    </w:p>
    <w:p>
      <w:pPr>
        <w:pStyle w:val="Heading2"/>
        <w:spacing w:before="280" w:after="120"/>
      </w:pPr>
      <w:r>
        <w:rPr>
          <w:rFonts w:ascii="Calibri" w:hAnsi="Calibri"/>
          <w:b/>
          <w:color w:val="1AAFCC"/>
          <w:sz w:val="26"/>
        </w:rPr>
        <w:t>Randomization</w:t>
      </w:r>
    </w:p>
    <w:p>
      <w:pPr>
        <w:spacing w:before="0" w:after="120"/>
      </w:pPr>
      <w:r>
        <w:rPr>
          <w:rFonts w:ascii="Calibri" w:hAnsi="Calibri"/>
          <w:color w:val="333333"/>
          <w:sz w:val="20"/>
        </w:rPr>
        <w:t>Participants are randomly assigned to treatment or control groups to eliminate bias. Randomization ensures that differences between groups are due to the treatment, not pre-existing differences.</w:t>
      </w:r>
    </w:p>
    <w:p>
      <w:pPr>
        <w:pStyle w:val="Heading2"/>
        <w:spacing w:before="280" w:after="120"/>
      </w:pPr>
      <w:r>
        <w:rPr>
          <w:rFonts w:ascii="Calibri" w:hAnsi="Calibri"/>
          <w:b/>
          <w:color w:val="1AAFCC"/>
          <w:sz w:val="26"/>
        </w:rPr>
        <w:t>Blinding</w:t>
      </w:r>
    </w:p>
    <w:p>
      <w:pPr>
        <w:spacing w:before="40" w:after="40"/>
        <w:ind w:left="504" w:hanging="216"/>
      </w:pPr>
      <w:r>
        <w:rPr>
          <w:rFonts w:ascii="Calibri" w:hAnsi="Calibri"/>
          <w:color w:val="1AAFCC"/>
          <w:sz w:val="20"/>
        </w:rPr>
        <w:t xml:space="preserve">•  </w:t>
      </w:r>
      <w:r>
        <w:rPr>
          <w:rFonts w:ascii="Calibri" w:hAnsi="Calibri"/>
          <w:b/>
          <w:color w:val="333333"/>
          <w:sz w:val="20"/>
        </w:rPr>
        <w:t>Single-blind:</w:t>
      </w:r>
      <w:r>
        <w:rPr>
          <w:rFonts w:ascii="Calibri" w:hAnsi="Calibri"/>
          <w:color w:val="333333"/>
          <w:sz w:val="20"/>
        </w:rPr>
        <w:t xml:space="preserve"> Patients do not know which treatment they receive</w:t>
      </w:r>
    </w:p>
    <w:p>
      <w:pPr>
        <w:spacing w:before="40" w:after="40"/>
        <w:ind w:left="504" w:hanging="216"/>
      </w:pPr>
      <w:r>
        <w:rPr>
          <w:rFonts w:ascii="Calibri" w:hAnsi="Calibri"/>
          <w:color w:val="1AAFCC"/>
          <w:sz w:val="20"/>
        </w:rPr>
        <w:t xml:space="preserve">•  </w:t>
      </w:r>
      <w:r>
        <w:rPr>
          <w:rFonts w:ascii="Calibri" w:hAnsi="Calibri"/>
          <w:b/>
          <w:color w:val="333333"/>
          <w:sz w:val="20"/>
        </w:rPr>
        <w:t>Double-blind:</w:t>
      </w:r>
      <w:r>
        <w:rPr>
          <w:rFonts w:ascii="Calibri" w:hAnsi="Calibri"/>
          <w:color w:val="333333"/>
          <w:sz w:val="20"/>
        </w:rPr>
        <w:t xml:space="preserve"> Neither patients nor investigators know (the gold standard)</w:t>
      </w:r>
    </w:p>
    <w:p>
      <w:pPr>
        <w:spacing w:before="40" w:after="40"/>
        <w:ind w:left="504" w:hanging="216"/>
      </w:pPr>
      <w:r>
        <w:rPr>
          <w:rFonts w:ascii="Calibri" w:hAnsi="Calibri"/>
          <w:color w:val="1AAFCC"/>
          <w:sz w:val="20"/>
        </w:rPr>
        <w:t xml:space="preserve">•  </w:t>
      </w:r>
      <w:r>
        <w:rPr>
          <w:rFonts w:ascii="Calibri" w:hAnsi="Calibri"/>
          <w:b/>
          <w:color w:val="333333"/>
          <w:sz w:val="20"/>
        </w:rPr>
        <w:t>Open-label:</w:t>
      </w:r>
      <w:r>
        <w:rPr>
          <w:rFonts w:ascii="Calibri" w:hAnsi="Calibri"/>
          <w:color w:val="333333"/>
          <w:sz w:val="20"/>
        </w:rPr>
        <w:t xml:space="preserve"> Everyone knows (used when blinding is impractical)</w:t>
      </w:r>
    </w:p>
    <w:p>
      <w:pPr>
        <w:pStyle w:val="Heading2"/>
        <w:spacing w:before="280" w:after="120"/>
      </w:pPr>
      <w:r>
        <w:rPr>
          <w:rFonts w:ascii="Calibri" w:hAnsi="Calibri"/>
          <w:b/>
          <w:color w:val="1AAFCC"/>
          <w:sz w:val="26"/>
        </w:rPr>
        <w:t>p-value and Statistical Significance</w:t>
      </w:r>
    </w:p>
    <w:p>
      <w:pPr>
        <w:spacing w:before="0" w:after="120"/>
      </w:pPr>
      <w:r>
        <w:rPr>
          <w:rFonts w:ascii="Calibri" w:hAnsi="Calibri"/>
          <w:color w:val="333333"/>
          <w:sz w:val="20"/>
        </w:rPr>
        <w:t>The p-value is the probability of observing the results (or more extreme) if the treatment has no effect. By convention, p &lt; 0.05 is considered statistically significant (a 5% chance of a false positive).</w:t>
      </w:r>
    </w:p>
    <w:p>
      <w:pPr>
        <w:pStyle w:val="Heading2"/>
        <w:spacing w:before="280" w:after="120"/>
      </w:pPr>
      <w:r>
        <w:rPr>
          <w:rFonts w:ascii="Calibri" w:hAnsi="Calibri"/>
          <w:b/>
          <w:color w:val="1AAFCC"/>
          <w:sz w:val="26"/>
        </w:rPr>
        <w:t>Hazard Ratio (HR)</w:t>
      </w:r>
    </w:p>
    <w:p>
      <w:pPr>
        <w:spacing w:before="0" w:after="120"/>
      </w:pPr>
      <w:r>
        <w:rPr>
          <w:rFonts w:ascii="Calibri" w:hAnsi="Calibri"/>
          <w:color w:val="333333"/>
          <w:sz w:val="20"/>
        </w:rPr>
        <w:t>A common measure in time-to-event analyses (survival, progression). HR &lt; 1.0 means the treatment reduces the risk of the event. Example: HR = 0.75 means a 25% reduction in risk.</w:t>
      </w:r>
    </w:p>
    <w:p>
      <w:pPr>
        <w:pStyle w:val="Heading2"/>
        <w:spacing w:before="280" w:after="120"/>
      </w:pPr>
      <w:r>
        <w:rPr>
          <w:rFonts w:ascii="Calibri" w:hAnsi="Calibri"/>
          <w:b/>
          <w:color w:val="1AAFCC"/>
          <w:sz w:val="26"/>
        </w:rPr>
        <w:t>Confidence Interval (CI)</w:t>
      </w:r>
    </w:p>
    <w:p>
      <w:pPr>
        <w:spacing w:before="0" w:after="120"/>
      </w:pPr>
      <w:r>
        <w:rPr>
          <w:rFonts w:ascii="Calibri" w:hAnsi="Calibri"/>
          <w:color w:val="333333"/>
          <w:sz w:val="20"/>
        </w:rPr>
        <w:t>The range within which the true effect likely falls. A 95% CI means we are 95% confident the true value lies within this range. If the CI for a hazard ratio does not cross 1.0, the result is statistically significant.</w:t>
      </w:r>
    </w:p>
    <w:p>
      <w:pPr>
        <w:pStyle w:val="Heading2"/>
        <w:spacing w:before="280" w:after="120"/>
      </w:pPr>
      <w:r>
        <w:rPr>
          <w:rFonts w:ascii="Calibri" w:hAnsi="Calibri"/>
          <w:b/>
          <w:color w:val="1AAFCC"/>
          <w:sz w:val="26"/>
        </w:rPr>
        <w:t>Multiplicity</w:t>
      </w:r>
    </w:p>
    <w:p>
      <w:pPr>
        <w:spacing w:before="0" w:after="120"/>
      </w:pPr>
      <w:r>
        <w:rPr>
          <w:rFonts w:ascii="Calibri" w:hAnsi="Calibri"/>
          <w:color w:val="333333"/>
          <w:sz w:val="20"/>
        </w:rPr>
        <w:t>When a trial tests multiple hypotheses (multiple endpoints, subgroups, interim analyses), the chance of a false positive increases. Multiplicity adjustment methods (Hochberg, Holm, hierarchical testing, alpha spending) control the overall type I error rate.</w:t>
      </w:r>
    </w:p>
    <w:p>
      <w:pPr>
        <w:pStyle w:val="Heading2"/>
        <w:spacing w:before="280" w:after="120"/>
      </w:pPr>
      <w:r>
        <w:rPr>
          <w:rFonts w:ascii="Calibri" w:hAnsi="Calibri"/>
          <w:b/>
          <w:color w:val="1AAFCC"/>
          <w:sz w:val="26"/>
        </w:rPr>
        <w:t>Estimands (ICH E9(R1))</w:t>
      </w:r>
    </w:p>
    <w:p>
      <w:pPr>
        <w:spacing w:before="0" w:after="120"/>
      </w:pPr>
      <w:r>
        <w:rPr>
          <w:rFonts w:ascii="Calibri" w:hAnsi="Calibri"/>
          <w:color w:val="333333"/>
          <w:sz w:val="20"/>
        </w:rPr>
        <w:t>A modern framework for defining precisely what treatment effect is being estimated, considering intercurrent events (e.g., treatment discontinuation, rescue medication). The estimand framework has five components: population, variable, intercurrent events handling strategy, and population-level summary.</w:t>
      </w:r>
    </w:p>
    <w:p>
      <w:pPr>
        <w:spacing w:before="80" w:after="80"/>
        <w:pBdr>
          <w:bottom w:val="single" w:sz="6" w:color="1AAFCC"/>
        </w:pBdr>
      </w:pPr>
    </w:p>
    <w:p>
      <w:pPr>
        <w:pStyle w:val="Heading1"/>
        <w:spacing w:before="400" w:after="160"/>
      </w:pPr>
      <w:r>
        <w:rPr>
          <w:rFonts w:ascii="Calibri" w:hAnsi="Calibri"/>
          <w:b/>
          <w:color w:val="1B2333"/>
          <w:sz w:val="32"/>
        </w:rPr>
        <w:t>7. Regulatory Landscape</w:t>
      </w:r>
    </w:p>
    <w:p>
      <w:pPr>
        <w:pStyle w:val="Heading2"/>
        <w:spacing w:before="280" w:after="120"/>
      </w:pPr>
      <w:r>
        <w:rPr>
          <w:rFonts w:ascii="Calibri" w:hAnsi="Calibri"/>
          <w:b/>
          <w:color w:val="1AAFCC"/>
          <w:sz w:val="26"/>
        </w:rPr>
        <w:t>The Approval Process</w:t>
      </w:r>
    </w:p>
    <w:p>
      <w:pPr>
        <w:spacing w:before="0" w:after="0" w:line="240" w:lineRule="auto"/>
        <w:ind w:left="288"/>
        <w:shd w:val="clear" w:fill="F0F0F0"/>
      </w:pPr>
      <w:r>
        <w:rPr>
          <w:rFonts w:ascii="Courier New" w:hAnsi="Courier New"/>
          <w:color w:val="444444"/>
          <w:sz w:val="18"/>
        </w:rPr>
        <w:t>Drug Discovery -&gt; IND Application -&gt; Clinical Trials -&gt; NDA/BLA Filing -&gt; FDA Review -&gt; Approval</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30-day review                          10-12 months (standard)</w:t>
      </w:r>
    </w:p>
    <w:p>
      <w:pPr>
        <w:spacing w:before="0" w:after="0" w:line="240" w:lineRule="auto"/>
        <w:ind w:left="288"/>
        <w:shd w:val="clear" w:fill="F0F0F0"/>
      </w:pPr>
      <w:r>
        <w:rPr>
          <w:rFonts w:ascii="Courier New" w:hAnsi="Courier New"/>
          <w:color w:val="444444"/>
          <w:sz w:val="18"/>
        </w:rPr>
        <w:t xml:space="preserve">                  (FDA can place                         6-8 months (priority)</w:t>
      </w:r>
    </w:p>
    <w:p>
      <w:pPr>
        <w:spacing w:before="0" w:after="0" w:line="240" w:lineRule="auto"/>
        <w:ind w:left="288"/>
        <w:shd w:val="clear" w:fill="F0F0F0"/>
      </w:pPr>
      <w:r>
        <w:rPr>
          <w:rFonts w:ascii="Courier New" w:hAnsi="Courier New"/>
          <w:color w:val="444444"/>
          <w:sz w:val="18"/>
        </w:rPr>
        <w:t xml:space="preserve">                   clinical hold)</w:t>
      </w:r>
    </w:p>
    <w:p>
      <w:pPr>
        <w:pStyle w:val="Heading2"/>
        <w:spacing w:before="280" w:after="120"/>
      </w:pPr>
      <w:r>
        <w:rPr>
          <w:rFonts w:ascii="Calibri" w:hAnsi="Calibri"/>
          <w:b/>
          <w:color w:val="1AAFCC"/>
          <w:sz w:val="26"/>
        </w:rPr>
        <w:t>Key Regulatory Pathways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Pathway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Benefit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Standard Review</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Most drugs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10-12 month review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Priority Review</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Significant improvement over existing treatments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6-8 month review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Fast Track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Serious condition + unmet need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Rolling review (submit sections as completed)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Breakthrough Therapy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Substantial improvement over existing treatments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Intensive FDA guidance + rolling review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Accelerated Approval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Serious condition based on surrogate endpoint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Faster approval; confirmatory trial required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RTOR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Oncology drugs with strong early data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Real-time review of pre-submission data</w:t>
            </w:r>
          </w:p>
        </w:tc>
      </w:tr>
    </w:tbl>
    <w:p>
      <w:pPr>
        <w:spacing w:before="40" w:after="80"/>
      </w:pPr>
    </w:p>
    <w:p>
      <w:pPr>
        <w:pStyle w:val="Heading2"/>
        <w:spacing w:before="280" w:after="120"/>
      </w:pPr>
      <w:r>
        <w:rPr>
          <w:rFonts w:ascii="Calibri" w:hAnsi="Calibri"/>
          <w:b/>
          <w:color w:val="1AAFCC"/>
          <w:sz w:val="26"/>
        </w:rPr>
        <w:t>ICH Guidelines</w:t>
      </w:r>
    </w:p>
    <w:p>
      <w:pPr>
        <w:spacing w:before="0" w:after="120"/>
      </w:pPr>
      <w:r>
        <w:rPr>
          <w:rFonts w:ascii="Calibri" w:hAnsi="Calibri"/>
          <w:color w:val="333333"/>
          <w:sz w:val="20"/>
        </w:rPr>
        <w:t>The International Council for Harmonisation (ICH) develops guidelines accepted by FDA, EMA, PMDA, and other agencies: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Guideline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Topic</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ICH E6(R2/R3)</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Good Clinical Practice (GCP)</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ICH E8(R1)</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General Considerations for Clinical Studies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ICH E9(R1)</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Statistical Principles (Estimands)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ICH E1</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Safety Database Size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ICH E4</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Dose Response Information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ICH M3(R2)</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Nonclinical Safety Studies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8. Adaptive Trial Designs</w:t>
      </w:r>
    </w:p>
    <w:p>
      <w:pPr>
        <w:spacing w:before="0" w:after="120"/>
      </w:pPr>
      <w:r>
        <w:rPr>
          <w:rFonts w:ascii="Calibri" w:hAnsi="Calibri"/>
          <w:color w:val="333333"/>
          <w:sz w:val="20"/>
        </w:rPr>
        <w:t>Traditional trial designs fix all parameters (sample size, endpoints, randomization ratio) before the trial starts. Adaptive designs allow pre-planned modifications based on accumulating data, while controlling the overall type I error.</w:t>
      </w:r>
    </w:p>
    <w:p>
      <w:pPr>
        <w:pStyle w:val="Heading2"/>
        <w:spacing w:before="280" w:after="120"/>
      </w:pPr>
      <w:r>
        <w:rPr>
          <w:rFonts w:ascii="Calibri" w:hAnsi="Calibri"/>
          <w:b/>
          <w:color w:val="1AAFCC"/>
          <w:sz w:val="26"/>
        </w:rPr>
        <w:t>Why Adaptive Designs?</w:t>
      </w:r>
    </w:p>
    <w:p>
      <w:pPr>
        <w:spacing w:before="40" w:after="40"/>
        <w:ind w:left="504" w:hanging="216"/>
      </w:pPr>
      <w:r>
        <w:rPr>
          <w:rFonts w:ascii="Calibri" w:hAnsi="Calibri"/>
          <w:color w:val="1AAFCC"/>
          <w:sz w:val="20"/>
        </w:rPr>
        <w:t xml:space="preserve">•  </w:t>
      </w:r>
      <w:r>
        <w:rPr>
          <w:rFonts w:ascii="Calibri" w:hAnsi="Calibri"/>
          <w:color w:val="333333"/>
          <w:sz w:val="20"/>
        </w:rPr>
        <w:t>Reduce sample size under favorable scenarios</w:t>
      </w:r>
    </w:p>
    <w:p>
      <w:pPr>
        <w:spacing w:before="40" w:after="40"/>
        <w:ind w:left="504" w:hanging="216"/>
      </w:pPr>
      <w:r>
        <w:rPr>
          <w:rFonts w:ascii="Calibri" w:hAnsi="Calibri"/>
          <w:color w:val="1AAFCC"/>
          <w:sz w:val="20"/>
        </w:rPr>
        <w:t xml:space="preserve">•  </w:t>
      </w:r>
      <w:r>
        <w:rPr>
          <w:rFonts w:ascii="Calibri" w:hAnsi="Calibri"/>
          <w:color w:val="333333"/>
          <w:sz w:val="20"/>
        </w:rPr>
        <w:t>Stop early for efficacy (ethical) or futility (practical)</w:t>
      </w:r>
    </w:p>
    <w:p>
      <w:pPr>
        <w:spacing w:before="40" w:after="40"/>
        <w:ind w:left="504" w:hanging="216"/>
      </w:pPr>
      <w:r>
        <w:rPr>
          <w:rFonts w:ascii="Calibri" w:hAnsi="Calibri"/>
          <w:color w:val="1AAFCC"/>
          <w:sz w:val="20"/>
        </w:rPr>
        <w:t xml:space="preserve">•  </w:t>
      </w:r>
      <w:r>
        <w:rPr>
          <w:rFonts w:ascii="Calibri" w:hAnsi="Calibri"/>
          <w:color w:val="333333"/>
          <w:sz w:val="20"/>
        </w:rPr>
        <w:t>Adjust dose allocations based on emerging data</w:t>
      </w:r>
    </w:p>
    <w:p>
      <w:pPr>
        <w:spacing w:before="40" w:after="40"/>
        <w:ind w:left="504" w:hanging="216"/>
      </w:pPr>
      <w:r>
        <w:rPr>
          <w:rFonts w:ascii="Calibri" w:hAnsi="Calibri"/>
          <w:color w:val="1AAFCC"/>
          <w:sz w:val="20"/>
        </w:rPr>
        <w:t xml:space="preserve">•  </w:t>
      </w:r>
      <w:r>
        <w:rPr>
          <w:rFonts w:ascii="Calibri" w:hAnsi="Calibri"/>
          <w:color w:val="333333"/>
          <w:sz w:val="20"/>
        </w:rPr>
        <w:t>Enrich the patient population for responders</w:t>
      </w:r>
    </w:p>
    <w:p>
      <w:pPr>
        <w:spacing w:before="40" w:after="40"/>
        <w:ind w:left="504" w:hanging="216"/>
      </w:pPr>
      <w:r>
        <w:rPr>
          <w:rFonts w:ascii="Calibri" w:hAnsi="Calibri"/>
          <w:color w:val="1AAFCC"/>
          <w:sz w:val="20"/>
        </w:rPr>
        <w:t xml:space="preserve">•  </w:t>
      </w:r>
      <w:r>
        <w:rPr>
          <w:rFonts w:ascii="Calibri" w:hAnsi="Calibri"/>
          <w:color w:val="333333"/>
          <w:sz w:val="20"/>
        </w:rPr>
        <w:t>Combine Phase 2 and Phase 3 into a single trial</w:t>
      </w:r>
    </w:p>
    <w:p>
      <w:pPr>
        <w:pStyle w:val="Heading2"/>
        <w:spacing w:before="280" w:after="120"/>
      </w:pPr>
      <w:r>
        <w:rPr>
          <w:rFonts w:ascii="Calibri" w:hAnsi="Calibri"/>
          <w:b/>
          <w:color w:val="1AAFCC"/>
          <w:sz w:val="26"/>
        </w:rPr>
        <w:t>Common Adaptive Designs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Design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Adaptation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Example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Group Sequential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Early stopping for efficacy/futility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DAPA-HF (stopped early for HF benefit)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Sample Size Re-estimation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Adjust sample size at interim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FOCUS trial (stroke)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Response Adaptive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Change randomization ratios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I-SPY 2 (breast cancer)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 Adaptive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Enrich for biomarker-positive patients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KEYNOTE-024 (PD-L1 enrichment)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Platform Trial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Add/drop treatment arms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RECOVERY (COVID-19)</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Seamless Phase 2/3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Combine learning and confirmatory phases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DETERMINE (breast cancer)</w:t>
            </w:r>
          </w:p>
        </w:tc>
      </w:tr>
    </w:tbl>
    <w:p>
      <w:pPr>
        <w:spacing w:before="40" w:after="80"/>
      </w:pPr>
    </w:p>
    <w:p>
      <w:pPr>
        <w:pStyle w:val="Heading2"/>
        <w:spacing w:before="280" w:after="120"/>
      </w:pPr>
      <w:r>
        <w:rPr>
          <w:rFonts w:ascii="Calibri" w:hAnsi="Calibri"/>
          <w:b/>
          <w:color w:val="1AAFCC"/>
          <w:sz w:val="26"/>
        </w:rPr>
        <w:t>Regulatory Acceptance</w:t>
      </w:r>
    </w:p>
    <w:p>
      <w:pPr>
        <w:spacing w:before="0" w:after="120"/>
      </w:pPr>
      <w:r>
        <w:rPr>
          <w:rFonts w:ascii="Calibri" w:hAnsi="Calibri"/>
          <w:color w:val="333333"/>
          <w:sz w:val="20"/>
        </w:rPr>
        <w:t>FDA published formal guidance on adaptive designs in 2019, providing a clear framework for sponsors. The key requirement is that all adaptations must be pre-specified in the protocol and statistical analysis plan.</w:t>
      </w:r>
    </w:p>
    <w:p>
      <w:pPr>
        <w:spacing w:before="80" w:after="80"/>
        <w:pBdr>
          <w:bottom w:val="single" w:sz="6" w:color="1AAFCC"/>
        </w:pBdr>
      </w:pPr>
    </w:p>
    <w:p>
      <w:pPr>
        <w:pStyle w:val="Heading1"/>
        <w:spacing w:before="400" w:after="160"/>
      </w:pPr>
      <w:r>
        <w:rPr>
          <w:rFonts w:ascii="Calibri" w:hAnsi="Calibri"/>
          <w:b/>
          <w:color w:val="1B2333"/>
          <w:sz w:val="32"/>
        </w:rPr>
        <w:t>9. Biomarker Strategies</w:t>
      </w:r>
    </w:p>
    <w:p>
      <w:pPr>
        <w:spacing w:before="0" w:after="120"/>
      </w:pPr>
      <w:r>
        <w:rPr>
          <w:rFonts w:ascii="Calibri" w:hAnsi="Calibri"/>
          <w:color w:val="333333"/>
          <w:sz w:val="20"/>
        </w:rPr>
        <w:t>A biomarker is a measurable indicator of a biological state or condition. In clinical trials, biomarkers serve multiple strategic roles:</w:t>
      </w:r>
    </w:p>
    <w:p>
      <w:pPr>
        <w:pStyle w:val="Heading2"/>
        <w:spacing w:before="280" w:after="120"/>
      </w:pPr>
      <w:r>
        <w:rPr>
          <w:rFonts w:ascii="Calibri" w:hAnsi="Calibri"/>
          <w:b/>
          <w:color w:val="1AAFCC"/>
          <w:sz w:val="26"/>
        </w:rPr>
        <w:t>Biomarker Roles in Trials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Strategy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Example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**Enrichment**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Restrict enrollment to biomarker-positive patients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HER2+ for trastuzumab</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**Stratification**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Balance randomization by biomarker status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PD-L1 levels in IO trials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**Predictive**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Identify patients likely to respond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EGFR mutations for osimertinib</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**Prognostic**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 disease outcome regardless of treatment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Oncotype DX in breast cancer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**Pharmacodynamic**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Measure drug effect on target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Receptor occupancy by PET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**Surrogate**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Substitute for clinical endpoint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HbA1c for diabetic complications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**Companion Diagnostic**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Required test for drug use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FoundationOne CDx for targeted therapies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**Liquid Biopsy**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Non-invasive blood-based genotyping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Guardant360 CDx for EGFR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**Digital**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Wearable/sensor-derived metrics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Actigraphy for sleep/activity</w:t>
            </w:r>
          </w:p>
        </w:tc>
      </w:tr>
    </w:tbl>
    <w:p>
      <w:pPr>
        <w:spacing w:before="40" w:after="80"/>
      </w:pPr>
    </w:p>
    <w:p>
      <w:pPr>
        <w:pStyle w:val="Heading2"/>
        <w:spacing w:before="280" w:after="120"/>
      </w:pPr>
      <w:r>
        <w:rPr>
          <w:rFonts w:ascii="Calibri" w:hAnsi="Calibri"/>
          <w:b/>
          <w:color w:val="1AAFCC"/>
          <w:sz w:val="26"/>
        </w:rPr>
        <w:t>Companion Diagnostics</w:t>
      </w:r>
    </w:p>
    <w:p>
      <w:pPr>
        <w:spacing w:before="0" w:after="120"/>
      </w:pPr>
      <w:r>
        <w:rPr>
          <w:rFonts w:ascii="Calibri" w:hAnsi="Calibri"/>
          <w:color w:val="333333"/>
          <w:sz w:val="20"/>
        </w:rPr>
        <w:t>When a drug works only in patients with a specific biomarker, the FDA requires co-development of a companion diagnostic (CDx). The drug and CDx receive simultaneous approval. Example: pembrolizumab + PD-L1 22C3 assay.</w:t>
      </w:r>
    </w:p>
    <w:p>
      <w:pPr>
        <w:spacing w:before="80" w:after="80"/>
        <w:pBdr>
          <w:bottom w:val="single" w:sz="6" w:color="1AAFCC"/>
        </w:pBdr>
      </w:pPr>
    </w:p>
    <w:p>
      <w:pPr>
        <w:pStyle w:val="Heading1"/>
        <w:spacing w:before="400" w:after="160"/>
      </w:pPr>
      <w:r>
        <w:rPr>
          <w:rFonts w:ascii="Calibri" w:hAnsi="Calibri"/>
          <w:b/>
          <w:color w:val="1B2333"/>
          <w:sz w:val="32"/>
        </w:rPr>
        <w:t>10. Patient Eligibility</w:t>
      </w:r>
    </w:p>
    <w:p>
      <w:pPr>
        <w:pStyle w:val="Heading2"/>
        <w:spacing w:before="280" w:after="120"/>
      </w:pPr>
      <w:r>
        <w:rPr>
          <w:rFonts w:ascii="Calibri" w:hAnsi="Calibri"/>
          <w:b/>
          <w:color w:val="1AAFCC"/>
          <w:sz w:val="26"/>
        </w:rPr>
        <w:t>Inclusion Criteria</w:t>
      </w:r>
    </w:p>
    <w:p>
      <w:pPr>
        <w:spacing w:before="0" w:after="120"/>
      </w:pPr>
      <w:r>
        <w:rPr>
          <w:rFonts w:ascii="Calibri" w:hAnsi="Calibri"/>
          <w:color w:val="333333"/>
          <w:sz w:val="20"/>
        </w:rPr>
        <w:t>Requirements that patients MUST meet to participate. Examples:</w:t>
      </w:r>
    </w:p>
    <w:p>
      <w:pPr>
        <w:spacing w:before="40" w:after="40"/>
        <w:ind w:left="504" w:hanging="216"/>
      </w:pPr>
      <w:r>
        <w:rPr>
          <w:rFonts w:ascii="Calibri" w:hAnsi="Calibri"/>
          <w:color w:val="1AAFCC"/>
          <w:sz w:val="20"/>
        </w:rPr>
        <w:t xml:space="preserve">•  </w:t>
      </w:r>
      <w:r>
        <w:rPr>
          <w:rFonts w:ascii="Calibri" w:hAnsi="Calibri"/>
          <w:color w:val="333333"/>
          <w:sz w:val="20"/>
        </w:rPr>
        <w:t>Diagnosis of the target disease (confirmed by specific tests)</w:t>
      </w:r>
    </w:p>
    <w:p>
      <w:pPr>
        <w:spacing w:before="40" w:after="40"/>
        <w:ind w:left="504" w:hanging="216"/>
      </w:pPr>
      <w:r>
        <w:rPr>
          <w:rFonts w:ascii="Calibri" w:hAnsi="Calibri"/>
          <w:color w:val="1AAFCC"/>
          <w:sz w:val="20"/>
        </w:rPr>
        <w:t xml:space="preserve">•  </w:t>
      </w:r>
      <w:r>
        <w:rPr>
          <w:rFonts w:ascii="Calibri" w:hAnsi="Calibri"/>
          <w:color w:val="333333"/>
          <w:sz w:val="20"/>
        </w:rPr>
        <w:t>Age range (e.g., &gt;= 18 years)</w:t>
      </w:r>
    </w:p>
    <w:p>
      <w:pPr>
        <w:spacing w:before="40" w:after="40"/>
        <w:ind w:left="504" w:hanging="216"/>
      </w:pPr>
      <w:r>
        <w:rPr>
          <w:rFonts w:ascii="Calibri" w:hAnsi="Calibri"/>
          <w:color w:val="1AAFCC"/>
          <w:sz w:val="20"/>
        </w:rPr>
        <w:t xml:space="preserve">•  </w:t>
      </w:r>
      <w:r>
        <w:rPr>
          <w:rFonts w:ascii="Calibri" w:hAnsi="Calibri"/>
          <w:color w:val="333333"/>
          <w:sz w:val="20"/>
        </w:rPr>
        <w:t>Adequate organ function (liver, kidney, bone marrow)</w:t>
      </w:r>
    </w:p>
    <w:p>
      <w:pPr>
        <w:spacing w:before="40" w:after="40"/>
        <w:ind w:left="504" w:hanging="216"/>
      </w:pPr>
      <w:r>
        <w:rPr>
          <w:rFonts w:ascii="Calibri" w:hAnsi="Calibri"/>
          <w:color w:val="1AAFCC"/>
          <w:sz w:val="20"/>
        </w:rPr>
        <w:t xml:space="preserve">•  </w:t>
      </w:r>
      <w:r>
        <w:rPr>
          <w:rFonts w:ascii="Calibri" w:hAnsi="Calibri"/>
          <w:color w:val="333333"/>
          <w:sz w:val="20"/>
        </w:rPr>
        <w:t>Performance status (e.g., ECOG 0-1, meaning relatively functional)</w:t>
      </w:r>
    </w:p>
    <w:p>
      <w:pPr>
        <w:pStyle w:val="Heading2"/>
        <w:spacing w:before="280" w:after="120"/>
      </w:pPr>
      <w:r>
        <w:rPr>
          <w:rFonts w:ascii="Calibri" w:hAnsi="Calibri"/>
          <w:b/>
          <w:color w:val="1AAFCC"/>
          <w:sz w:val="26"/>
        </w:rPr>
        <w:t>Exclusion Criteria</w:t>
      </w:r>
    </w:p>
    <w:p>
      <w:pPr>
        <w:spacing w:before="0" w:after="120"/>
      </w:pPr>
      <w:r>
        <w:rPr>
          <w:rFonts w:ascii="Calibri" w:hAnsi="Calibri"/>
          <w:color w:val="333333"/>
          <w:sz w:val="20"/>
        </w:rPr>
        <w:t>Conditions that DISQUALIFY patients from participating. Examples:</w:t>
      </w:r>
    </w:p>
    <w:p>
      <w:pPr>
        <w:spacing w:before="40" w:after="40"/>
        <w:ind w:left="504" w:hanging="216"/>
      </w:pPr>
      <w:r>
        <w:rPr>
          <w:rFonts w:ascii="Calibri" w:hAnsi="Calibri"/>
          <w:color w:val="1AAFCC"/>
          <w:sz w:val="20"/>
        </w:rPr>
        <w:t xml:space="preserve">•  </w:t>
      </w:r>
      <w:r>
        <w:rPr>
          <w:rFonts w:ascii="Calibri" w:hAnsi="Calibri"/>
          <w:color w:val="333333"/>
          <w:sz w:val="20"/>
        </w:rPr>
        <w:t>Prior treatment with similar drugs</w:t>
      </w:r>
    </w:p>
    <w:p>
      <w:pPr>
        <w:spacing w:before="40" w:after="40"/>
        <w:ind w:left="504" w:hanging="216"/>
      </w:pPr>
      <w:r>
        <w:rPr>
          <w:rFonts w:ascii="Calibri" w:hAnsi="Calibri"/>
          <w:color w:val="1AAFCC"/>
          <w:sz w:val="20"/>
        </w:rPr>
        <w:t xml:space="preserve">•  </w:t>
      </w:r>
      <w:r>
        <w:rPr>
          <w:rFonts w:ascii="Calibri" w:hAnsi="Calibri"/>
          <w:color w:val="333333"/>
          <w:sz w:val="20"/>
        </w:rPr>
        <w:t>Active brain metastases</w:t>
      </w:r>
    </w:p>
    <w:p>
      <w:pPr>
        <w:spacing w:before="40" w:after="40"/>
        <w:ind w:left="504" w:hanging="216"/>
      </w:pPr>
      <w:r>
        <w:rPr>
          <w:rFonts w:ascii="Calibri" w:hAnsi="Calibri"/>
          <w:color w:val="1AAFCC"/>
          <w:sz w:val="20"/>
        </w:rPr>
        <w:t xml:space="preserve">•  </w:t>
      </w:r>
      <w:r>
        <w:rPr>
          <w:rFonts w:ascii="Calibri" w:hAnsi="Calibri"/>
          <w:color w:val="333333"/>
          <w:sz w:val="20"/>
        </w:rPr>
        <w:t>Uncontrolled comorbidities (cardiac, hepatic, autoimmune)</w:t>
      </w:r>
    </w:p>
    <w:p>
      <w:pPr>
        <w:spacing w:before="40" w:after="40"/>
        <w:ind w:left="504" w:hanging="216"/>
      </w:pPr>
      <w:r>
        <w:rPr>
          <w:rFonts w:ascii="Calibri" w:hAnsi="Calibri"/>
          <w:color w:val="1AAFCC"/>
          <w:sz w:val="20"/>
        </w:rPr>
        <w:t xml:space="preserve">•  </w:t>
      </w:r>
      <w:r>
        <w:rPr>
          <w:rFonts w:ascii="Calibri" w:hAnsi="Calibri"/>
          <w:color w:val="333333"/>
          <w:sz w:val="20"/>
        </w:rPr>
        <w:t>Pregnancy or lactation</w:t>
      </w:r>
    </w:p>
    <w:p>
      <w:pPr>
        <w:spacing w:before="40" w:after="40"/>
        <w:ind w:left="504" w:hanging="216"/>
      </w:pPr>
      <w:r>
        <w:rPr>
          <w:rFonts w:ascii="Calibri" w:hAnsi="Calibri"/>
          <w:color w:val="1AAFCC"/>
          <w:sz w:val="20"/>
        </w:rPr>
        <w:t xml:space="preserve">•  </w:t>
      </w:r>
      <w:r>
        <w:rPr>
          <w:rFonts w:ascii="Calibri" w:hAnsi="Calibri"/>
          <w:color w:val="333333"/>
          <w:sz w:val="20"/>
        </w:rPr>
        <w:t>Concurrent participation in another trial</w:t>
      </w:r>
    </w:p>
    <w:p>
      <w:pPr>
        <w:pStyle w:val="Heading2"/>
        <w:spacing w:before="280" w:after="120"/>
      </w:pPr>
      <w:r>
        <w:rPr>
          <w:rFonts w:ascii="Calibri" w:hAnsi="Calibri"/>
          <w:b/>
          <w:color w:val="1AAFCC"/>
          <w:sz w:val="26"/>
        </w:rPr>
        <w:t>The Enrollment Challenge</w:t>
      </w:r>
    </w:p>
    <w:p>
      <w:pPr>
        <w:spacing w:before="0" w:after="120"/>
      </w:pPr>
      <w:r>
        <w:rPr>
          <w:rFonts w:ascii="Calibri" w:hAnsi="Calibri"/>
          <w:color w:val="333333"/>
          <w:sz w:val="20"/>
        </w:rPr>
        <w:t>Overly restrictive eligibility criteria are a major cause of enrollment delays:</w:t>
      </w:r>
    </w:p>
    <w:p>
      <w:pPr>
        <w:spacing w:before="40" w:after="40"/>
        <w:ind w:left="504" w:hanging="216"/>
      </w:pPr>
      <w:r>
        <w:rPr>
          <w:rFonts w:ascii="Calibri" w:hAnsi="Calibri"/>
          <w:color w:val="1AAFCC"/>
          <w:sz w:val="20"/>
        </w:rPr>
        <w:t xml:space="preserve">•  </w:t>
      </w:r>
      <w:r>
        <w:rPr>
          <w:rFonts w:ascii="Calibri" w:hAnsi="Calibri"/>
          <w:color w:val="333333"/>
          <w:sz w:val="20"/>
        </w:rPr>
        <w:t>80% of trials fail to meet enrollment timelines</w:t>
      </w:r>
    </w:p>
    <w:p>
      <w:pPr>
        <w:spacing w:before="40" w:after="40"/>
        <w:ind w:left="504" w:hanging="216"/>
      </w:pPr>
      <w:r>
        <w:rPr>
          <w:rFonts w:ascii="Calibri" w:hAnsi="Calibri"/>
          <w:color w:val="1AAFCC"/>
          <w:sz w:val="20"/>
        </w:rPr>
        <w:t xml:space="preserve">•  </w:t>
      </w:r>
      <w:r>
        <w:rPr>
          <w:rFonts w:ascii="Calibri" w:hAnsi="Calibri"/>
          <w:color w:val="333333"/>
          <w:sz w:val="20"/>
        </w:rPr>
        <w:t>30% of sites never enroll a single patient</w:t>
      </w:r>
    </w:p>
    <w:p>
      <w:pPr>
        <w:spacing w:before="40" w:after="40"/>
        <w:ind w:left="504" w:hanging="216"/>
      </w:pPr>
      <w:r>
        <w:rPr>
          <w:rFonts w:ascii="Calibri" w:hAnsi="Calibri"/>
          <w:color w:val="1AAFCC"/>
          <w:sz w:val="20"/>
        </w:rPr>
        <w:t xml:space="preserve">•  </w:t>
      </w:r>
      <w:r>
        <w:rPr>
          <w:rFonts w:ascii="Calibri" w:hAnsi="Calibri"/>
          <w:color w:val="333333"/>
          <w:sz w:val="20"/>
        </w:rPr>
        <w:t>Screen failure rates of 20-40% waste resources</w:t>
      </w:r>
    </w:p>
    <w:p>
      <w:pPr>
        <w:spacing w:before="40" w:after="40"/>
        <w:ind w:left="504" w:hanging="216"/>
      </w:pPr>
      <w:r>
        <w:rPr>
          <w:rFonts w:ascii="Calibri" w:hAnsi="Calibri"/>
          <w:color w:val="1AAFCC"/>
          <w:sz w:val="20"/>
        </w:rPr>
        <w:t xml:space="preserve">•  </w:t>
      </w:r>
      <w:r>
        <w:rPr>
          <w:rFonts w:ascii="Calibri" w:hAnsi="Calibri"/>
          <w:color w:val="333333"/>
          <w:sz w:val="20"/>
        </w:rPr>
        <w:t>Criteria that exclude 40%+ of the target population (e.g., ECOG 0 only) should have strong scientific justification</w:t>
      </w:r>
    </w:p>
    <w:p>
      <w:pPr>
        <w:spacing w:before="0" w:after="120"/>
      </w:pPr>
      <w:r>
        <w:rPr>
          <w:rFonts w:ascii="Calibri" w:hAnsi="Calibri"/>
          <w:color w:val="333333"/>
          <w:sz w:val="20"/>
        </w:rPr>
        <w:t>The Clinical Trial Intelligence Agent analyzes criteria against 29 population impact patterns and recommends broadening criteria with high impact and weak justification.</w:t>
      </w:r>
    </w:p>
    <w:p>
      <w:pPr>
        <w:spacing w:before="80" w:after="80"/>
        <w:pBdr>
          <w:bottom w:val="single" w:sz="6" w:color="1AAFCC"/>
        </w:pBdr>
      </w:pPr>
    </w:p>
    <w:p>
      <w:pPr>
        <w:pStyle w:val="Heading1"/>
        <w:spacing w:before="400" w:after="160"/>
      </w:pPr>
      <w:r>
        <w:rPr>
          <w:rFonts w:ascii="Calibri" w:hAnsi="Calibri"/>
          <w:b/>
          <w:color w:val="1B2333"/>
          <w:sz w:val="32"/>
        </w:rPr>
        <w:t>11. Safety Monitoring</w:t>
      </w:r>
    </w:p>
    <w:p>
      <w:pPr>
        <w:pStyle w:val="Heading2"/>
        <w:spacing w:before="280" w:after="120"/>
      </w:pPr>
      <w:r>
        <w:rPr>
          <w:rFonts w:ascii="Calibri" w:hAnsi="Calibri"/>
          <w:b/>
          <w:color w:val="1AAFCC"/>
          <w:sz w:val="26"/>
        </w:rPr>
        <w:t>Adverse Events (AEs)</w:t>
      </w:r>
    </w:p>
    <w:p>
      <w:pPr>
        <w:spacing w:before="0" w:after="120"/>
      </w:pPr>
      <w:r>
        <w:rPr>
          <w:rFonts w:ascii="Calibri" w:hAnsi="Calibri"/>
          <w:color w:val="333333"/>
          <w:sz w:val="20"/>
        </w:rPr>
        <w:t>Any unfavorable medical occurrence in a trial participant, whether or not related to the treatment. Classified by:</w:t>
      </w:r>
    </w:p>
    <w:p>
      <w:pPr>
        <w:spacing w:before="40" w:after="40"/>
        <w:ind w:left="504" w:hanging="216"/>
      </w:pPr>
      <w:r>
        <w:rPr>
          <w:rFonts w:ascii="Calibri" w:hAnsi="Calibri"/>
          <w:color w:val="1AAFCC"/>
          <w:sz w:val="20"/>
        </w:rPr>
        <w:t xml:space="preserve">•  </w:t>
      </w:r>
      <w:r>
        <w:rPr>
          <w:rFonts w:ascii="Calibri" w:hAnsi="Calibri"/>
          <w:b/>
          <w:color w:val="333333"/>
          <w:sz w:val="20"/>
        </w:rPr>
        <w:t>Severity:</w:t>
      </w:r>
      <w:r>
        <w:rPr>
          <w:rFonts w:ascii="Calibri" w:hAnsi="Calibri"/>
          <w:color w:val="333333"/>
          <w:sz w:val="20"/>
        </w:rPr>
        <w:t xml:space="preserve"> Grade 1 (mild) through Grade 5 (death) using CTCAE</w:t>
      </w:r>
    </w:p>
    <w:p>
      <w:pPr>
        <w:spacing w:before="40" w:after="40"/>
        <w:ind w:left="504" w:hanging="216"/>
      </w:pPr>
      <w:r>
        <w:rPr>
          <w:rFonts w:ascii="Calibri" w:hAnsi="Calibri"/>
          <w:color w:val="1AAFCC"/>
          <w:sz w:val="20"/>
        </w:rPr>
        <w:t xml:space="preserve">•  </w:t>
      </w:r>
      <w:r>
        <w:rPr>
          <w:rFonts w:ascii="Calibri" w:hAnsi="Calibri"/>
          <w:b/>
          <w:color w:val="333333"/>
          <w:sz w:val="20"/>
        </w:rPr>
        <w:t>Seriousness:</w:t>
      </w:r>
      <w:r>
        <w:rPr>
          <w:rFonts w:ascii="Calibri" w:hAnsi="Calibri"/>
          <w:color w:val="333333"/>
          <w:sz w:val="20"/>
        </w:rPr>
        <w:t xml:space="preserve"> Serious (SAE) if it causes death, hospitalization, disability, or life-threatening situation</w:t>
      </w:r>
    </w:p>
    <w:p>
      <w:pPr>
        <w:spacing w:before="40" w:after="40"/>
        <w:ind w:left="504" w:hanging="216"/>
      </w:pPr>
      <w:r>
        <w:rPr>
          <w:rFonts w:ascii="Calibri" w:hAnsi="Calibri"/>
          <w:color w:val="1AAFCC"/>
          <w:sz w:val="20"/>
        </w:rPr>
        <w:t xml:space="preserve">•  </w:t>
      </w:r>
      <w:r>
        <w:rPr>
          <w:rFonts w:ascii="Calibri" w:hAnsi="Calibri"/>
          <w:b/>
          <w:color w:val="333333"/>
          <w:sz w:val="20"/>
        </w:rPr>
        <w:t>Causality:</w:t>
      </w:r>
      <w:r>
        <w:rPr>
          <w:rFonts w:ascii="Calibri" w:hAnsi="Calibri"/>
          <w:color w:val="333333"/>
          <w:sz w:val="20"/>
        </w:rPr>
        <w:t xml:space="preserve"> Certain, probable, possible, unlikely, or unrelated to treatment</w:t>
      </w:r>
    </w:p>
    <w:p>
      <w:pPr>
        <w:spacing w:before="40" w:after="40"/>
        <w:ind w:left="504" w:hanging="216"/>
      </w:pPr>
      <w:r>
        <w:rPr>
          <w:rFonts w:ascii="Calibri" w:hAnsi="Calibri"/>
          <w:color w:val="1AAFCC"/>
          <w:sz w:val="20"/>
        </w:rPr>
        <w:t xml:space="preserve">•  </w:t>
      </w:r>
      <w:r>
        <w:rPr>
          <w:rFonts w:ascii="Calibri" w:hAnsi="Calibri"/>
          <w:b/>
          <w:color w:val="333333"/>
          <w:sz w:val="20"/>
        </w:rPr>
        <w:t>Coding:</w:t>
      </w:r>
      <w:r>
        <w:rPr>
          <w:rFonts w:ascii="Calibri" w:hAnsi="Calibri"/>
          <w:color w:val="333333"/>
          <w:sz w:val="20"/>
        </w:rPr>
        <w:t xml:space="preserve"> MedDRA system (System Organ Class -&gt; Preferred Term)</w:t>
      </w:r>
    </w:p>
    <w:p>
      <w:pPr>
        <w:pStyle w:val="Heading2"/>
        <w:spacing w:before="280" w:after="120"/>
      </w:pPr>
      <w:r>
        <w:rPr>
          <w:rFonts w:ascii="Calibri" w:hAnsi="Calibri"/>
          <w:b/>
          <w:color w:val="1AAFCC"/>
          <w:sz w:val="26"/>
        </w:rPr>
        <w:t>Safety Signal Detection</w:t>
      </w:r>
    </w:p>
    <w:p>
      <w:pPr>
        <w:spacing w:before="0" w:after="120"/>
      </w:pPr>
      <w:r>
        <w:rPr>
          <w:rFonts w:ascii="Calibri" w:hAnsi="Calibri"/>
          <w:color w:val="333333"/>
          <w:sz w:val="20"/>
        </w:rPr>
        <w:t>Statistical methods to detect potential safety concerns:</w:t>
      </w:r>
    </w:p>
    <w:p>
      <w:pPr>
        <w:spacing w:before="40" w:after="40"/>
        <w:ind w:left="504" w:hanging="216"/>
      </w:pPr>
      <w:r>
        <w:rPr>
          <w:rFonts w:ascii="Calibri" w:hAnsi="Calibri"/>
          <w:color w:val="1AAFCC"/>
          <w:sz w:val="20"/>
        </w:rPr>
        <w:t xml:space="preserve">•  </w:t>
      </w:r>
      <w:r>
        <w:rPr>
          <w:rFonts w:ascii="Calibri" w:hAnsi="Calibri"/>
          <w:b/>
          <w:color w:val="333333"/>
          <w:sz w:val="20"/>
        </w:rPr>
        <w:t>PRR (Proportional Reporting Ratio):</w:t>
      </w:r>
      <w:r>
        <w:rPr>
          <w:rFonts w:ascii="Calibri" w:hAnsi="Calibri"/>
          <w:color w:val="333333"/>
          <w:sz w:val="20"/>
        </w:rPr>
        <w:t xml:space="preserve"> Compares the proportion of a specific AE for the drug vs. all other drugs</w:t>
      </w:r>
    </w:p>
    <w:p>
      <w:pPr>
        <w:spacing w:before="40" w:after="40"/>
        <w:ind w:left="504" w:hanging="216"/>
      </w:pPr>
      <w:r>
        <w:rPr>
          <w:rFonts w:ascii="Calibri" w:hAnsi="Calibri"/>
          <w:color w:val="1AAFCC"/>
          <w:sz w:val="20"/>
        </w:rPr>
        <w:t xml:space="preserve">•  </w:t>
      </w:r>
      <w:r>
        <w:rPr>
          <w:rFonts w:ascii="Calibri" w:hAnsi="Calibri"/>
          <w:b/>
          <w:color w:val="333333"/>
          <w:sz w:val="20"/>
        </w:rPr>
        <w:t>ROR (Reporting Odds Ratio):</w:t>
      </w:r>
      <w:r>
        <w:rPr>
          <w:rFonts w:ascii="Calibri" w:hAnsi="Calibri"/>
          <w:color w:val="333333"/>
          <w:sz w:val="20"/>
        </w:rPr>
        <w:t xml:space="preserve"> Odds ratio of the AE for the drug vs. all other drugs</w:t>
      </w:r>
    </w:p>
    <w:p>
      <w:pPr>
        <w:spacing w:before="40" w:after="40"/>
        <w:ind w:left="504" w:hanging="216"/>
      </w:pPr>
      <w:r>
        <w:rPr>
          <w:rFonts w:ascii="Calibri" w:hAnsi="Calibri"/>
          <w:color w:val="1AAFCC"/>
          <w:sz w:val="20"/>
        </w:rPr>
        <w:t xml:space="preserve">•  </w:t>
      </w:r>
      <w:r>
        <w:rPr>
          <w:rFonts w:ascii="Calibri" w:hAnsi="Calibri"/>
          <w:b/>
          <w:color w:val="333333"/>
          <w:sz w:val="20"/>
        </w:rPr>
        <w:t>EBGM (Empirical Bayes Geometric Mean):</w:t>
      </w:r>
      <w:r>
        <w:rPr>
          <w:rFonts w:ascii="Calibri" w:hAnsi="Calibri"/>
          <w:color w:val="333333"/>
          <w:sz w:val="20"/>
        </w:rPr>
        <w:t xml:space="preserve"> Bayesian data mining for large safety databases</w:t>
      </w:r>
    </w:p>
    <w:p>
      <w:pPr>
        <w:pStyle w:val="Heading2"/>
        <w:spacing w:before="280" w:after="120"/>
      </w:pPr>
      <w:r>
        <w:rPr>
          <w:rFonts w:ascii="Calibri" w:hAnsi="Calibri"/>
          <w:b/>
          <w:color w:val="1AAFCC"/>
          <w:sz w:val="26"/>
        </w:rPr>
        <w:t>DSMB Reviews</w:t>
      </w:r>
    </w:p>
    <w:p>
      <w:pPr>
        <w:spacing w:before="0" w:after="120"/>
      </w:pPr>
      <w:r>
        <w:rPr>
          <w:rFonts w:ascii="Calibri" w:hAnsi="Calibri"/>
          <w:color w:val="333333"/>
          <w:sz w:val="20"/>
        </w:rPr>
        <w:t>The Data Safety Monitoring Board conducts periodic unblinded reviews of safety data. They can recommend:</w:t>
      </w:r>
    </w:p>
    <w:p>
      <w:pPr>
        <w:spacing w:before="40" w:after="40"/>
        <w:ind w:left="504" w:hanging="216"/>
      </w:pPr>
      <w:r>
        <w:rPr>
          <w:rFonts w:ascii="Calibri" w:hAnsi="Calibri"/>
          <w:color w:val="1AAFCC"/>
          <w:sz w:val="20"/>
        </w:rPr>
        <w:t xml:space="preserve">•  </w:t>
      </w:r>
      <w:r>
        <w:rPr>
          <w:rFonts w:ascii="Calibri" w:hAnsi="Calibri"/>
          <w:color w:val="333333"/>
          <w:sz w:val="20"/>
        </w:rPr>
        <w:t>Continue the trial as planned</w:t>
      </w:r>
    </w:p>
    <w:p>
      <w:pPr>
        <w:spacing w:before="40" w:after="40"/>
        <w:ind w:left="504" w:hanging="216"/>
      </w:pPr>
      <w:r>
        <w:rPr>
          <w:rFonts w:ascii="Calibri" w:hAnsi="Calibri"/>
          <w:color w:val="1AAFCC"/>
          <w:sz w:val="20"/>
        </w:rPr>
        <w:t xml:space="preserve">•  </w:t>
      </w:r>
      <w:r>
        <w:rPr>
          <w:rFonts w:ascii="Calibri" w:hAnsi="Calibri"/>
          <w:color w:val="333333"/>
          <w:sz w:val="20"/>
        </w:rPr>
        <w:t>Modify the protocol (e.g., add safety monitoring)</w:t>
      </w:r>
    </w:p>
    <w:p>
      <w:pPr>
        <w:spacing w:before="40" w:after="40"/>
        <w:ind w:left="504" w:hanging="216"/>
      </w:pPr>
      <w:r>
        <w:rPr>
          <w:rFonts w:ascii="Calibri" w:hAnsi="Calibri"/>
          <w:color w:val="1AAFCC"/>
          <w:sz w:val="20"/>
        </w:rPr>
        <w:t xml:space="preserve">•  </w:t>
      </w:r>
      <w:r>
        <w:rPr>
          <w:rFonts w:ascii="Calibri" w:hAnsi="Calibri"/>
          <w:color w:val="333333"/>
          <w:sz w:val="20"/>
        </w:rPr>
        <w:t>Stop enrollment in one arm</w:t>
      </w:r>
    </w:p>
    <w:p>
      <w:pPr>
        <w:spacing w:before="40" w:after="40"/>
        <w:ind w:left="504" w:hanging="216"/>
      </w:pPr>
      <w:r>
        <w:rPr>
          <w:rFonts w:ascii="Calibri" w:hAnsi="Calibri"/>
          <w:color w:val="1AAFCC"/>
          <w:sz w:val="20"/>
        </w:rPr>
        <w:t xml:space="preserve">•  </w:t>
      </w:r>
      <w:r>
        <w:rPr>
          <w:rFonts w:ascii="Calibri" w:hAnsi="Calibri"/>
          <w:color w:val="333333"/>
          <w:sz w:val="20"/>
        </w:rPr>
        <w:t>Stop the entire trial</w:t>
      </w:r>
    </w:p>
    <w:p>
      <w:pPr>
        <w:spacing w:before="80" w:after="80"/>
        <w:pBdr>
          <w:bottom w:val="single" w:sz="6" w:color="1AAFCC"/>
        </w:pBdr>
      </w:pPr>
    </w:p>
    <w:p>
      <w:pPr>
        <w:pStyle w:val="Heading1"/>
        <w:spacing w:before="400" w:after="160"/>
      </w:pPr>
      <w:r>
        <w:rPr>
          <w:rFonts w:ascii="Calibri" w:hAnsi="Calibri"/>
          <w:b/>
          <w:color w:val="1B2333"/>
          <w:sz w:val="32"/>
        </w:rPr>
        <w:t>12. Decentralized Trials</w:t>
      </w:r>
    </w:p>
    <w:p>
      <w:pPr>
        <w:spacing w:before="0" w:after="120"/>
      </w:pPr>
      <w:r>
        <w:rPr>
          <w:rFonts w:ascii="Calibri" w:hAnsi="Calibri"/>
          <w:color w:val="333333"/>
          <w:sz w:val="20"/>
        </w:rPr>
        <w:t>Decentralized clinical trials (DCTs) use technology to conduct some or all trial activities remotely, reducing the burden on patients and improving access.</w:t>
      </w:r>
    </w:p>
    <w:p>
      <w:pPr>
        <w:pStyle w:val="Heading2"/>
        <w:spacing w:before="280" w:after="120"/>
      </w:pPr>
      <w:r>
        <w:rPr>
          <w:rFonts w:ascii="Calibri" w:hAnsi="Calibri"/>
          <w:b/>
          <w:color w:val="1AAFCC"/>
          <w:sz w:val="26"/>
        </w:rPr>
        <w:t>DCT Components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Component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What It Does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Patient Benefit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eConsent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Digital informed consent with multimedia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Review at home, share with family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Telemedicine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Video visits replace some site visits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travel required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Home Health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Nurses visit patients at home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Lab draws, drug admin at home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Local Labs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Use nearby community labs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Convenience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Wearables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Continuous data collection (activity, heart rate)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Objective measurement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ePRO/eCOA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Electronic patient-reported outcomes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Real-time capture on phone/tablet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Direct-to-Patient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Drug shipped to patient's home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site visits for pickup</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Remote Monitoring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Connected devices transmit data in real time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Better safety monitoring</w:t>
            </w:r>
          </w:p>
        </w:tc>
      </w:tr>
    </w:tbl>
    <w:p>
      <w:pPr>
        <w:spacing w:before="40" w:after="80"/>
      </w:pPr>
    </w:p>
    <w:p>
      <w:pPr>
        <w:pStyle w:val="Heading2"/>
        <w:spacing w:before="280" w:after="120"/>
      </w:pPr>
      <w:r>
        <w:rPr>
          <w:rFonts w:ascii="Calibri" w:hAnsi="Calibri"/>
          <w:b/>
          <w:color w:val="1AAFCC"/>
          <w:sz w:val="26"/>
        </w:rPr>
        <w:t>Regulatory Status</w:t>
      </w:r>
    </w:p>
    <w:p>
      <w:pPr>
        <w:spacing w:before="0" w:after="120"/>
      </w:pPr>
      <w:r>
        <w:rPr>
          <w:rFonts w:ascii="Calibri" w:hAnsi="Calibri"/>
          <w:color w:val="333333"/>
          <w:sz w:val="20"/>
        </w:rPr>
        <w:t>FDA published guidance on DCTs in 2023, establishing a framework for remote trial activities. Key requirements include data integrity, participant safety, and informed consent standards equivalent to traditional trials.</w:t>
      </w:r>
    </w:p>
    <w:p>
      <w:pPr>
        <w:spacing w:before="80" w:after="80"/>
        <w:pBdr>
          <w:bottom w:val="single" w:sz="6" w:color="1AAFCC"/>
        </w:pBdr>
      </w:pPr>
    </w:p>
    <w:p>
      <w:pPr>
        <w:pStyle w:val="Heading1"/>
        <w:spacing w:before="400" w:after="160"/>
      </w:pPr>
      <w:r>
        <w:rPr>
          <w:rFonts w:ascii="Calibri" w:hAnsi="Calibri"/>
          <w:b/>
          <w:color w:val="1B2333"/>
          <w:sz w:val="32"/>
        </w:rPr>
        <w:t>13. Diversity and Inclusion</w:t>
      </w:r>
    </w:p>
    <w:p>
      <w:pPr>
        <w:pStyle w:val="Heading2"/>
        <w:spacing w:before="280" w:after="120"/>
      </w:pPr>
      <w:r>
        <w:rPr>
          <w:rFonts w:ascii="Calibri" w:hAnsi="Calibri"/>
          <w:b/>
          <w:color w:val="1AAFCC"/>
          <w:sz w:val="26"/>
        </w:rPr>
        <w:t>The Problem</w:t>
      </w:r>
    </w:p>
    <w:p>
      <w:pPr>
        <w:spacing w:before="0" w:after="120"/>
      </w:pPr>
      <w:r>
        <w:rPr>
          <w:rFonts w:ascii="Calibri" w:hAnsi="Calibri"/>
          <w:color w:val="333333"/>
          <w:sz w:val="20"/>
        </w:rPr>
        <w:t>Clinical trials have historically enrolled populations that do not reflect the diversity of patients who will use the treatment. Underrepresentation of racial and ethnic minorities, women, elderly patients, and patients with comorbidities limits the generalizability of trial results.</w:t>
      </w:r>
    </w:p>
    <w:p>
      <w:pPr>
        <w:pStyle w:val="Heading2"/>
        <w:spacing w:before="280" w:after="120"/>
      </w:pPr>
      <w:r>
        <w:rPr>
          <w:rFonts w:ascii="Calibri" w:hAnsi="Calibri"/>
          <w:b/>
          <w:color w:val="1AAFCC"/>
          <w:sz w:val="26"/>
        </w:rPr>
        <w:t>Regulatory Action</w:t>
      </w:r>
    </w:p>
    <w:p>
      <w:pPr>
        <w:spacing w:before="40" w:after="40"/>
        <w:ind w:left="504" w:hanging="216"/>
      </w:pPr>
      <w:r>
        <w:rPr>
          <w:rFonts w:ascii="Calibri" w:hAnsi="Calibri"/>
          <w:color w:val="1AAFCC"/>
          <w:sz w:val="20"/>
        </w:rPr>
        <w:t xml:space="preserve">•  </w:t>
      </w:r>
      <w:r>
        <w:rPr>
          <w:rFonts w:ascii="Calibri" w:hAnsi="Calibri"/>
          <w:b/>
          <w:color w:val="333333"/>
          <w:sz w:val="20"/>
        </w:rPr>
        <w:t>FDA FDORA (2022):</w:t>
      </w:r>
      <w:r>
        <w:rPr>
          <w:rFonts w:ascii="Calibri" w:hAnsi="Calibri"/>
          <w:color w:val="333333"/>
          <w:sz w:val="20"/>
        </w:rPr>
        <w:t xml:space="preserve"> Requires sponsors to submit a Diversity Action Plan for Phase 3 trials</w:t>
      </w:r>
    </w:p>
    <w:p>
      <w:pPr>
        <w:spacing w:before="40" w:after="40"/>
        <w:ind w:left="504" w:hanging="216"/>
      </w:pPr>
      <w:r>
        <w:rPr>
          <w:rFonts w:ascii="Calibri" w:hAnsi="Calibri"/>
          <w:color w:val="1AAFCC"/>
          <w:sz w:val="20"/>
        </w:rPr>
        <w:t xml:space="preserve">•  </w:t>
      </w:r>
      <w:r>
        <w:rPr>
          <w:rFonts w:ascii="Calibri" w:hAnsi="Calibri"/>
          <w:b/>
          <w:color w:val="333333"/>
          <w:sz w:val="20"/>
        </w:rPr>
        <w:t>FDA Guidance:</w:t>
      </w:r>
      <w:r>
        <w:rPr>
          <w:rFonts w:ascii="Calibri" w:hAnsi="Calibri"/>
          <w:color w:val="333333"/>
          <w:sz w:val="20"/>
        </w:rPr>
        <w:t xml:space="preserve"> Race, Ethnicity, and Sex enrollment data must be reported</w:t>
      </w:r>
    </w:p>
    <w:p>
      <w:pPr>
        <w:spacing w:before="40" w:after="40"/>
        <w:ind w:left="504" w:hanging="216"/>
      </w:pPr>
      <w:r>
        <w:rPr>
          <w:rFonts w:ascii="Calibri" w:hAnsi="Calibri"/>
          <w:color w:val="1AAFCC"/>
          <w:sz w:val="20"/>
        </w:rPr>
        <w:t xml:space="preserve">•  </w:t>
      </w:r>
      <w:r>
        <w:rPr>
          <w:rFonts w:ascii="Calibri" w:hAnsi="Calibri"/>
          <w:b/>
          <w:color w:val="333333"/>
          <w:sz w:val="20"/>
        </w:rPr>
        <w:t>EMA:</w:t>
      </w:r>
      <w:r>
        <w:rPr>
          <w:rFonts w:ascii="Calibri" w:hAnsi="Calibri"/>
          <w:color w:val="333333"/>
          <w:sz w:val="20"/>
        </w:rPr>
        <w:t xml:space="preserve"> Reflection paper on population diversity in clinical trials</w:t>
      </w:r>
    </w:p>
    <w:p>
      <w:pPr>
        <w:pStyle w:val="Heading2"/>
        <w:spacing w:before="280" w:after="120"/>
      </w:pPr>
      <w:r>
        <w:rPr>
          <w:rFonts w:ascii="Calibri" w:hAnsi="Calibri"/>
          <w:b/>
          <w:color w:val="1AAFCC"/>
          <w:sz w:val="26"/>
        </w:rPr>
        <w:t>How the Agent Helps</w:t>
      </w:r>
    </w:p>
    <w:p>
      <w:pPr>
        <w:spacing w:before="0" w:after="120"/>
      </w:pPr>
      <w:r>
        <w:rPr>
          <w:rFonts w:ascii="Calibri" w:hAnsi="Calibri"/>
          <w:color w:val="333333"/>
          <w:sz w:val="20"/>
        </w:rPr>
        <w:t>The Clinical Trial Intelligence Agent includes a Diversity Assessment workflow that:</w:t>
      </w:r>
    </w:p>
    <w:p>
      <w:pPr>
        <w:spacing w:before="40" w:after="40"/>
        <w:ind w:left="504" w:hanging="216"/>
      </w:pPr>
      <w:r>
        <w:rPr>
          <w:rFonts w:ascii="Calibri" w:hAnsi="Calibri"/>
          <w:color w:val="1AAFCC"/>
          <w:sz w:val="20"/>
        </w:rPr>
        <w:t xml:space="preserve">•  </w:t>
      </w:r>
      <w:r>
        <w:rPr>
          <w:rFonts w:ascii="Calibri" w:hAnsi="Calibri"/>
          <w:color w:val="333333"/>
          <w:sz w:val="20"/>
        </w:rPr>
        <w:t>Evaluates trial site geographic distribution against disease prevalence</w:t>
      </w:r>
    </w:p>
    <w:p>
      <w:pPr>
        <w:spacing w:before="40" w:after="40"/>
        <w:ind w:left="504" w:hanging="216"/>
      </w:pPr>
      <w:r>
        <w:rPr>
          <w:rFonts w:ascii="Calibri" w:hAnsi="Calibri"/>
          <w:color w:val="1AAFCC"/>
          <w:sz w:val="20"/>
        </w:rPr>
        <w:t xml:space="preserve">•  </w:t>
      </w:r>
      <w:r>
        <w:rPr>
          <w:rFonts w:ascii="Calibri" w:hAnsi="Calibri"/>
          <w:color w:val="333333"/>
          <w:sz w:val="20"/>
        </w:rPr>
        <w:t>Identifies demographic gaps in enrollment projections</w:t>
      </w:r>
    </w:p>
    <w:p>
      <w:pPr>
        <w:spacing w:before="40" w:after="40"/>
        <w:ind w:left="504" w:hanging="216"/>
      </w:pPr>
      <w:r>
        <w:rPr>
          <w:rFonts w:ascii="Calibri" w:hAnsi="Calibri"/>
          <w:color w:val="1AAFCC"/>
          <w:sz w:val="20"/>
        </w:rPr>
        <w:t xml:space="preserve">•  </w:t>
      </w:r>
      <w:r>
        <w:rPr>
          <w:rFonts w:ascii="Calibri" w:hAnsi="Calibri"/>
          <w:color w:val="333333"/>
          <w:sz w:val="20"/>
        </w:rPr>
        <w:t>Recommends site additions to improve diversity</w:t>
      </w:r>
    </w:p>
    <w:p>
      <w:pPr>
        <w:spacing w:before="40" w:after="40"/>
        <w:ind w:left="504" w:hanging="216"/>
      </w:pPr>
      <w:r>
        <w:rPr>
          <w:rFonts w:ascii="Calibri" w:hAnsi="Calibri"/>
          <w:color w:val="1AAFCC"/>
          <w:sz w:val="20"/>
        </w:rPr>
        <w:t xml:space="preserve">•  </w:t>
      </w:r>
      <w:r>
        <w:rPr>
          <w:rFonts w:ascii="Calibri" w:hAnsi="Calibri"/>
          <w:color w:val="333333"/>
          <w:sz w:val="20"/>
        </w:rPr>
        <w:t>Assesses eligibility criteria for unintentional exclusion of diverse populations</w:t>
      </w:r>
    </w:p>
    <w:p>
      <w:pPr>
        <w:spacing w:before="80" w:after="80"/>
        <w:pBdr>
          <w:bottom w:val="single" w:sz="6" w:color="1AAFCC"/>
        </w:pBdr>
      </w:pPr>
    </w:p>
    <w:p>
      <w:pPr>
        <w:pStyle w:val="Heading1"/>
        <w:spacing w:before="400" w:after="160"/>
      </w:pPr>
      <w:r>
        <w:rPr>
          <w:rFonts w:ascii="Calibri" w:hAnsi="Calibri"/>
          <w:b/>
          <w:color w:val="1B2333"/>
          <w:sz w:val="32"/>
        </w:rPr>
        <w:t>14. Common Abbreviations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Abbreviation</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Full Term</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Adverse Event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BLA</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Biologics License Application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CDx</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Companion Diagnostic</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Contract Research Organization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CSR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Study Report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CTCAE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Common Terminology Criteria for Adverse Events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DCT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Decentralized Clinical Trial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DLT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Dose-Limiting Toxicity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DSMB</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Data Safety Monitoring Board</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ECOG</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Eastern Cooperative Oncology Group (performance status)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EDC</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Electronic Data Capture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EMA</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European Medicines Agency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FDA</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Food and Drug Administration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GCP</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Good Clinical Practice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Hazard Ratio</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ICH</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International Council for Harmonisation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Investigational New Drug (application)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IRB</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Institutional Review Board</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ITT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Intent-to-Treat (analysis)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MACE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Major Adverse Cardiovascular Events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MedDRA</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Medical Dictionary for Regulatory Activities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MTD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Maximum Tolerated Dose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NDA</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New Drug Application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ORR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Objective Response Rate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Overall Survival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PFS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Progression-Free Survival</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PI</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Principal Investigator</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Patient-Reported Outcome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RCT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Randomized Controlled Trial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REMS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Evaluation and Mitigation Strategy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RP2D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Recommended Phase 2 Dose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SAE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Serious Adverse Event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SAP</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Statistical Analysis Plan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SPA</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Special Protocol Assessment</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15. How the Clinical Trial Intelligence Agent Helps</w:t>
      </w:r>
    </w:p>
    <w:p>
      <w:pPr>
        <w:spacing w:before="0" w:after="120"/>
      </w:pPr>
      <w:r>
        <w:rPr>
          <w:rFonts w:ascii="Calibri" w:hAnsi="Calibri"/>
          <w:color w:val="333333"/>
          <w:sz w:val="20"/>
        </w:rPr>
        <w:t>The Clinical Trial Intelligence Agent addresses the complexity described in this guide by providing AI-powered decision support across the trial lifecycle:</w:t>
      </w:r>
    </w:p>
    <w:p>
      <w:pPr>
        <w:pStyle w:val="Heading2"/>
        <w:spacing w:before="280" w:after="120"/>
      </w:pPr>
      <w:r>
        <w:rPr>
          <w:rFonts w:ascii="Calibri" w:hAnsi="Calibri"/>
          <w:b/>
          <w:color w:val="1AAFCC"/>
          <w:sz w:val="26"/>
        </w:rPr>
        <w:t>For Protocol Design</w:t>
      </w:r>
    </w:p>
    <w:p>
      <w:pPr>
        <w:spacing w:before="0" w:after="120"/>
      </w:pPr>
      <w:r>
        <w:rPr>
          <w:rFonts w:ascii="Calibri" w:hAnsi="Calibri"/>
          <w:color w:val="333333"/>
          <w:sz w:val="20"/>
        </w:rPr>
        <w:t>The agent generates evidence-based protocol blueprints by referencing 40 landmark trials, analyzing historical success rates across 13 therapeutic areas, recommending endpoints from 9 validated types, and scoring protocol complexity against industry benchmarks.</w:t>
      </w:r>
    </w:p>
    <w:p>
      <w:pPr>
        <w:pStyle w:val="Heading2"/>
        <w:spacing w:before="280" w:after="120"/>
      </w:pPr>
      <w:r>
        <w:rPr>
          <w:rFonts w:ascii="Calibri" w:hAnsi="Calibri"/>
          <w:b/>
          <w:color w:val="1AAFCC"/>
          <w:sz w:val="26"/>
        </w:rPr>
        <w:t>For Patient Matching</w:t>
      </w:r>
    </w:p>
    <w:p>
      <w:pPr>
        <w:spacing w:before="0" w:after="120"/>
      </w:pPr>
      <w:r>
        <w:rPr>
          <w:rFonts w:ascii="Calibri" w:hAnsi="Calibri"/>
          <w:color w:val="333333"/>
          <w:sz w:val="20"/>
        </w:rPr>
        <w:t>The agent evaluates patient profiles against eligibility criteria with per-criterion confidence scoring, identifies matching trials across multiple therapeutic areas, and flags cross-agent triggers for precision medicine matches.</w:t>
      </w:r>
    </w:p>
    <w:p>
      <w:pPr>
        <w:pStyle w:val="Heading2"/>
        <w:spacing w:before="280" w:after="120"/>
      </w:pPr>
      <w:r>
        <w:rPr>
          <w:rFonts w:ascii="Calibri" w:hAnsi="Calibri"/>
          <w:b/>
          <w:color w:val="1AAFCC"/>
          <w:sz w:val="26"/>
        </w:rPr>
        <w:t>For Eligibility Optimization</w:t>
      </w:r>
    </w:p>
    <w:p>
      <w:pPr>
        <w:spacing w:before="0" w:after="120"/>
      </w:pPr>
      <w:r>
        <w:rPr>
          <w:rFonts w:ascii="Calibri" w:hAnsi="Calibri"/>
          <w:color w:val="333333"/>
          <w:sz w:val="20"/>
        </w:rPr>
        <w:t>The agent analyzes each criterion against 29 population impact patterns, identifies criteria that exclude large patient populations without strong scientific justification, and recommends broadening strategies.</w:t>
      </w:r>
    </w:p>
    <w:p>
      <w:pPr>
        <w:pStyle w:val="Heading2"/>
        <w:spacing w:before="280" w:after="120"/>
      </w:pPr>
      <w:r>
        <w:rPr>
          <w:rFonts w:ascii="Calibri" w:hAnsi="Calibri"/>
          <w:b/>
          <w:color w:val="1AAFCC"/>
          <w:sz w:val="26"/>
        </w:rPr>
        <w:t>For Adaptive Design Selection</w:t>
      </w:r>
    </w:p>
    <w:p>
      <w:pPr>
        <w:spacing w:before="0" w:after="120"/>
      </w:pPr>
      <w:r>
        <w:rPr>
          <w:rFonts w:ascii="Calibri" w:hAnsi="Calibri"/>
          <w:color w:val="333333"/>
          <w:sz w:val="20"/>
        </w:rPr>
        <w:t>The agent recommends appropriate adaptive designs from 9 validated types, references FDA and EMA guidance documents, and provides precedent trials that successfully used each design.</w:t>
      </w:r>
    </w:p>
    <w:p>
      <w:pPr>
        <w:pStyle w:val="Heading2"/>
        <w:spacing w:before="280" w:after="120"/>
      </w:pPr>
      <w:r>
        <w:rPr>
          <w:rFonts w:ascii="Calibri" w:hAnsi="Calibri"/>
          <w:b/>
          <w:color w:val="1AAFCC"/>
          <w:sz w:val="26"/>
        </w:rPr>
        <w:t>For Safety Monitoring</w:t>
      </w:r>
    </w:p>
    <w:p>
      <w:pPr>
        <w:spacing w:before="0" w:after="120"/>
      </w:pPr>
      <w:r>
        <w:rPr>
          <w:rFonts w:ascii="Calibri" w:hAnsi="Calibri"/>
          <w:color w:val="333333"/>
          <w:sz w:val="20"/>
        </w:rPr>
        <w:t>The agent detects safety signals using PRR, ROR, and frequency analysis, classifies adverse event severity, and generates DSMB communication templates.</w:t>
      </w:r>
    </w:p>
    <w:p>
      <w:pPr>
        <w:pStyle w:val="Heading2"/>
        <w:spacing w:before="280" w:after="120"/>
      </w:pPr>
      <w:r>
        <w:rPr>
          <w:rFonts w:ascii="Calibri" w:hAnsi="Calibri"/>
          <w:b/>
          <w:color w:val="1AAFCC"/>
          <w:sz w:val="26"/>
        </w:rPr>
        <w:t>For Regulatory Strategy</w:t>
      </w:r>
    </w:p>
    <w:p>
      <w:pPr>
        <w:spacing w:before="0" w:after="120"/>
      </w:pPr>
      <w:r>
        <w:rPr>
          <w:rFonts w:ascii="Calibri" w:hAnsi="Calibri"/>
          <w:color w:val="333333"/>
          <w:sz w:val="20"/>
        </w:rPr>
        <w:t>The agent covers 9 regulatory agencies with approval pathways and expedited programs, generates regulatory document drafts, and provides agency-specific guidance references.</w:t>
      </w:r>
    </w:p>
    <w:p>
      <w:pPr>
        <w:pStyle w:val="Heading2"/>
        <w:spacing w:before="280" w:after="120"/>
      </w:pPr>
      <w:r>
        <w:rPr>
          <w:rFonts w:ascii="Calibri" w:hAnsi="Calibri"/>
          <w:b/>
          <w:color w:val="1AAFCC"/>
          <w:sz w:val="26"/>
        </w:rPr>
        <w:t>For Competitive Intelligence</w:t>
      </w:r>
    </w:p>
    <w:p>
      <w:pPr>
        <w:spacing w:before="0" w:after="120"/>
      </w:pPr>
      <w:r>
        <w:rPr>
          <w:rFonts w:ascii="Calibri" w:hAnsi="Calibri"/>
          <w:color w:val="333333"/>
          <w:sz w:val="20"/>
        </w:rPr>
        <w:t>The agent scores competitor threat levels using a 4-factor model, tracks enrollment progress, and provides differentiation analysis.</w:t>
      </w:r>
    </w:p>
    <w:p>
      <w:pPr>
        <w:pStyle w:val="Heading2"/>
        <w:spacing w:before="280" w:after="120"/>
      </w:pPr>
      <w:r>
        <w:rPr>
          <w:rFonts w:ascii="Calibri" w:hAnsi="Calibri"/>
          <w:b/>
          <w:color w:val="1AAFCC"/>
          <w:sz w:val="26"/>
        </w:rPr>
        <w:t>For Diversity and Inclusion</w:t>
      </w:r>
    </w:p>
    <w:p>
      <w:pPr>
        <w:spacing w:before="0" w:after="120"/>
      </w:pPr>
      <w:r>
        <w:rPr>
          <w:rFonts w:ascii="Calibri" w:hAnsi="Calibri"/>
          <w:color w:val="333333"/>
          <w:sz w:val="20"/>
        </w:rPr>
        <w:t>The agent evaluates site networks against diversity targets, identifies demographic gaps, and ensures FDORA compliance.</w:t>
      </w:r>
    </w:p>
    <w:p>
      <w:pPr>
        <w:pStyle w:val="Heading2"/>
        <w:spacing w:before="280" w:after="120"/>
      </w:pPr>
      <w:r>
        <w:rPr>
          <w:rFonts w:ascii="Calibri" w:hAnsi="Calibri"/>
          <w:b/>
          <w:color w:val="1AAFCC"/>
          <w:sz w:val="26"/>
        </w:rPr>
        <w:t>Getting Started</w:t>
      </w:r>
    </w:p>
    <w:p>
      <w:pPr>
        <w:spacing w:before="40" w:after="40"/>
        <w:ind w:left="504" w:hanging="288"/>
      </w:pPr>
      <w:r>
        <w:rPr>
          <w:rFonts w:ascii="Calibri" w:hAnsi="Calibri"/>
          <w:b/>
          <w:color w:val="333333"/>
          <w:sz w:val="20"/>
        </w:rPr>
        <w:t xml:space="preserve">1.  </w:t>
      </w:r>
      <w:r>
        <w:rPr>
          <w:rFonts w:ascii="Calibri" w:hAnsi="Calibri"/>
          <w:color w:val="333333"/>
          <w:sz w:val="20"/>
        </w:rPr>
        <w:t xml:space="preserve">Open the Streamlit UI at </w:t>
      </w:r>
      <w:r>
        <w:rPr>
          <w:rFonts w:ascii="Courier New" w:hAnsi="Courier New"/>
          <w:color w:val="444444"/>
          <w:sz w:val="18"/>
        </w:rPr>
        <w:t>http://localhost:8128</w:t>
      </w:r>
    </w:p>
    <w:p>
      <w:pPr>
        <w:spacing w:before="40" w:after="40"/>
        <w:ind w:left="504" w:hanging="288"/>
      </w:pPr>
      <w:r>
        <w:rPr>
          <w:rFonts w:ascii="Calibri" w:hAnsi="Calibri"/>
          <w:b/>
          <w:color w:val="333333"/>
          <w:sz w:val="20"/>
        </w:rPr>
        <w:t xml:space="preserve">2.  </w:t>
      </w:r>
      <w:r>
        <w:rPr>
          <w:rFonts w:ascii="Calibri" w:hAnsi="Calibri"/>
          <w:color w:val="333333"/>
          <w:sz w:val="20"/>
        </w:rPr>
        <w:t xml:space="preserve">Start with the </w:t>
      </w:r>
      <w:r>
        <w:rPr>
          <w:rFonts w:ascii="Calibri" w:hAnsi="Calibri"/>
          <w:b/>
          <w:color w:val="333333"/>
          <w:sz w:val="20"/>
        </w:rPr>
        <w:t>Trial Intelligence</w:t>
      </w:r>
      <w:r>
        <w:rPr>
          <w:rFonts w:ascii="Calibri" w:hAnsi="Calibri"/>
          <w:color w:val="333333"/>
          <w:sz w:val="20"/>
        </w:rPr>
        <w:t xml:space="preserve"> tab for free-form questions</w:t>
      </w:r>
    </w:p>
    <w:p>
      <w:pPr>
        <w:spacing w:before="40" w:after="40"/>
        <w:ind w:left="504" w:hanging="288"/>
      </w:pPr>
      <w:r>
        <w:rPr>
          <w:rFonts w:ascii="Calibri" w:hAnsi="Calibri"/>
          <w:b/>
          <w:color w:val="333333"/>
          <w:sz w:val="20"/>
        </w:rPr>
        <w:t xml:space="preserve">3.  </w:t>
      </w:r>
      <w:r>
        <w:rPr>
          <w:rFonts w:ascii="Calibri" w:hAnsi="Calibri"/>
          <w:color w:val="333333"/>
          <w:sz w:val="20"/>
        </w:rPr>
        <w:t xml:space="preserve">Try the </w:t>
      </w:r>
      <w:r>
        <w:rPr>
          <w:rFonts w:ascii="Calibri" w:hAnsi="Calibri"/>
          <w:b/>
          <w:color w:val="333333"/>
          <w:sz w:val="20"/>
        </w:rPr>
        <w:t>Patient Matching</w:t>
      </w:r>
      <w:r>
        <w:rPr>
          <w:rFonts w:ascii="Calibri" w:hAnsi="Calibri"/>
          <w:color w:val="333333"/>
          <w:sz w:val="20"/>
        </w:rPr>
        <w:t xml:space="preserve"> tab with a sample patient profile</w:t>
      </w:r>
    </w:p>
    <w:p>
      <w:pPr>
        <w:spacing w:before="40" w:after="40"/>
        <w:ind w:left="504" w:hanging="288"/>
      </w:pPr>
      <w:r>
        <w:rPr>
          <w:rFonts w:ascii="Calibri" w:hAnsi="Calibri"/>
          <w:b/>
          <w:color w:val="333333"/>
          <w:sz w:val="20"/>
        </w:rPr>
        <w:t xml:space="preserve">4.  </w:t>
      </w:r>
      <w:r>
        <w:rPr>
          <w:rFonts w:ascii="Calibri" w:hAnsi="Calibri"/>
          <w:color w:val="333333"/>
          <w:sz w:val="20"/>
        </w:rPr>
        <w:t xml:space="preserve">Explore the </w:t>
      </w:r>
      <w:r>
        <w:rPr>
          <w:rFonts w:ascii="Calibri" w:hAnsi="Calibri"/>
          <w:b/>
          <w:color w:val="333333"/>
          <w:sz w:val="20"/>
        </w:rPr>
        <w:t>Protocol Optimizer</w:t>
      </w:r>
      <w:r>
        <w:rPr>
          <w:rFonts w:ascii="Calibri" w:hAnsi="Calibri"/>
          <w:color w:val="333333"/>
          <w:sz w:val="20"/>
        </w:rPr>
        <w:t xml:space="preserve"> and </w:t>
      </w:r>
      <w:r>
        <w:rPr>
          <w:rFonts w:ascii="Calibri" w:hAnsi="Calibri"/>
          <w:b/>
          <w:color w:val="333333"/>
          <w:sz w:val="20"/>
        </w:rPr>
        <w:t>Competitive Landscape</w:t>
      </w:r>
      <w:r>
        <w:rPr>
          <w:rFonts w:ascii="Calibri" w:hAnsi="Calibri"/>
          <w:color w:val="333333"/>
          <w:sz w:val="20"/>
        </w:rPr>
        <w:t xml:space="preserve"> tabs</w:t>
      </w:r>
    </w:p>
    <w:p>
      <w:pPr>
        <w:spacing w:before="40" w:after="40"/>
        <w:ind w:left="504" w:hanging="288"/>
      </w:pPr>
      <w:r>
        <w:rPr>
          <w:rFonts w:ascii="Calibri" w:hAnsi="Calibri"/>
          <w:b/>
          <w:color w:val="333333"/>
          <w:sz w:val="20"/>
        </w:rPr>
        <w:t xml:space="preserve">5.  </w:t>
      </w:r>
      <w:r>
        <w:rPr>
          <w:rFonts w:ascii="Calibri" w:hAnsi="Calibri"/>
          <w:color w:val="333333"/>
          <w:sz w:val="20"/>
        </w:rPr>
        <w:t xml:space="preserve">Check the </w:t>
      </w:r>
      <w:r>
        <w:rPr>
          <w:rFonts w:ascii="Calibri" w:hAnsi="Calibri"/>
          <w:b/>
          <w:color w:val="333333"/>
          <w:sz w:val="20"/>
        </w:rPr>
        <w:t>Dashboard</w:t>
      </w:r>
      <w:r>
        <w:rPr>
          <w:rFonts w:ascii="Calibri" w:hAnsi="Calibri"/>
          <w:color w:val="333333"/>
          <w:sz w:val="20"/>
        </w:rPr>
        <w:t xml:space="preserve"> tab for system health and metrics</w:t>
      </w:r>
    </w:p>
    <w:p>
      <w:pPr>
        <w:spacing w:before="0" w:after="120"/>
      </w:pPr>
      <w:r>
        <w:rPr>
          <w:rFonts w:ascii="Calibri" w:hAnsi="Calibri"/>
          <w:color w:val="333333"/>
          <w:sz w:val="20"/>
        </w:rPr>
        <w:t>The agent's 40 landmark trials, 13 therapeutic areas, 14 vector collections, and 10 clinical workflows are ready to support your clinical trial questions.</w:t>
      </w:r>
    </w:p>
    <w:p>
      <w:pPr>
        <w:spacing w:before="80" w:after="80"/>
        <w:pBdr>
          <w:bottom w:val="single" w:sz="6" w:color="1AAFCC"/>
        </w:pBdr>
      </w:pPr>
    </w:p>
    <w:p>
      <w:pPr>
        <w:spacing w:before="0" w:after="120"/>
      </w:pPr>
      <w:r>
        <w:rPr>
          <w:rFonts w:ascii="Calibri" w:hAnsi="Calibri"/>
          <w:i/>
          <w:color w:val="333333"/>
          <w:sz w:val="20"/>
        </w:rPr>
        <w:t>Clinical Trial Intelligence Agent v2.0.0 -- Learning Guide -- March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Clinical Trial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