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left"/>
      </w:pPr>
      <w:r>
        <w:rPr>
          <w:rFonts w:ascii="Calibri" w:hAnsi="Calibri"/>
          <w:b/>
          <w:color w:val="1B2333"/>
          <w:sz w:val="48"/>
        </w:rPr>
        <w:t>Clinical Trial Intelligence Agent -- Production Readiness &amp; Capability Report</w:t>
      </w:r>
    </w:p>
    <w:p>
      <w:pPr>
        <w:spacing w:before="0" w:after="120"/>
      </w:pPr>
      <w:r>
        <w:rPr>
          <w:rFonts w:ascii="Calibri" w:hAnsi="Calibri"/>
          <w:b/>
          <w:color w:val="333333"/>
          <w:sz w:val="20"/>
        </w:rPr>
        <w:t>Version:</w:t>
      </w:r>
      <w:r>
        <w:rPr>
          <w:rFonts w:ascii="Calibri" w:hAnsi="Calibri"/>
          <w:color w:val="333333"/>
          <w:sz w:val="20"/>
        </w:rPr>
        <w:t xml:space="preserve"> 2.0.0</w:t>
      </w:r>
    </w:p>
    <w:p>
      <w:pPr>
        <w:spacing w:before="0" w:after="120"/>
      </w:pPr>
      <w:r>
        <w:rPr>
          <w:rFonts w:ascii="Calibri" w:hAnsi="Calibri"/>
          <w:b/>
          <w:color w:val="333333"/>
          <w:sz w:val="20"/>
        </w:rPr>
        <w:t>Date:</w:t>
      </w:r>
      <w:r>
        <w:rPr>
          <w:rFonts w:ascii="Calibri" w:hAnsi="Calibri"/>
          <w:color w:val="333333"/>
          <w:sz w:val="20"/>
        </w:rPr>
        <w:t xml:space="preserve"> March 22, 2026</w:t>
      </w:r>
    </w:p>
    <w:p>
      <w:pPr>
        <w:spacing w:before="0" w:after="120"/>
      </w:pPr>
      <w:r>
        <w:rPr>
          <w:rFonts w:ascii="Calibri" w:hAnsi="Calibri"/>
          <w:b/>
          <w:color w:val="333333"/>
          <w:sz w:val="20"/>
        </w:rPr>
        <w:t>Author:</w:t>
      </w:r>
      <w:r>
        <w:rPr>
          <w:rFonts w:ascii="Calibri" w:hAnsi="Calibri"/>
          <w:color w:val="333333"/>
          <w:sz w:val="20"/>
        </w:rPr>
        <w:t xml:space="preserve"> Adam Jones</w:t>
      </w:r>
    </w:p>
    <w:p>
      <w:pPr>
        <w:spacing w:before="0" w:after="120"/>
      </w:pPr>
      <w:r>
        <w:rPr>
          <w:rFonts w:ascii="Calibri" w:hAnsi="Calibri"/>
          <w:b/>
          <w:color w:val="333333"/>
          <w:sz w:val="20"/>
        </w:rPr>
        <w:t>Status:</w:t>
      </w:r>
      <w:r>
        <w:rPr>
          <w:rFonts w:ascii="Calibri" w:hAnsi="Calibri"/>
          <w:color w:val="333333"/>
          <w:sz w:val="20"/>
        </w:rPr>
        <w:t xml:space="preserve"> Production Demo Ready (10/10)</w:t>
      </w:r>
    </w:p>
    <w:p>
      <w:pPr>
        <w:spacing w:before="0" w:after="120"/>
      </w:pPr>
      <w:r>
        <w:rPr>
          <w:rFonts w:ascii="Calibri" w:hAnsi="Calibri"/>
          <w:b/>
          <w:color w:val="333333"/>
          <w:sz w:val="20"/>
        </w:rPr>
        <w:t>Platform:</w:t>
      </w:r>
      <w:r>
        <w:rPr>
          <w:rFonts w:ascii="Calibri" w:hAnsi="Calibri"/>
          <w:color w:val="333333"/>
          <w:sz w:val="20"/>
        </w:rPr>
        <w:t xml:space="preserve"> NVIDIA DGX Spark -- HCLS AI Factory</w:t>
      </w:r>
    </w:p>
    <w:p>
      <w:pPr>
        <w:spacing w:before="0" w:after="120"/>
      </w:pPr>
      <w:r>
        <w:rPr>
          <w:rFonts w:ascii="Calibri" w:hAnsi="Calibri"/>
          <w:b/>
          <w:color w:val="333333"/>
          <w:sz w:val="20"/>
        </w:rPr>
        <w:t>License:</w:t>
      </w:r>
      <w:r>
        <w:rPr>
          <w:rFonts w:ascii="Calibri" w:hAnsi="Calibri"/>
          <w:color w:val="333333"/>
          <w:sz w:val="20"/>
        </w:rPr>
        <w:t xml:space="preserve"> Apache 2.0</w:t>
      </w:r>
    </w:p>
    <w:p>
      <w:pPr>
        <w:spacing w:before="80" w:after="80"/>
        <w:pBdr>
          <w:bottom w:val="single" w:sz="6" w:color="1AAFCC"/>
        </w:pBdr>
      </w:pPr>
    </w:p>
    <w:p>
      <w:pPr>
        <w:pStyle w:val="Heading1"/>
        <w:spacing w:before="400" w:after="160"/>
      </w:pPr>
      <w:r>
        <w:rPr>
          <w:rFonts w:ascii="Calibri" w:hAnsi="Calibri"/>
          <w:b/>
          <w:color w:val="1B2333"/>
          <w:sz w:val="32"/>
        </w:rPr>
        <w:t>Table of Contents</w:t>
      </w:r>
    </w:p>
    <w:p>
      <w:pPr>
        <w:spacing w:before="40" w:after="40"/>
        <w:ind w:left="504" w:hanging="288"/>
      </w:pPr>
      <w:r>
        <w:rPr>
          <w:rFonts w:ascii="Calibri" w:hAnsi="Calibri"/>
          <w:b/>
          <w:color w:val="333333"/>
          <w:sz w:val="20"/>
        </w:rPr>
        <w:t xml:space="preserve">1.  </w:t>
      </w:r>
      <w:r>
        <w:rPr>
          <w:rFonts w:ascii="Calibri" w:hAnsi="Calibri"/>
          <w:color w:val="1AAFCC"/>
          <w:sz w:val="20"/>
        </w:rPr>
        <w:t>Executive Summary</w:t>
      </w:r>
    </w:p>
    <w:p>
      <w:pPr>
        <w:spacing w:before="40" w:after="40"/>
        <w:ind w:left="504" w:hanging="288"/>
      </w:pPr>
      <w:r>
        <w:rPr>
          <w:rFonts w:ascii="Calibri" w:hAnsi="Calibri"/>
          <w:b/>
          <w:color w:val="333333"/>
          <w:sz w:val="20"/>
        </w:rPr>
        <w:t xml:space="preserve">2.  </w:t>
      </w:r>
      <w:r>
        <w:rPr>
          <w:rFonts w:ascii="Calibri" w:hAnsi="Calibri"/>
          <w:color w:val="1AAFCC"/>
          <w:sz w:val="20"/>
        </w:rPr>
        <w:t>System Architecture</w:t>
      </w:r>
    </w:p>
    <w:p>
      <w:pPr>
        <w:spacing w:before="40" w:after="40"/>
        <w:ind w:left="504" w:hanging="288"/>
      </w:pPr>
      <w:r>
        <w:rPr>
          <w:rFonts w:ascii="Calibri" w:hAnsi="Calibri"/>
          <w:b/>
          <w:color w:val="333333"/>
          <w:sz w:val="20"/>
        </w:rPr>
        <w:t xml:space="preserve">3.  </w:t>
      </w:r>
      <w:r>
        <w:rPr>
          <w:rFonts w:ascii="Calibri" w:hAnsi="Calibri"/>
          <w:color w:val="1AAFCC"/>
          <w:sz w:val="20"/>
        </w:rPr>
        <w:t>Knowledge Graph</w:t>
      </w:r>
    </w:p>
    <w:p>
      <w:pPr>
        <w:spacing w:before="40" w:after="40"/>
        <w:ind w:left="504" w:hanging="288"/>
      </w:pPr>
      <w:r>
        <w:rPr>
          <w:rFonts w:ascii="Calibri" w:hAnsi="Calibri"/>
          <w:b/>
          <w:color w:val="333333"/>
          <w:sz w:val="20"/>
        </w:rPr>
        <w:t xml:space="preserve">4.  </w:t>
      </w:r>
      <w:r>
        <w:rPr>
          <w:rFonts w:ascii="Calibri" w:hAnsi="Calibri"/>
          <w:color w:val="1AAFCC"/>
          <w:sz w:val="20"/>
        </w:rPr>
        <w:t>Clinical Workflows</w:t>
      </w:r>
    </w:p>
    <w:p>
      <w:pPr>
        <w:spacing w:before="40" w:after="40"/>
        <w:ind w:left="504" w:hanging="288"/>
      </w:pPr>
      <w:r>
        <w:rPr>
          <w:rFonts w:ascii="Calibri" w:hAnsi="Calibri"/>
          <w:b/>
          <w:color w:val="333333"/>
          <w:sz w:val="20"/>
        </w:rPr>
        <w:t xml:space="preserve">5.  </w:t>
      </w:r>
      <w:r>
        <w:rPr>
          <w:rFonts w:ascii="Calibri" w:hAnsi="Calibri"/>
          <w:color w:val="1AAFCC"/>
          <w:sz w:val="20"/>
        </w:rPr>
        <w:t>Decision Support Engines</w:t>
      </w:r>
    </w:p>
    <w:p>
      <w:pPr>
        <w:spacing w:before="40" w:after="40"/>
        <w:ind w:left="504" w:hanging="288"/>
      </w:pPr>
      <w:r>
        <w:rPr>
          <w:rFonts w:ascii="Calibri" w:hAnsi="Calibri"/>
          <w:b/>
          <w:color w:val="333333"/>
          <w:sz w:val="20"/>
        </w:rPr>
        <w:t xml:space="preserve">6.  </w:t>
      </w:r>
      <w:r>
        <w:rPr>
          <w:rFonts w:ascii="Calibri" w:hAnsi="Calibri"/>
          <w:color w:val="1AAFCC"/>
          <w:sz w:val="20"/>
        </w:rPr>
        <w:t>Cross-Agent Integration</w:t>
      </w:r>
    </w:p>
    <w:p>
      <w:pPr>
        <w:spacing w:before="40" w:after="40"/>
        <w:ind w:left="504" w:hanging="288"/>
      </w:pPr>
      <w:r>
        <w:rPr>
          <w:rFonts w:ascii="Calibri" w:hAnsi="Calibri"/>
          <w:b/>
          <w:color w:val="333333"/>
          <w:sz w:val="20"/>
        </w:rPr>
        <w:t xml:space="preserve">7.  </w:t>
      </w:r>
      <w:r>
        <w:rPr>
          <w:rFonts w:ascii="Calibri" w:hAnsi="Calibri"/>
          <w:color w:val="1AAFCC"/>
          <w:sz w:val="20"/>
        </w:rPr>
        <w:t>Vector Database &amp; Collections</w:t>
      </w:r>
    </w:p>
    <w:p>
      <w:pPr>
        <w:spacing w:before="40" w:after="40"/>
        <w:ind w:left="504" w:hanging="288"/>
      </w:pPr>
      <w:r>
        <w:rPr>
          <w:rFonts w:ascii="Calibri" w:hAnsi="Calibri"/>
          <w:b/>
          <w:color w:val="333333"/>
          <w:sz w:val="20"/>
        </w:rPr>
        <w:t xml:space="preserve">8.  </w:t>
      </w:r>
      <w:r>
        <w:rPr>
          <w:rFonts w:ascii="Calibri" w:hAnsi="Calibri"/>
          <w:color w:val="1AAFCC"/>
          <w:sz w:val="20"/>
        </w:rPr>
        <w:t>RAG Engine</w:t>
      </w:r>
    </w:p>
    <w:p>
      <w:pPr>
        <w:spacing w:before="40" w:after="40"/>
        <w:ind w:left="504" w:hanging="288"/>
      </w:pPr>
      <w:r>
        <w:rPr>
          <w:rFonts w:ascii="Calibri" w:hAnsi="Calibri"/>
          <w:b/>
          <w:color w:val="333333"/>
          <w:sz w:val="20"/>
        </w:rPr>
        <w:t xml:space="preserve">9.  </w:t>
      </w:r>
      <w:r>
        <w:rPr>
          <w:rFonts w:ascii="Calibri" w:hAnsi="Calibri"/>
          <w:color w:val="1AAFCC"/>
          <w:sz w:val="20"/>
        </w:rPr>
        <w:t>Query Expansion System</w:t>
      </w:r>
    </w:p>
    <w:p>
      <w:pPr>
        <w:spacing w:before="40" w:after="40"/>
        <w:ind w:left="504" w:hanging="288"/>
      </w:pPr>
      <w:r>
        <w:rPr>
          <w:rFonts w:ascii="Calibri" w:hAnsi="Calibri"/>
          <w:b/>
          <w:color w:val="333333"/>
          <w:sz w:val="20"/>
        </w:rPr>
        <w:t xml:space="preserve">10.  </w:t>
      </w:r>
      <w:r>
        <w:rPr>
          <w:rFonts w:ascii="Calibri" w:hAnsi="Calibri"/>
          <w:color w:val="1AAFCC"/>
          <w:sz w:val="20"/>
        </w:rPr>
        <w:t>Autonomous Agent Pipeline</w:t>
      </w:r>
    </w:p>
    <w:p>
      <w:pPr>
        <w:spacing w:before="40" w:after="40"/>
        <w:ind w:left="504" w:hanging="288"/>
      </w:pPr>
      <w:r>
        <w:rPr>
          <w:rFonts w:ascii="Calibri" w:hAnsi="Calibri"/>
          <w:b/>
          <w:color w:val="333333"/>
          <w:sz w:val="20"/>
        </w:rPr>
        <w:t xml:space="preserve">11.  </w:t>
      </w:r>
      <w:r>
        <w:rPr>
          <w:rFonts w:ascii="Calibri" w:hAnsi="Calibri"/>
          <w:color w:val="1AAFCC"/>
          <w:sz w:val="20"/>
        </w:rPr>
        <w:t>Data Models &amp; Type Safety</w:t>
      </w:r>
    </w:p>
    <w:p>
      <w:pPr>
        <w:spacing w:before="40" w:after="40"/>
        <w:ind w:left="504" w:hanging="288"/>
      </w:pPr>
      <w:r>
        <w:rPr>
          <w:rFonts w:ascii="Calibri" w:hAnsi="Calibri"/>
          <w:b/>
          <w:color w:val="333333"/>
          <w:sz w:val="20"/>
        </w:rPr>
        <w:t xml:space="preserve">12.  </w:t>
      </w:r>
      <w:r>
        <w:rPr>
          <w:rFonts w:ascii="Calibri" w:hAnsi="Calibri"/>
          <w:color w:val="1AAFCC"/>
          <w:sz w:val="20"/>
        </w:rPr>
        <w:t>Streamlit UI</w:t>
      </w:r>
    </w:p>
    <w:p>
      <w:pPr>
        <w:spacing w:before="40" w:after="40"/>
        <w:ind w:left="504" w:hanging="288"/>
      </w:pPr>
      <w:r>
        <w:rPr>
          <w:rFonts w:ascii="Calibri" w:hAnsi="Calibri"/>
          <w:b/>
          <w:color w:val="333333"/>
          <w:sz w:val="20"/>
        </w:rPr>
        <w:t xml:space="preserve">13.  </w:t>
      </w:r>
      <w:r>
        <w:rPr>
          <w:rFonts w:ascii="Calibri" w:hAnsi="Calibri"/>
          <w:color w:val="1AAFCC"/>
          <w:sz w:val="20"/>
        </w:rPr>
        <w:t>REST API</w:t>
      </w:r>
    </w:p>
    <w:p>
      <w:pPr>
        <w:spacing w:before="40" w:after="40"/>
        <w:ind w:left="504" w:hanging="288"/>
      </w:pPr>
      <w:r>
        <w:rPr>
          <w:rFonts w:ascii="Calibri" w:hAnsi="Calibri"/>
          <w:b/>
          <w:color w:val="333333"/>
          <w:sz w:val="20"/>
        </w:rPr>
        <w:t xml:space="preserve">14.  </w:t>
      </w:r>
      <w:r>
        <w:rPr>
          <w:rFonts w:ascii="Calibri" w:hAnsi="Calibri"/>
          <w:color w:val="1AAFCC"/>
          <w:sz w:val="20"/>
        </w:rPr>
        <w:t>Data Ingest Pipelines</w:t>
      </w:r>
    </w:p>
    <w:p>
      <w:pPr>
        <w:spacing w:before="40" w:after="40"/>
        <w:ind w:left="504" w:hanging="288"/>
      </w:pPr>
      <w:r>
        <w:rPr>
          <w:rFonts w:ascii="Calibri" w:hAnsi="Calibri"/>
          <w:b/>
          <w:color w:val="333333"/>
          <w:sz w:val="20"/>
        </w:rPr>
        <w:t xml:space="preserve">15.  </w:t>
      </w:r>
      <w:r>
        <w:rPr>
          <w:rFonts w:ascii="Calibri" w:hAnsi="Calibri"/>
          <w:color w:val="1AAFCC"/>
          <w:sz w:val="20"/>
        </w:rPr>
        <w:t>Seed Data Inventory</w:t>
      </w:r>
    </w:p>
    <w:p>
      <w:pPr>
        <w:spacing w:before="40" w:after="40"/>
        <w:ind w:left="504" w:hanging="288"/>
      </w:pPr>
      <w:r>
        <w:rPr>
          <w:rFonts w:ascii="Calibri" w:hAnsi="Calibri"/>
          <w:b/>
          <w:color w:val="333333"/>
          <w:sz w:val="20"/>
        </w:rPr>
        <w:t xml:space="preserve">16.  </w:t>
      </w:r>
      <w:r>
        <w:rPr>
          <w:rFonts w:ascii="Calibri" w:hAnsi="Calibri"/>
          <w:color w:val="1AAFCC"/>
          <w:sz w:val="20"/>
        </w:rPr>
        <w:t>Export &amp; Reporting</w:t>
      </w:r>
    </w:p>
    <w:p>
      <w:pPr>
        <w:spacing w:before="40" w:after="40"/>
        <w:ind w:left="504" w:hanging="288"/>
      </w:pPr>
      <w:r>
        <w:rPr>
          <w:rFonts w:ascii="Calibri" w:hAnsi="Calibri"/>
          <w:b/>
          <w:color w:val="333333"/>
          <w:sz w:val="20"/>
        </w:rPr>
        <w:t xml:space="preserve">17.  </w:t>
      </w:r>
      <w:r>
        <w:rPr>
          <w:rFonts w:ascii="Calibri" w:hAnsi="Calibri"/>
          <w:color w:val="1AAFCC"/>
          <w:sz w:val="20"/>
        </w:rPr>
        <w:t>Observability &amp; Metrics</w:t>
      </w:r>
    </w:p>
    <w:p>
      <w:pPr>
        <w:spacing w:before="40" w:after="40"/>
        <w:ind w:left="504" w:hanging="288"/>
      </w:pPr>
      <w:r>
        <w:rPr>
          <w:rFonts w:ascii="Calibri" w:hAnsi="Calibri"/>
          <w:b/>
          <w:color w:val="333333"/>
          <w:sz w:val="20"/>
        </w:rPr>
        <w:t xml:space="preserve">18.  </w:t>
      </w:r>
      <w:r>
        <w:rPr>
          <w:rFonts w:ascii="Calibri" w:hAnsi="Calibri"/>
          <w:color w:val="1AAFCC"/>
          <w:sz w:val="20"/>
        </w:rPr>
        <w:t>Scheduling &amp; Automation</w:t>
      </w:r>
    </w:p>
    <w:p>
      <w:pPr>
        <w:spacing w:before="40" w:after="40"/>
        <w:ind w:left="504" w:hanging="288"/>
      </w:pPr>
      <w:r>
        <w:rPr>
          <w:rFonts w:ascii="Calibri" w:hAnsi="Calibri"/>
          <w:b/>
          <w:color w:val="333333"/>
          <w:sz w:val="20"/>
        </w:rPr>
        <w:t xml:space="preserve">19.  </w:t>
      </w:r>
      <w:r>
        <w:rPr>
          <w:rFonts w:ascii="Calibri" w:hAnsi="Calibri"/>
          <w:color w:val="1AAFCC"/>
          <w:sz w:val="20"/>
        </w:rPr>
        <w:t>Configuration System</w:t>
      </w:r>
    </w:p>
    <w:p>
      <w:pPr>
        <w:spacing w:before="40" w:after="40"/>
        <w:ind w:left="504" w:hanging="288"/>
      </w:pPr>
      <w:r>
        <w:rPr>
          <w:rFonts w:ascii="Calibri" w:hAnsi="Calibri"/>
          <w:b/>
          <w:color w:val="333333"/>
          <w:sz w:val="20"/>
        </w:rPr>
        <w:t xml:space="preserve">20.  </w:t>
      </w:r>
      <w:r>
        <w:rPr>
          <w:rFonts w:ascii="Calibri" w:hAnsi="Calibri"/>
          <w:color w:val="1AAFCC"/>
          <w:sz w:val="20"/>
        </w:rPr>
        <w:t>Security &amp; Authentication</w:t>
      </w:r>
    </w:p>
    <w:p>
      <w:pPr>
        <w:spacing w:before="40" w:after="40"/>
        <w:ind w:left="504" w:hanging="288"/>
      </w:pPr>
      <w:r>
        <w:rPr>
          <w:rFonts w:ascii="Calibri" w:hAnsi="Calibri"/>
          <w:b/>
          <w:color w:val="333333"/>
          <w:sz w:val="20"/>
        </w:rPr>
        <w:t xml:space="preserve">21.  </w:t>
      </w:r>
      <w:r>
        <w:rPr>
          <w:rFonts w:ascii="Calibri" w:hAnsi="Calibri"/>
          <w:color w:val="1AAFCC"/>
          <w:sz w:val="20"/>
        </w:rPr>
        <w:t>Infrastructure &amp; Deployment</w:t>
      </w:r>
    </w:p>
    <w:p>
      <w:pPr>
        <w:spacing w:before="40" w:after="40"/>
        <w:ind w:left="504" w:hanging="288"/>
      </w:pPr>
      <w:r>
        <w:rPr>
          <w:rFonts w:ascii="Calibri" w:hAnsi="Calibri"/>
          <w:b/>
          <w:color w:val="333333"/>
          <w:sz w:val="20"/>
        </w:rPr>
        <w:t xml:space="preserve">22.  </w:t>
      </w:r>
      <w:r>
        <w:rPr>
          <w:rFonts w:ascii="Calibri" w:hAnsi="Calibri"/>
          <w:color w:val="1AAFCC"/>
          <w:sz w:val="20"/>
        </w:rPr>
        <w:t>Test Suite</w:t>
      </w:r>
    </w:p>
    <w:p>
      <w:pPr>
        <w:spacing w:before="40" w:after="40"/>
        <w:ind w:left="504" w:hanging="288"/>
      </w:pPr>
      <w:r>
        <w:rPr>
          <w:rFonts w:ascii="Calibri" w:hAnsi="Calibri"/>
          <w:b/>
          <w:color w:val="333333"/>
          <w:sz w:val="20"/>
        </w:rPr>
        <w:t xml:space="preserve">23.  </w:t>
      </w:r>
      <w:r>
        <w:rPr>
          <w:rFonts w:ascii="Calibri" w:hAnsi="Calibri"/>
          <w:color w:val="1AAFCC"/>
          <w:sz w:val="20"/>
        </w:rPr>
        <w:t>Known Limitations</w:t>
      </w:r>
    </w:p>
    <w:p>
      <w:pPr>
        <w:spacing w:before="40" w:after="40"/>
        <w:ind w:left="504" w:hanging="288"/>
      </w:pPr>
      <w:r>
        <w:rPr>
          <w:rFonts w:ascii="Calibri" w:hAnsi="Calibri"/>
          <w:b/>
          <w:color w:val="333333"/>
          <w:sz w:val="20"/>
        </w:rPr>
        <w:t xml:space="preserve">24.  </w:t>
      </w:r>
      <w:r>
        <w:rPr>
          <w:rFonts w:ascii="Calibri" w:hAnsi="Calibri"/>
          <w:color w:val="1AAFCC"/>
          <w:sz w:val="20"/>
        </w:rPr>
        <w:t>Demo Readiness Audit</w:t>
      </w:r>
    </w:p>
    <w:p>
      <w:pPr>
        <w:spacing w:before="40" w:after="40"/>
        <w:ind w:left="504" w:hanging="288"/>
      </w:pPr>
      <w:r>
        <w:rPr>
          <w:rFonts w:ascii="Calibri" w:hAnsi="Calibri"/>
          <w:b/>
          <w:color w:val="333333"/>
          <w:sz w:val="20"/>
        </w:rPr>
        <w:t xml:space="preserve">25.  </w:t>
      </w:r>
      <w:r>
        <w:rPr>
          <w:rFonts w:ascii="Calibri" w:hAnsi="Calibri"/>
          <w:color w:val="1AAFCC"/>
          <w:sz w:val="20"/>
        </w:rPr>
        <w:t>Codebase Summary</w:t>
      </w:r>
    </w:p>
    <w:p>
      <w:pPr>
        <w:spacing w:before="80" w:after="80"/>
        <w:pBdr>
          <w:bottom w:val="single" w:sz="6" w:color="1AAFCC"/>
        </w:pBdr>
      </w:pPr>
    </w:p>
    <w:p>
      <w:pPr>
        <w:pStyle w:val="Heading1"/>
        <w:spacing w:before="400" w:after="160"/>
      </w:pPr>
      <w:r>
        <w:rPr>
          <w:rFonts w:ascii="Calibri" w:hAnsi="Calibri"/>
          <w:b/>
          <w:color w:val="1B2333"/>
          <w:sz w:val="32"/>
        </w:rPr>
        <w:t>1. Executive Summary</w:t>
      </w:r>
    </w:p>
    <w:p>
      <w:pPr>
        <w:spacing w:before="0" w:after="120"/>
      </w:pPr>
      <w:r>
        <w:rPr>
          <w:rFonts w:ascii="Calibri" w:hAnsi="Calibri"/>
          <w:color w:val="333333"/>
          <w:sz w:val="20"/>
        </w:rPr>
        <w:t>The Clinical Trial Intelligence Agent is a production-grade, RAG-powered decision support system for clinical trial design, execution, and optimization, built for the HCLS AI Factory precision medicine platform running on NVIDIA DGX Spark. It delivers evidence-based guidance across the full clinical trial lifecycle -- from protocol design and patient-trial matching through adaptive design evaluation, safety signal detection, regulatory document generation, competitive intelligence, diversity assessment, and decentralized trial planning -- by combining 14 domain-specific Milvus vector collections, five calibrated decision support engines, 10 clinical workflows, and an autonomous reasoning pipeline that plans, searches, evaluates, and synthesizes trial evidence in real time.</w:t>
      </w:r>
    </w:p>
    <w:p>
      <w:pPr>
        <w:spacing w:before="0" w:after="120"/>
      </w:pPr>
      <w:r>
        <w:rPr>
          <w:rFonts w:ascii="Calibri" w:hAnsi="Calibri"/>
          <w:color w:val="333333"/>
          <w:sz w:val="20"/>
        </w:rPr>
        <w:t>The agent is architected as a three-tier system: a 5-tab Streamlit UI (port 8128) for interactive clinical trial exploration, a FastAPI REST API (port 8538) exposing 26 endpoints for programmatic integration, and a RAG engine backed by Milvus (port 19530) with BGE-small-en-v1.5 384-dimensional embeddings. All 10 clinical workflows, all 5 decision support engines, and the full query expansion system operate independently of Milvus connectivity, ensuring graceful degradation and robust demo capability even when the vector store is unavailable.</w:t>
      </w:r>
    </w:p>
    <w:p>
      <w:pPr>
        <w:spacing w:before="0" w:after="120"/>
      </w:pPr>
      <w:r>
        <w:rPr>
          <w:rFonts w:ascii="Calibri" w:hAnsi="Calibri"/>
          <w:color w:val="333333"/>
          <w:sz w:val="20"/>
        </w:rPr>
        <w:t>The codebase comprises 39 Python files (26 source + 13 test) totaling 23,062 lines of code, with 13 dedicated test files containing 769 passing tests at a 100% pass rate (0.47s execution time). The knowledge base contains 40 landmark trials, 13 therapeutic areas, 9 regulatory agencies, 9 endpoint types, 9 adaptive trial designs, 9 biomarker strategies, 9 decentralized trial components, 7 trial phases, 140 entity aliases, and 33 drug synonym mappings. This report documents every capability, data dimension, and test result to serve as the definitive long-term reference for the Clinical Trial Intelligence Agent.</w:t>
      </w:r>
    </w:p>
    <w:tbl>
      <w:tblPr>
        <w:tblW w:type="auto" w:w="0"/>
        <w:jc w:val="center"/>
        <w:tblLayout w:type="autofit"/>
        <w:tblLook w:firstColumn="1" w:firstRow="1" w:lastColumn="0" w:lastRow="0" w:noHBand="0" w:noVBand="1" w:val="04A0"/>
      </w:tblPr>
      <w:tblGrid>
        <w:gridCol w:w="4680"/>
        <w:gridCol w:w="4680"/>
      </w:tblGrid>
      <w:tr>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Capability</w:t>
            </w:r>
          </w:p>
        </w:tc>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Detail</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Clinical Workflows</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10 types (Protocol Design, Patient Matching, Site Selection, Eligibility Optimization, Adaptive Design, Safety Signal, Regulatory Docs, Competitive Intel, Diversity Assessment, Decentralized Planning)</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Decision Support Engines</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5 (Confidence Calibrator, Protocol Complexity Scorer, Enrollment Predictor, Eligibility Analyzer, Competitive Threat Scorer)</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Historical Success Estimator</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12 therapeutic areas with phase-specific success rates</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Cross-Agent Triggers</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 agents (Oncology, PGx, Cardiology, Biomarker)</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Vector Collections</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14 Milvus collections (IVF_FLAT, COSINE, 384-dim)</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Knowledge Graph</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40 landmark trials, 13 therapeutic areas, 9 agencies, 9 endpoint types</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Adaptive Designs</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9 validated designs with regulatory guidance</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Biomarker Strategies</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9 strategies from enrichment to digital biomarkers</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DCT Components</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9 decentralized trial components</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Query Expansion</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13 synonym maps, 140 entity aliases, 33 drug synonyms, 22 biomarkers</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Tests</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769 passed, 0 failed, 100% pass rate, 0.47s</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Source LOC</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19,813 (26 source files)</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Test LOC</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3,249 (13 test files)</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Total Python LOC</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23,062</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API Endpoints</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26</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Prometheus Metrics</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20+ metrics across query, RAG, workflow, and system health</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Ports</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FastAPI 8538, Streamlit 8128, Milvus 19530</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Authentication</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API key (X-API-Key header)</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Rate Limiting</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100 requests/minute per IP</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Event Publishing</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SSE event stream for real-time updates</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Export Formats</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Markdown, JSON, PDF</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Documentation</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10 .md + 9 .docx (19 files total)</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Versioning</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Knowledge v2.0.0, API v1, Agent v2.0.0</w:t>
            </w:r>
          </w:p>
        </w:tc>
      </w:tr>
    </w:tbl>
    <w:p>
      <w:pPr>
        <w:spacing w:before="40" w:after="80"/>
      </w:pPr>
    </w:p>
    <w:p>
      <w:pPr>
        <w:spacing w:before="80" w:after="80"/>
        <w:pBdr>
          <w:bottom w:val="single" w:sz="6" w:color="1AAFCC"/>
        </w:pBdr>
      </w:pPr>
    </w:p>
    <w:p>
      <w:pPr>
        <w:pStyle w:val="Heading1"/>
        <w:spacing w:before="400" w:after="160"/>
      </w:pPr>
      <w:r>
        <w:rPr>
          <w:rFonts w:ascii="Calibri" w:hAnsi="Calibri"/>
          <w:b/>
          <w:color w:val="1B2333"/>
          <w:sz w:val="32"/>
        </w:rPr>
        <w:t>2. System Architecture</w:t>
      </w:r>
    </w:p>
    <w:p>
      <w:pPr>
        <w:pStyle w:val="Heading2"/>
        <w:spacing w:before="280" w:after="120"/>
      </w:pPr>
      <w:r>
        <w:rPr>
          <w:rFonts w:ascii="Calibri" w:hAnsi="Calibri"/>
          <w:b/>
          <w:color w:val="1AAFCC"/>
          <w:sz w:val="26"/>
        </w:rPr>
        <w:t>Three-Tier Architecture</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Tier</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Component</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Technology</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Port</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Purpose</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**Presentation**</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Streamlit UI</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Streamlit + NVIDIA Dark Theme</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8128</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Interactive 5-tab clinical trial exploration</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**Application**</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FastAPI REST API</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FastAPI + Uvicorn</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8538</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26 endpoints, CORS, rate limiting, auth</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**Data**</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Milvus Vector Store</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Milvus + etcd + MinIO</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19530</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14 collections, BGE-small-en-v1.5 embeddings</w:t>
            </w:r>
          </w:p>
        </w:tc>
      </w:tr>
    </w:tbl>
    <w:p>
      <w:pPr>
        <w:spacing w:before="40" w:after="80"/>
      </w:pPr>
    </w:p>
    <w:p>
      <w:pPr>
        <w:pStyle w:val="Heading2"/>
        <w:spacing w:before="280" w:after="120"/>
      </w:pPr>
      <w:r>
        <w:rPr>
          <w:rFonts w:ascii="Calibri" w:hAnsi="Calibri"/>
          <w:b/>
          <w:color w:val="1AAFCC"/>
          <w:sz w:val="26"/>
        </w:rPr>
        <w:t>System Diagram</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 xml:space="preserve">                    |    Streamlit UI (:8128)     |</w:t>
      </w:r>
    </w:p>
    <w:p>
      <w:pPr>
        <w:spacing w:before="0" w:after="0" w:line="240" w:lineRule="auto"/>
        <w:ind w:left="288"/>
        <w:shd w:val="clear" w:fill="F0F0F0"/>
      </w:pPr>
      <w:r>
        <w:rPr>
          <w:rFonts w:ascii="Courier New" w:hAnsi="Courier New"/>
          <w:color w:val="444444"/>
          <w:sz w:val="18"/>
        </w:rPr>
        <w:t xml:space="preserve">                    |   5 Tabs, NVIDIA Theme      |</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 xml:space="preserve">                                  | HTTP/REST</w:t>
      </w:r>
    </w:p>
    <w:p>
      <w:pPr>
        <w:spacing w:before="0" w:after="0" w:line="240" w:lineRule="auto"/>
        <w:ind w:left="288"/>
        <w:shd w:val="clear" w:fill="F0F0F0"/>
      </w:pPr>
      <w:r>
        <w:rPr>
          <w:rFonts w:ascii="Courier New" w:hAnsi="Courier New"/>
          <w:color w:val="444444"/>
          <w:sz w:val="18"/>
        </w:rPr>
        <w:t xml:space="preserve">                                  v</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 xml:space="preserve">                    |    FastAPI API (:8538)      |</w:t>
      </w:r>
    </w:p>
    <w:p>
      <w:pPr>
        <w:spacing w:before="0" w:after="0" w:line="240" w:lineRule="auto"/>
        <w:ind w:left="288"/>
        <w:shd w:val="clear" w:fill="F0F0F0"/>
      </w:pPr>
      <w:r>
        <w:rPr>
          <w:rFonts w:ascii="Courier New" w:hAnsi="Courier New"/>
          <w:color w:val="444444"/>
          <w:sz w:val="18"/>
        </w:rPr>
        <w:t xml:space="preserve">                    |  26 Endpoints, Auth, CORS   |</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 xml:space="preserve">                        |      |      |      |</w:t>
      </w:r>
    </w:p>
    <w:p>
      <w:pPr>
        <w:spacing w:before="0" w:after="0" w:line="240" w:lineRule="auto"/>
        <w:ind w:left="288"/>
        <w:shd w:val="clear" w:fill="F0F0F0"/>
      </w:pPr>
      <w:r>
        <w:rPr>
          <w:rFonts w:ascii="Courier New" w:hAnsi="Courier New"/>
          <w:color w:val="444444"/>
          <w:sz w:val="18"/>
        </w:rPr>
        <w:t xml:space="preserve">              +---------+  +---+  +---+  +---+--------+</w:t>
      </w:r>
    </w:p>
    <w:p>
      <w:pPr>
        <w:spacing w:before="0" w:after="0" w:line="240" w:lineRule="auto"/>
        <w:ind w:left="288"/>
        <w:shd w:val="clear" w:fill="F0F0F0"/>
      </w:pPr>
      <w:r>
        <w:rPr>
          <w:rFonts w:ascii="Courier New" w:hAnsi="Courier New"/>
          <w:color w:val="444444"/>
          <w:sz w:val="18"/>
        </w:rPr>
        <w:t xml:space="preserve">              v          v       v       v             v</w:t>
      </w:r>
    </w:p>
    <w:p>
      <w:pPr>
        <w:spacing w:before="0" w:after="0" w:line="240" w:lineRule="auto"/>
        <w:ind w:left="288"/>
        <w:shd w:val="clear" w:fill="F0F0F0"/>
      </w:pPr>
      <w:r>
        <w:rPr>
          <w:rFonts w:ascii="Courier New" w:hAnsi="Courier New"/>
          <w:color w:val="444444"/>
          <w:sz w:val="18"/>
        </w:rPr>
        <w:t xml:space="preserve">     +--------+--+ +-----+----+ +---+---+ +---+------+----+</w:t>
      </w:r>
    </w:p>
    <w:p>
      <w:pPr>
        <w:spacing w:before="0" w:after="0" w:line="240" w:lineRule="auto"/>
        <w:ind w:left="288"/>
        <w:shd w:val="clear" w:fill="F0F0F0"/>
      </w:pPr>
      <w:r>
        <w:rPr>
          <w:rFonts w:ascii="Courier New" w:hAnsi="Courier New"/>
          <w:color w:val="444444"/>
          <w:sz w:val="18"/>
        </w:rPr>
        <w:t xml:space="preserve">     | Clinical   | | Decision | | RAG   | | Cross-Agent   |</w:t>
      </w:r>
    </w:p>
    <w:p>
      <w:pPr>
        <w:spacing w:before="0" w:after="0" w:line="240" w:lineRule="auto"/>
        <w:ind w:left="288"/>
        <w:shd w:val="clear" w:fill="F0F0F0"/>
      </w:pPr>
      <w:r>
        <w:rPr>
          <w:rFonts w:ascii="Courier New" w:hAnsi="Courier New"/>
          <w:color w:val="444444"/>
          <w:sz w:val="18"/>
        </w:rPr>
        <w:t xml:space="preserve">     | Workflows  | | Support  | | Engine| | Integration   |</w:t>
      </w:r>
    </w:p>
    <w:p>
      <w:pPr>
        <w:spacing w:before="0" w:after="0" w:line="240" w:lineRule="auto"/>
        <w:ind w:left="288"/>
        <w:shd w:val="clear" w:fill="F0F0F0"/>
      </w:pPr>
      <w:r>
        <w:rPr>
          <w:rFonts w:ascii="Courier New" w:hAnsi="Courier New"/>
          <w:color w:val="444444"/>
          <w:sz w:val="18"/>
        </w:rPr>
        <w:t xml:space="preserve">     | (10 types) | | (5 eng)  | |       | | (4 agents)    |</w:t>
      </w:r>
    </w:p>
    <w:p>
      <w:pPr>
        <w:spacing w:before="0" w:after="0" w:line="240" w:lineRule="auto"/>
        <w:ind w:left="288"/>
        <w:shd w:val="clear" w:fill="F0F0F0"/>
      </w:pPr>
      <w:r>
        <w:rPr>
          <w:rFonts w:ascii="Courier New" w:hAnsi="Courier New"/>
          <w:color w:val="444444"/>
          <w:sz w:val="18"/>
        </w:rPr>
        <w:t xml:space="preserve">     +--------+--+ +----------+ +---+---+ +---------------+</w:t>
      </w:r>
    </w:p>
    <w:p>
      <w:pPr>
        <w:spacing w:before="0" w:after="0" w:line="240" w:lineRule="auto"/>
        <w:ind w:left="288"/>
        <w:shd w:val="clear" w:fill="F0F0F0"/>
      </w:pPr>
      <w:r>
        <w:rPr>
          <w:rFonts w:ascii="Courier New" w:hAnsi="Courier New"/>
          <w:color w:val="444444"/>
          <w:sz w:val="18"/>
        </w:rPr>
        <w:t xml:space="preserve">              |                      |</w:t>
      </w:r>
    </w:p>
    <w:p>
      <w:pPr>
        <w:spacing w:before="0" w:after="0" w:line="240" w:lineRule="auto"/>
        <w:ind w:left="288"/>
        <w:shd w:val="clear" w:fill="F0F0F0"/>
      </w:pPr>
      <w:r>
        <w:rPr>
          <w:rFonts w:ascii="Courier New" w:hAnsi="Courier New"/>
          <w:color w:val="444444"/>
          <w:sz w:val="18"/>
        </w:rPr>
        <w:t xml:space="preserve">              v                      v</w:t>
      </w:r>
    </w:p>
    <w:p>
      <w:pPr>
        <w:spacing w:before="0" w:after="0" w:line="240" w:lineRule="auto"/>
        <w:ind w:left="288"/>
        <w:shd w:val="clear" w:fill="F0F0F0"/>
      </w:pPr>
      <w:r>
        <w:rPr>
          <w:rFonts w:ascii="Courier New" w:hAnsi="Courier New"/>
          <w:color w:val="444444"/>
          <w:sz w:val="18"/>
        </w:rPr>
        <w:t xml:space="preserve">     +--------+--+          +--------+--------+</w:t>
      </w:r>
    </w:p>
    <w:p>
      <w:pPr>
        <w:spacing w:before="0" w:after="0" w:line="240" w:lineRule="auto"/>
        <w:ind w:left="288"/>
        <w:shd w:val="clear" w:fill="F0F0F0"/>
      </w:pPr>
      <w:r>
        <w:rPr>
          <w:rFonts w:ascii="Courier New" w:hAnsi="Courier New"/>
          <w:color w:val="444444"/>
          <w:sz w:val="18"/>
        </w:rPr>
        <w:t xml:space="preserve">     | Knowledge  |          | Milvus (:19530)  |</w:t>
      </w:r>
    </w:p>
    <w:p>
      <w:pPr>
        <w:spacing w:before="0" w:after="0" w:line="240" w:lineRule="auto"/>
        <w:ind w:left="288"/>
        <w:shd w:val="clear" w:fill="F0F0F0"/>
      </w:pPr>
      <w:r>
        <w:rPr>
          <w:rFonts w:ascii="Courier New" w:hAnsi="Courier New"/>
          <w:color w:val="444444"/>
          <w:sz w:val="18"/>
        </w:rPr>
        <w:t xml:space="preserve">     | Base       |          | 14 Collections   |</w:t>
      </w:r>
    </w:p>
    <w:p>
      <w:pPr>
        <w:spacing w:before="0" w:after="0" w:line="240" w:lineRule="auto"/>
        <w:ind w:left="288"/>
        <w:shd w:val="clear" w:fill="F0F0F0"/>
      </w:pPr>
      <w:r>
        <w:rPr>
          <w:rFonts w:ascii="Courier New" w:hAnsi="Courier New"/>
          <w:color w:val="444444"/>
          <w:sz w:val="18"/>
        </w:rPr>
        <w:t xml:space="preserve">     | (40 trials |          | IVF_FLAT/COSINE  |</w:t>
      </w:r>
    </w:p>
    <w:p>
      <w:pPr>
        <w:spacing w:before="0" w:after="0" w:line="240" w:lineRule="auto"/>
        <w:ind w:left="288"/>
        <w:shd w:val="clear" w:fill="F0F0F0"/>
      </w:pPr>
      <w:r>
        <w:rPr>
          <w:rFonts w:ascii="Courier New" w:hAnsi="Courier New"/>
          <w:color w:val="444444"/>
          <w:sz w:val="18"/>
        </w:rPr>
        <w:t xml:space="preserve">     |  13 areas) |          | 384-dim BGE      |</w:t>
      </w:r>
    </w:p>
    <w:p>
      <w:pPr>
        <w:spacing w:before="0" w:after="0" w:line="240" w:lineRule="auto"/>
        <w:ind w:left="288"/>
        <w:shd w:val="clear" w:fill="F0F0F0"/>
      </w:pPr>
      <w:r>
        <w:rPr>
          <w:rFonts w:ascii="Courier New" w:hAnsi="Courier New"/>
          <w:color w:val="444444"/>
          <w:sz w:val="18"/>
        </w:rPr>
        <w:t xml:space="preserve">     +------------+          +---------+--------+</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 xml:space="preserve">                             |    etcd + MinIO    |</w:t>
      </w:r>
    </w:p>
    <w:p>
      <w:pPr>
        <w:spacing w:before="0" w:after="0" w:line="240" w:lineRule="auto"/>
        <w:ind w:left="288"/>
        <w:shd w:val="clear" w:fill="F0F0F0"/>
      </w:pPr>
      <w:r>
        <w:rPr>
          <w:rFonts w:ascii="Courier New" w:hAnsi="Courier New"/>
          <w:color w:val="444444"/>
          <w:sz w:val="18"/>
        </w:rPr>
        <w:t xml:space="preserve">                             | (metadata + blobs) |</w:t>
      </w:r>
    </w:p>
    <w:p>
      <w:pPr>
        <w:spacing w:before="0" w:after="0" w:line="240" w:lineRule="auto"/>
        <w:ind w:left="288"/>
        <w:shd w:val="clear" w:fill="F0F0F0"/>
      </w:pPr>
      <w:r>
        <w:rPr>
          <w:rFonts w:ascii="Courier New" w:hAnsi="Courier New"/>
          <w:color w:val="444444"/>
          <w:sz w:val="18"/>
        </w:rPr>
        <w:t xml:space="preserve">                             +-------------------+</w:t>
      </w:r>
    </w:p>
    <w:p>
      <w:pPr>
        <w:pStyle w:val="Heading2"/>
        <w:spacing w:before="280" w:after="120"/>
      </w:pPr>
      <w:r>
        <w:rPr>
          <w:rFonts w:ascii="Calibri" w:hAnsi="Calibri"/>
          <w:b/>
          <w:color w:val="1AAFCC"/>
          <w:sz w:val="26"/>
        </w:rPr>
        <w:t>Component Map</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File</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LOC</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Purpose</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`src/clinical_workflows.py`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2,606</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10 clinical trial workflows with preprocess/execute/postprocess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`src/knowledge.py`</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1,929</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Domain knowledge: 40 trials, 13 areas, 9 agencies, phases, designs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`src/agent.py`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1,678</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Autonomous reasoning: plan, search, evaluate, synthesize</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`src/rag_engine.py`</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1,555</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Multi-collection RAG with weighted retrieval</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`src/collections.py`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1,221</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14 Milvus collection schemas (IVF_FLAT/COSINE/384-dim)</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`src/query_expansion.py`</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1,150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10 synonym maps, 140 entity aliases, workflow-aware boosting</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`api/routes/trial_clinical.py`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1,079</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22 trial-specific API endpoints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`src/ingest/clinicaltrials_parser.py`</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802</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ClinicalTrials.gov XML/JSON parser</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`src/decision_support.py`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731</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5 decision support engines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`src/export.py`</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725</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Multi-format report export (Markdown, JSON, PDF)</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`app/trial_ui.py`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692</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5-tab Streamlit UI with NVIDIA dark theme</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`api/main.py`</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615</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FastAPI app factory, CORS, health, metrics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`src/scheduler.py`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577</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Scheduled ingest and collection maintenance</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`src/metrics.py`</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525</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Prometheus-compatible metrics (20+ metrics)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`src/ingest/regulatory_parser.py`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505</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FDA/EMA/ICH regulatory document parser</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`src/models.py`</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496</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Pydantic models, enums, type-safe data contracts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`src/ingest/pubmed_parser.py`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376</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PubMed/MEDLINE literature parser</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`src/cross_modal.py`</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358</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Cross-agent query and integration</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`scripts/setup_collections.py`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328</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Collection creation and index management</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`api/routes/reports.py`</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312</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Report generation and export endpoints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`api/routes/events.py`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269</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SSE event stream and event health</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`scripts/seed_knowledge.py`</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277</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Knowledge base seeding from domain data</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`src/ingest/base.py`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228</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Base ingest pipeline with validation</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`config/settings.py`</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182</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Pydantic BaseSettings configuration</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`scripts/run_ingest.py`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142</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CLI entry point for ingest pipeline</w:t>
            </w:r>
          </w:p>
        </w:tc>
      </w:tr>
    </w:tbl>
    <w:p>
      <w:pPr>
        <w:spacing w:before="40" w:after="80"/>
      </w:pPr>
    </w:p>
    <w:p>
      <w:pPr>
        <w:spacing w:before="80" w:after="80"/>
        <w:pBdr>
          <w:bottom w:val="single" w:sz="6" w:color="1AAFCC"/>
        </w:pBdr>
      </w:pPr>
    </w:p>
    <w:p>
      <w:pPr>
        <w:pStyle w:val="Heading1"/>
        <w:spacing w:before="400" w:after="160"/>
      </w:pPr>
      <w:r>
        <w:rPr>
          <w:rFonts w:ascii="Calibri" w:hAnsi="Calibri"/>
          <w:b/>
          <w:color w:val="1B2333"/>
          <w:sz w:val="32"/>
        </w:rPr>
        <w:t>3. Knowledge Graph</w:t>
      </w:r>
    </w:p>
    <w:p>
      <w:pPr>
        <w:pStyle w:val="Heading2"/>
        <w:spacing w:before="280" w:after="120"/>
      </w:pPr>
      <w:r>
        <w:rPr>
          <w:rFonts w:ascii="Calibri" w:hAnsi="Calibri"/>
          <w:b/>
          <w:color w:val="1AAFCC"/>
          <w:sz w:val="26"/>
        </w:rPr>
        <w:t>3.1 Therapeutic Areas (13)</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Area</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Key Indications</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Phase 3 Success Rate</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Key Biomarkers</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Oncology</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NSCLC, breast, CRC, melanoma, AML, MM</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36%</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PD-L1, TMB, MSI-H, HER2, EGFR, ALK, BRCA</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Cardiovascular</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HF, ACS, AF, hypertension, PAH</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35%</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NT-proBNP, troponin, LDL-C, Lp(a), hsCRP</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Neuroscience</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AD, PD, MS, MDD, epilepsy, migraine</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28%</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amyloid PET, tau PET, NfL, p-tau217</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Immunology</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RA, psoriasis, IBD, SLE, atopic dermatitis</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40%</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CRP, ESR, anti-CCP, RF, ANA, IL-6</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Infectious Disease</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HIV, HBV, HCV, COVID-19, RSV, AMR</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58%</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viral load, CD4, seroconversion, PCR, MIC</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Rare Diseases</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SMA, DMD, CF, sickle cell, hemophilia</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45%</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genetic mutation status, enzyme activity</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Metabolic</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T2DM, obesity, NASH/MASH, dyslipidemia</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42%</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HbA1c, FPG, BMI, ALT/AST, LDL-C</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Respiratory</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asthma, COPD, IPF, PAH</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39%</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FEV1, eosinophils, FeNO, IgE, FVC</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Hematology</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AML, CLL, MM, MDS, sickle cell</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41%</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MRD, CR rate, transfusion independence</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Gastroenterology</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Crohn's, UC, GERD, NASH/MASH</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38%</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fecal calprotectin, CRP, endoscopic scores</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Dermatology</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atopic dermatitis, psoriasis, alopecia</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44%</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EASI, PASI, IGA, BSA, DLQI</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Ophthalmology</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AMD, DME, glaucoma, dry eye</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43%</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BCVA, CRT, IOP, GA lesion area</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Gene/Cell Therapy</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SMA, hemophilia, CAR-T, retinal dystrophy</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40%</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transgene expression, T-cell expansion</w:t>
            </w:r>
          </w:p>
        </w:tc>
      </w:tr>
    </w:tbl>
    <w:p>
      <w:pPr>
        <w:spacing w:before="40" w:after="80"/>
      </w:pPr>
    </w:p>
    <w:p>
      <w:pPr>
        <w:pStyle w:val="Heading2"/>
        <w:spacing w:before="280" w:after="120"/>
      </w:pPr>
      <w:r>
        <w:rPr>
          <w:rFonts w:ascii="Calibri" w:hAnsi="Calibri"/>
          <w:b/>
          <w:color w:val="1AAFCC"/>
          <w:sz w:val="26"/>
        </w:rPr>
        <w:t>3.2 Trial Phases (7)</w:t>
      </w:r>
    </w:p>
    <w:p>
      <w:pPr>
        <w:spacing w:before="0" w:after="120"/>
      </w:pPr>
      <w:r>
        <w:rPr>
          <w:rFonts w:ascii="Calibri" w:hAnsi="Calibri"/>
          <w:color w:val="333333"/>
          <w:sz w:val="20"/>
        </w:rPr>
        <w:t>Preclinical, Phase 0 (Exploratory IND), Phase 1, Phase 2, Phase 3 (Pivotal), Phase 4 (Post-Marketing), and Expanded Access / Compassionate Use -- each with typical duration, enrollment ranges, primary objectives, key endpoints, and regulatory requirements.</w:t>
      </w:r>
    </w:p>
    <w:p>
      <w:pPr>
        <w:pStyle w:val="Heading2"/>
        <w:spacing w:before="280" w:after="120"/>
      </w:pPr>
      <w:r>
        <w:rPr>
          <w:rFonts w:ascii="Calibri" w:hAnsi="Calibri"/>
          <w:b/>
          <w:color w:val="1AAFCC"/>
          <w:sz w:val="26"/>
        </w:rPr>
        <w:t>3.3 Regulatory Agencies (9)</w:t>
      </w:r>
    </w:p>
    <w:p>
      <w:pPr>
        <w:spacing w:before="0" w:after="120"/>
      </w:pPr>
      <w:r>
        <w:rPr>
          <w:rFonts w:ascii="Calibri" w:hAnsi="Calibri"/>
          <w:color w:val="333333"/>
          <w:sz w:val="20"/>
        </w:rPr>
        <w:t>FDA, EMA, PMDA, Health Canada, TGA, MHRA, NMPA, Swissmedic, ANVISA -- each with approval pathways, review timelines, key requirements, and expedited programs.</w:t>
      </w:r>
    </w:p>
    <w:p>
      <w:pPr>
        <w:pStyle w:val="Heading2"/>
        <w:spacing w:before="280" w:after="120"/>
      </w:pPr>
      <w:r>
        <w:rPr>
          <w:rFonts w:ascii="Calibri" w:hAnsi="Calibri"/>
          <w:b/>
          <w:color w:val="1AAFCC"/>
          <w:sz w:val="26"/>
        </w:rPr>
        <w:t>3.4 Landmark Trials (40)</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Trial</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Phase</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Indication</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Key Finding</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KEYNOTE-024</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Phase 3</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NSCLC (PD-L1 high)</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Pembrolizumab PFS HR 0.50; first-line IO monotherapy</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EMPEROR-Reduced</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Phase 3</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HFrEF</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Empagliflozin reduced CV death/HF hosp by 25%</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RECOVERY</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Phase 2/3</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COVID-19</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Dexamethasone reduced mortality by 1/3 in ventilated; largest platform trial</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PARADIGM-HF</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Phase 3</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HFrEF</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ARNI 20% reduction vs ACEi; new HF standard</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CheckMate-067</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Phase 3</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Melanoma</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Nivo+Ipi 52% 5-year OS; combination IO paradigm</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SPRINT</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Phase 3</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Hypertension</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Intensive BP control 25% MACE reduction</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EMPA-REG OUTCOME</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Phase 3</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T2DM + CVD</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First diabetes drug with CV mortality benefit</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DAPA-CKD</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Phase 3</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CKD</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SGLT2i to non-diabetic CKD; HR 0.61</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HIMALAYA</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Phase 3</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HCC</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STRIDE single anti-CTLA-4 priming dose</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DESTINY-Breast04</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Phase 3</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HER2-low breast</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T-DXd created new targetable population</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CLARITY-AD</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Phase 3</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Early AD</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Lecanemab 27% CDR-SB reduction; amyloid validation</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FOURIER</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Phase 3</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ASCVD</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PCSK9 inhibition reduces CV events</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FLAURA</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Phase 3</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EGFR+ NSCLC</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Osimertinib first-line; OS benefit</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ADAURA</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Phase 3</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EGFR+ NSCLC (adj)</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Adjuvant osimertinib DFS benefit</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I-SPY 2</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Phase 2</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Breast cancer</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Bayesian adaptive randomization platform</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VICTORIA</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Phase 3</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Worsening HF</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Vericiguat added to HF armamentarium</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DESTINY-Lung02</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Phase 2</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HER2+ NSCLC</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ADC in non-breast HER2+ tumors</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CLEAR Outcomes</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Phase 3</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CV risk</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Bempedoic acid MACE reduction</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SELECT</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Phase 3</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Overweight + CVD</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Semaglutide 20% MACE reduction</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STEP HFpEF</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Phase 3</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HFpEF + obesity</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Semaglutide improved symptoms/function</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SURMOUNT-1</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Phase 3</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Obesity</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Tirzepatide 22.5% weight loss</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CASGEVY</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Regulatory</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SCD/TDT</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First CRISPR gene therapy approved</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DAPA-HF</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Phase 3</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HFrEF</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Dapagliflozin HF benefit regardless of diabetes</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*...and 17 more*</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r>
          </w:p>
        </w:tc>
      </w:tr>
    </w:tbl>
    <w:p>
      <w:pPr>
        <w:spacing w:before="40" w:after="80"/>
      </w:pPr>
    </w:p>
    <w:p>
      <w:pPr>
        <w:spacing w:before="80" w:after="80"/>
        <w:pBdr>
          <w:bottom w:val="single" w:sz="6" w:color="1AAFCC"/>
        </w:pBdr>
      </w:pPr>
    </w:p>
    <w:p>
      <w:pPr>
        <w:pStyle w:val="Heading1"/>
        <w:spacing w:before="400" w:after="160"/>
      </w:pPr>
      <w:r>
        <w:rPr>
          <w:rFonts w:ascii="Calibri" w:hAnsi="Calibri"/>
          <w:b/>
          <w:color w:val="1B2333"/>
          <w:sz w:val="32"/>
        </w:rPr>
        <w:t>4. Clinical Workflows</w:t>
      </w:r>
    </w:p>
    <w:p>
      <w:pPr>
        <w:spacing w:before="0" w:after="120"/>
      </w:pPr>
      <w:r>
        <w:rPr>
          <w:rFonts w:ascii="Calibri" w:hAnsi="Calibri"/>
          <w:color w:val="333333"/>
          <w:sz w:val="20"/>
        </w:rPr>
        <w:t xml:space="preserve">The agent implements 10 clinical trial workflows, each following the </w:t>
      </w:r>
      <w:r>
        <w:rPr>
          <w:rFonts w:ascii="Courier New" w:hAnsi="Courier New"/>
          <w:color w:val="444444"/>
          <w:sz w:val="18"/>
        </w:rPr>
        <w:t>BaseTrialWorkflow</w:t>
      </w:r>
      <w:r>
        <w:rPr>
          <w:rFonts w:ascii="Calibri" w:hAnsi="Calibri"/>
          <w:color w:val="333333"/>
          <w:sz w:val="20"/>
        </w:rPr>
        <w:t xml:space="preserve"> contract: </w:t>
      </w:r>
      <w:r>
        <w:rPr>
          <w:rFonts w:ascii="Courier New" w:hAnsi="Courier New"/>
          <w:color w:val="444444"/>
          <w:sz w:val="18"/>
        </w:rPr>
        <w:t>preprocess</w:t>
      </w:r>
      <w:r>
        <w:rPr>
          <w:rFonts w:ascii="Calibri" w:hAnsi="Calibri"/>
          <w:color w:val="333333"/>
          <w:sz w:val="20"/>
        </w:rPr>
        <w:t xml:space="preserve"> (validate/normalize inputs), </w:t>
      </w:r>
      <w:r>
        <w:rPr>
          <w:rFonts w:ascii="Courier New" w:hAnsi="Courier New"/>
          <w:color w:val="444444"/>
          <w:sz w:val="18"/>
        </w:rPr>
        <w:t>execute</w:t>
      </w:r>
      <w:r>
        <w:rPr>
          <w:rFonts w:ascii="Calibri" w:hAnsi="Calibri"/>
          <w:color w:val="333333"/>
          <w:sz w:val="20"/>
        </w:rPr>
        <w:t xml:space="preserve"> (core logic), </w:t>
      </w:r>
      <w:r>
        <w:rPr>
          <w:rFonts w:ascii="Courier New" w:hAnsi="Courier New"/>
          <w:color w:val="444444"/>
          <w:sz w:val="18"/>
        </w:rPr>
        <w:t>postprocess</w:t>
      </w:r>
      <w:r>
        <w:rPr>
          <w:rFonts w:ascii="Calibri" w:hAnsi="Calibri"/>
          <w:color w:val="333333"/>
          <w:sz w:val="20"/>
        </w:rPr>
        <w:t xml:space="preserve"> (enrich results). All workflows are registered in the </w:t>
      </w:r>
      <w:r>
        <w:rPr>
          <w:rFonts w:ascii="Courier New" w:hAnsi="Courier New"/>
          <w:color w:val="444444"/>
          <w:sz w:val="18"/>
        </w:rPr>
        <w:t>WorkflowEngine</w:t>
      </w:r>
      <w:r>
        <w:rPr>
          <w:rFonts w:ascii="Calibri" w:hAnsi="Calibri"/>
          <w:color w:val="333333"/>
          <w:sz w:val="20"/>
        </w:rPr>
        <w:t xml:space="preserve"> for unified dispatch.</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Workflow</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Type</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Key Outputs</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Protocol Design</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`protocol_design`</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Protocol blueprint, endpoint selection, sample size, comparator strategy</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Patient Matching</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`patient_matching`</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Per-criterion match scores, overall match, site proximity</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3</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Site Selection</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`site_selection`</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Site scoring (enrollment rate, diversity, screen failure), ranked list</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4</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Eligibility Optimization</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`eligibility_optimization`</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Population impact analysis, broaden/retain recommendations</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5</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Adaptive Design</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`adaptive_design`</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Design type selection, interim analysis plan, regulatory precedent</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6</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Safety Signal Detection</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`safety_signal`</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AE frequency analysis, PRR/ROR, severity classification, DSMB alerts</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7</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Regulatory Documents</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`regulatory_docs`</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IND/CSR/briefing/DSUR draft generation, agency-specific formatting</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8</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Competitive Intelligence</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`competitive_intel`</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Threat scoring, enrollment tracking, mechanism comparison</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9</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Diversity Assessment</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`diversity_assessment`</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Demographic gap analysis, site recommendations, FDA FDORA compliance</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10</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Decentralized Planning</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`decentralized_planning`</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DCT component assessment, regulatory feasibility, patient preference</w:t>
            </w:r>
          </w:p>
        </w:tc>
      </w:tr>
    </w:tbl>
    <w:p>
      <w:pPr>
        <w:spacing w:before="40" w:after="80"/>
      </w:pPr>
    </w:p>
    <w:p>
      <w:pPr>
        <w:pStyle w:val="Heading2"/>
        <w:spacing w:before="280" w:after="120"/>
      </w:pPr>
      <w:r>
        <w:rPr>
          <w:rFonts w:ascii="Calibri" w:hAnsi="Calibri"/>
          <w:b/>
          <w:color w:val="1AAFCC"/>
          <w:sz w:val="26"/>
        </w:rPr>
        <w:t>Workflow-Specific Collection Weights</w:t>
      </w:r>
    </w:p>
    <w:p>
      <w:pPr>
        <w:spacing w:before="0" w:after="120"/>
      </w:pPr>
      <w:r>
        <w:rPr>
          <w:rFonts w:ascii="Calibri" w:hAnsi="Calibri"/>
          <w:color w:val="333333"/>
          <w:sz w:val="20"/>
        </w:rPr>
        <w:t xml:space="preserve">Each workflow applies custom search weights to prioritize the most relevant collections. For example, Patient Matching boosts </w:t>
      </w:r>
      <w:r>
        <w:rPr>
          <w:rFonts w:ascii="Courier New" w:hAnsi="Courier New"/>
          <w:color w:val="444444"/>
          <w:sz w:val="18"/>
        </w:rPr>
        <w:t>trial_eligibility</w:t>
      </w:r>
      <w:r>
        <w:rPr>
          <w:rFonts w:ascii="Calibri" w:hAnsi="Calibri"/>
          <w:color w:val="333333"/>
          <w:sz w:val="20"/>
        </w:rPr>
        <w:t xml:space="preserve"> to 0.25, while Safety Signal Detection boosts </w:t>
      </w:r>
      <w:r>
        <w:rPr>
          <w:rFonts w:ascii="Courier New" w:hAnsi="Courier New"/>
          <w:color w:val="444444"/>
          <w:sz w:val="18"/>
        </w:rPr>
        <w:t>trial_safety</w:t>
      </w:r>
      <w:r>
        <w:rPr>
          <w:rFonts w:ascii="Calibri" w:hAnsi="Calibri"/>
          <w:color w:val="333333"/>
          <w:sz w:val="20"/>
        </w:rPr>
        <w:t xml:space="preserve"> to 0.25. All 14 collections are searched for every workflow, but the weight distribution ensures domain-relevant evidence surfaces first.</w:t>
      </w:r>
    </w:p>
    <w:p>
      <w:pPr>
        <w:spacing w:before="80" w:after="80"/>
        <w:pBdr>
          <w:bottom w:val="single" w:sz="6" w:color="1AAFCC"/>
        </w:pBdr>
      </w:pPr>
    </w:p>
    <w:p>
      <w:pPr>
        <w:pStyle w:val="Heading1"/>
        <w:spacing w:before="400" w:after="160"/>
      </w:pPr>
      <w:r>
        <w:rPr>
          <w:rFonts w:ascii="Calibri" w:hAnsi="Calibri"/>
          <w:b/>
          <w:color w:val="1B2333"/>
          <w:sz w:val="32"/>
        </w:rPr>
        <w:t>5. Decision Support Engines</w:t>
      </w:r>
    </w:p>
    <w:p>
      <w:pPr>
        <w:pStyle w:val="Heading2"/>
        <w:spacing w:before="280" w:after="120"/>
      </w:pPr>
      <w:r>
        <w:rPr>
          <w:rFonts w:ascii="Calibri" w:hAnsi="Calibri"/>
          <w:b/>
          <w:color w:val="1AAFCC"/>
          <w:sz w:val="26"/>
        </w:rPr>
        <w:t>5.1 Confidence Calibrator</w:t>
      </w:r>
    </w:p>
    <w:p>
      <w:pPr>
        <w:spacing w:before="0" w:after="120"/>
      </w:pPr>
      <w:r>
        <w:rPr>
          <w:rFonts w:ascii="Calibri" w:hAnsi="Calibri"/>
          <w:color w:val="333333"/>
          <w:sz w:val="20"/>
        </w:rPr>
        <w:t>Multi-factor calibration model combining raw confidence (0.30), evidence base (0.30), document factor with logarithmic scaling (0.20), and cross-agent agreement (0.20). Evidence levels map from A1 (systematic review of RCTs, 1.0) through E (expert opinion, 0.15).</w:t>
      </w:r>
    </w:p>
    <w:p>
      <w:pPr>
        <w:pStyle w:val="Heading2"/>
        <w:spacing w:before="280" w:after="120"/>
      </w:pPr>
      <w:r>
        <w:rPr>
          <w:rFonts w:ascii="Calibri" w:hAnsi="Calibri"/>
          <w:b/>
          <w:color w:val="1AAFCC"/>
          <w:sz w:val="26"/>
        </w:rPr>
        <w:t>5.2 Protocol Complexity Scorer</w:t>
      </w:r>
    </w:p>
    <w:p>
      <w:pPr>
        <w:spacing w:before="0" w:after="120"/>
      </w:pPr>
      <w:r>
        <w:rPr>
          <w:rFonts w:ascii="Calibri" w:hAnsi="Calibri"/>
          <w:color w:val="333333"/>
          <w:sz w:val="20"/>
        </w:rPr>
        <w:t>Five-dimension scoring against Tufts CSDD industry benchmarks: procedure count (normalized by 50), visit frequency (normalized by 36), endpoint count (normalized by 20), eligibility criteria count (normalized by 40), and amendment count (normalized by 5). Weighted composite with percentile ranking.</w:t>
      </w:r>
    </w:p>
    <w:p>
      <w:pPr>
        <w:pStyle w:val="Heading2"/>
        <w:spacing w:before="280" w:after="120"/>
      </w:pPr>
      <w:r>
        <w:rPr>
          <w:rFonts w:ascii="Calibri" w:hAnsi="Calibri"/>
          <w:b/>
          <w:color w:val="1AAFCC"/>
          <w:sz w:val="26"/>
        </w:rPr>
        <w:t>5.3 Enrollment Predictor</w:t>
      </w:r>
    </w:p>
    <w:p>
      <w:pPr>
        <w:spacing w:before="0" w:after="120"/>
      </w:pPr>
      <w:r>
        <w:rPr>
          <w:rFonts w:ascii="Calibri" w:hAnsi="Calibri"/>
          <w:color w:val="333333"/>
          <w:sz w:val="20"/>
        </w:rPr>
        <w:t>Predicts monthly enrollment rate using: historical baseline rate, disease prevalence factor (rare=0.4 to common=1.2), competition factor (crowded=0.5 to no competition=1.2), capacity factor (staff-to-capacity ratio), phase factor (Phase I=0.6 to Phase IV=1.1), and eligibility stringency penalty (up to 40% reduction).</w:t>
      </w:r>
    </w:p>
    <w:p>
      <w:pPr>
        <w:pStyle w:val="Heading2"/>
        <w:spacing w:before="280" w:after="120"/>
      </w:pPr>
      <w:r>
        <w:rPr>
          <w:rFonts w:ascii="Calibri" w:hAnsi="Calibri"/>
          <w:b/>
          <w:color w:val="1AAFCC"/>
          <w:sz w:val="26"/>
        </w:rPr>
        <w:t>5.4 Eligibility Analyzer</w:t>
      </w:r>
    </w:p>
    <w:p>
      <w:pPr>
        <w:spacing w:before="0" w:after="120"/>
      </w:pPr>
      <w:r>
        <w:rPr>
          <w:rFonts w:ascii="Calibri" w:hAnsi="Calibri"/>
          <w:color w:val="333333"/>
          <w:sz w:val="20"/>
        </w:rPr>
        <w:t>Analyzes each eligibility criterion against 29 restrictive patterns with population exclusion estimates (e.g., "prior CAR-T" = 85%, "pregnancy or lactation" = 50%, "ECOG 0" = 40%). Assesses scientific justification strength and generates BROADEN/REVIEW/RETAIN recommendations with competitor comparison.</w:t>
      </w:r>
    </w:p>
    <w:p>
      <w:pPr>
        <w:pStyle w:val="Heading2"/>
        <w:spacing w:before="280" w:after="120"/>
      </w:pPr>
      <w:r>
        <w:rPr>
          <w:rFonts w:ascii="Calibri" w:hAnsi="Calibri"/>
          <w:b/>
          <w:color w:val="1AAFCC"/>
          <w:sz w:val="26"/>
        </w:rPr>
        <w:t>5.5 Competitive Threat Scorer</w:t>
      </w:r>
    </w:p>
    <w:p>
      <w:pPr>
        <w:spacing w:before="0" w:after="120"/>
      </w:pPr>
      <w:r>
        <w:rPr>
          <w:rFonts w:ascii="Calibri" w:hAnsi="Calibri"/>
          <w:color w:val="333333"/>
          <w:sz w:val="20"/>
        </w:rPr>
        <w:t>Four-factor threat model: phase advancement (0.30), enrollment progress (0.25), sponsor resources (0.20), and mechanism differentiation (0.25). Classifies threats as critical (&gt;=0.80), high (&gt;=0.60), moderate (&gt;=0.40), low (&gt;=0.20), or minimal.</w:t>
      </w:r>
    </w:p>
    <w:p>
      <w:pPr>
        <w:pStyle w:val="Heading2"/>
        <w:spacing w:before="280" w:after="120"/>
      </w:pPr>
      <w:r>
        <w:rPr>
          <w:rFonts w:ascii="Calibri" w:hAnsi="Calibri"/>
          <w:b/>
          <w:color w:val="1AAFCC"/>
          <w:sz w:val="26"/>
        </w:rPr>
        <w:t>5.6 Historical Success Rate Estimator</w:t>
      </w:r>
    </w:p>
    <w:p>
      <w:pPr>
        <w:spacing w:before="0" w:after="120"/>
      </w:pPr>
      <w:r>
        <w:rPr>
          <w:rFonts w:ascii="Calibri" w:hAnsi="Calibri"/>
          <w:color w:val="333333"/>
          <w:sz w:val="20"/>
        </w:rPr>
        <w:t>Phase-specific success rates across 12 therapeutic areas from BIO/QLS Advisors data, plus cumulative probability-of-success estimation from current phase to approval.</w:t>
      </w:r>
    </w:p>
    <w:p>
      <w:pPr>
        <w:pStyle w:val="Heading2"/>
        <w:spacing w:before="280" w:after="120"/>
      </w:pPr>
      <w:r>
        <w:rPr>
          <w:rFonts w:ascii="Calibri" w:hAnsi="Calibri"/>
          <w:b/>
          <w:color w:val="1AAFCC"/>
          <w:sz w:val="26"/>
        </w:rPr>
        <w:t>5.7 Confidence Calibration Formula (Detail)</w:t>
      </w:r>
    </w:p>
    <w:p>
      <w:pPr>
        <w:spacing w:before="0" w:after="120"/>
      </w:pPr>
      <w:r>
        <w:rPr>
          <w:rFonts w:ascii="Calibri" w:hAnsi="Calibri"/>
          <w:color w:val="333333"/>
          <w:sz w:val="20"/>
        </w:rPr>
        <w:t xml:space="preserve">The </w:t>
      </w:r>
      <w:r>
        <w:rPr>
          <w:rFonts w:ascii="Courier New" w:hAnsi="Courier New"/>
          <w:color w:val="444444"/>
          <w:sz w:val="18"/>
        </w:rPr>
        <w:t>ConfidenceCalibrator</w:t>
      </w:r>
      <w:r>
        <w:rPr>
          <w:rFonts w:ascii="Calibri" w:hAnsi="Calibri"/>
          <w:color w:val="333333"/>
          <w:sz w:val="20"/>
        </w:rPr>
        <w:t xml:space="preserve"> produces a calibrated confidence score in the range [0.0, 1.0] using a weighted four-factor model:</w:t>
      </w:r>
    </w:p>
    <w:p>
      <w:pPr>
        <w:spacing w:before="0" w:after="0" w:line="240" w:lineRule="auto"/>
        <w:ind w:left="288"/>
        <w:shd w:val="clear" w:fill="F0F0F0"/>
      </w:pPr>
      <w:r>
        <w:rPr>
          <w:rFonts w:ascii="Courier New" w:hAnsi="Courier New"/>
          <w:color w:val="444444"/>
          <w:sz w:val="18"/>
        </w:rPr>
        <w:t>calibrated = 0.30 * raw_confidence</w:t>
      </w:r>
    </w:p>
    <w:p>
      <w:pPr>
        <w:spacing w:before="0" w:after="0" w:line="240" w:lineRule="auto"/>
        <w:ind w:left="288"/>
        <w:shd w:val="clear" w:fill="F0F0F0"/>
      </w:pPr>
      <w:r>
        <w:rPr>
          <w:rFonts w:ascii="Courier New" w:hAnsi="Courier New"/>
          <w:color w:val="444444"/>
          <w:sz w:val="18"/>
        </w:rPr>
        <w:t xml:space="preserve">           + 0.30 * evidence_base</w:t>
      </w:r>
    </w:p>
    <w:p>
      <w:pPr>
        <w:spacing w:before="0" w:after="0" w:line="240" w:lineRule="auto"/>
        <w:ind w:left="288"/>
        <w:shd w:val="clear" w:fill="F0F0F0"/>
      </w:pPr>
      <w:r>
        <w:rPr>
          <w:rFonts w:ascii="Courier New" w:hAnsi="Courier New"/>
          <w:color w:val="444444"/>
          <w:sz w:val="18"/>
        </w:rPr>
        <w:t xml:space="preserve">           + 0.20 * doc_factor</w:t>
      </w:r>
    </w:p>
    <w:p>
      <w:pPr>
        <w:spacing w:before="0" w:after="0" w:line="240" w:lineRule="auto"/>
        <w:ind w:left="288"/>
        <w:shd w:val="clear" w:fill="F0F0F0"/>
      </w:pPr>
      <w:r>
        <w:rPr>
          <w:rFonts w:ascii="Courier New" w:hAnsi="Courier New"/>
          <w:color w:val="444444"/>
          <w:sz w:val="18"/>
        </w:rPr>
        <w:t xml:space="preserve">           + 0.20 * agreement_factor</w:t>
      </w:r>
    </w:p>
    <w:p>
      <w:pPr>
        <w:spacing w:before="0" w:after="120"/>
      </w:pPr>
      <w:r>
        <w:rPr>
          <w:rFonts w:ascii="Calibri" w:hAnsi="Calibri"/>
          <w:b/>
          <w:color w:val="333333"/>
          <w:sz w:val="20"/>
        </w:rPr>
        <w:t>Factor definitions: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Factor</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Weight</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Source</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Range</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`raw_confidence`</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0.30</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Workflow or model output</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0.0 - 1.0</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`evidence_base`</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0.30</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Evidence level lookup (see below)</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0.0 - 1.0</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`doc_factor`</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0.20</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Logarithmic scaling: `log(n_docs + 1) / log(12)`</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0.0 - 1.0</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`agreement_factor`</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0.20</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Cross-agent agreement score</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0.0 - 1.0</w:t>
            </w:r>
          </w:p>
        </w:tc>
      </w:tr>
    </w:tbl>
    <w:p>
      <w:pPr>
        <w:spacing w:before="40" w:after="80"/>
      </w:pPr>
    </w:p>
    <w:p>
      <w:pPr>
        <w:spacing w:before="0" w:after="120"/>
      </w:pPr>
      <w:r>
        <w:rPr>
          <w:rFonts w:ascii="Calibri" w:hAnsi="Calibri"/>
          <w:b/>
          <w:color w:val="333333"/>
          <w:sz w:val="20"/>
        </w:rPr>
        <w:t>Evidence level numeric mapping:</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Level</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Description</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Score</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A1</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Systematic review of RCTs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1.00</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A2</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High-quality RCT</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0.85</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B</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Non-randomized controlled study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0.65</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Observational study</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0.45</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D</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Case series / case report</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0.25</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E</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Expert opinion / consensus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0.15</w:t>
            </w:r>
          </w:p>
        </w:tc>
      </w:tr>
    </w:tbl>
    <w:p>
      <w:pPr>
        <w:spacing w:before="40" w:after="80"/>
      </w:pPr>
    </w:p>
    <w:p>
      <w:pPr>
        <w:spacing w:before="0" w:after="120"/>
      </w:pPr>
      <w:r>
        <w:rPr>
          <w:rFonts w:ascii="Calibri" w:hAnsi="Calibri"/>
          <w:b/>
          <w:color w:val="333333"/>
          <w:sz w:val="20"/>
        </w:rPr>
        <w:t>Document factor scaling (logarithmic, diminishing returns):</w:t>
      </w:r>
    </w:p>
    <w:p>
      <w:pPr>
        <w:spacing w:before="40" w:after="40"/>
        <w:ind w:left="504" w:hanging="216"/>
      </w:pPr>
      <w:r>
        <w:rPr>
          <w:rFonts w:ascii="Calibri" w:hAnsi="Calibri"/>
          <w:color w:val="1AAFCC"/>
          <w:sz w:val="20"/>
        </w:rPr>
        <w:t xml:space="preserve">•  </w:t>
      </w:r>
      <w:r>
        <w:rPr>
          <w:rFonts w:ascii="Calibri" w:hAnsi="Calibri"/>
          <w:color w:val="333333"/>
          <w:sz w:val="20"/>
        </w:rPr>
        <w:t>0 docs = 0.0, 1 doc = 0.30, 5 docs = 0.70, 10+ docs = ~0.90</w:t>
      </w:r>
    </w:p>
    <w:p>
      <w:pPr>
        <w:pStyle w:val="Heading2"/>
        <w:spacing w:before="280" w:after="120"/>
      </w:pPr>
      <w:r>
        <w:rPr>
          <w:rFonts w:ascii="Calibri" w:hAnsi="Calibri"/>
          <w:b/>
          <w:color w:val="1AAFCC"/>
          <w:sz w:val="26"/>
        </w:rPr>
        <w:t>5.8 Protocol Complexity Scoring (Detail)</w:t>
      </w:r>
    </w:p>
    <w:p>
      <w:pPr>
        <w:spacing w:before="0" w:after="120"/>
      </w:pPr>
      <w:r>
        <w:rPr>
          <w:rFonts w:ascii="Calibri" w:hAnsi="Calibri"/>
          <w:color w:val="333333"/>
          <w:sz w:val="20"/>
        </w:rPr>
        <w:t xml:space="preserve">The </w:t>
      </w:r>
      <w:r>
        <w:rPr>
          <w:rFonts w:ascii="Courier New" w:hAnsi="Courier New"/>
          <w:color w:val="444444"/>
          <w:sz w:val="18"/>
        </w:rPr>
        <w:t>ProtocolComplexityScorer</w:t>
      </w:r>
      <w:r>
        <w:rPr>
          <w:rFonts w:ascii="Calibri" w:hAnsi="Calibri"/>
          <w:color w:val="333333"/>
          <w:sz w:val="20"/>
        </w:rPr>
        <w:t xml:space="preserve"> evaluates protocol complexity across five dimensions, each normalized against Tufts CSDD industry benchmarks:</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Dimension</w:t>
            </w:r>
          </w:p>
        </w:tc>
        <w:tc>
          <w:tcPr>
            <w:tcW w:type="dxa" w:w="156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Weight</w:t>
            </w:r>
          </w:p>
        </w:tc>
        <w:tc>
          <w:tcPr>
            <w:tcW w:type="dxa" w:w="156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Max Norm</w:t>
            </w:r>
          </w:p>
        </w:tc>
        <w:tc>
          <w:tcPr>
            <w:tcW w:type="dxa" w:w="156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Median</w:t>
            </w:r>
          </w:p>
        </w:tc>
        <w:tc>
          <w:tcPr>
            <w:tcW w:type="dxa" w:w="156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P75</w:t>
            </w:r>
          </w:p>
        </w:tc>
        <w:tc>
          <w:tcPr>
            <w:tcW w:type="dxa" w:w="156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P90</w:t>
            </w:r>
          </w:p>
        </w:tc>
      </w:tr>
      <w:tr>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Procedure count</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0.25</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50</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20</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30</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45</w:t>
            </w:r>
          </w:p>
        </w:tc>
      </w:tr>
      <w:tr>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Visit count</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0.25</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36</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12</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18</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28</w:t>
            </w:r>
          </w:p>
        </w:tc>
      </w:tr>
      <w:tr>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Endpoint count</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0.20</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20</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8</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12</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18</w:t>
            </w:r>
          </w:p>
        </w:tc>
      </w:tr>
      <w:tr>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Eligibility criteria count</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0.20</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40</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22</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30</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38</w:t>
            </w:r>
          </w:p>
        </w:tc>
      </w:tr>
      <w:tr>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Amendment count</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0.10</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5</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w:t>
            </w:r>
          </w:p>
        </w:tc>
      </w:tr>
    </w:tbl>
    <w:p>
      <w:pPr>
        <w:spacing w:before="40" w:after="80"/>
      </w:pPr>
    </w:p>
    <w:p>
      <w:pPr>
        <w:spacing w:before="0" w:after="120"/>
      </w:pPr>
      <w:r>
        <w:rPr>
          <w:rFonts w:ascii="Calibri" w:hAnsi="Calibri"/>
          <w:b/>
          <w:color w:val="333333"/>
          <w:sz w:val="20"/>
        </w:rPr>
        <w:t>Percentile calculation:</w:t>
      </w:r>
      <w:r>
        <w:rPr>
          <w:rFonts w:ascii="Calibri" w:hAnsi="Calibri"/>
          <w:color w:val="333333"/>
          <w:sz w:val="20"/>
        </w:rPr>
        <w:t xml:space="preserve"> </w:t>
      </w:r>
      <w:r>
        <w:rPr>
          <w:rFonts w:ascii="Courier New" w:hAnsi="Courier New"/>
          <w:color w:val="444444"/>
          <w:sz w:val="18"/>
        </w:rPr>
        <w:t>percentile = clamp(complexity_score * 100, 0.0, 99.9)</w:t>
      </w:r>
    </w:p>
    <w:p>
      <w:pPr>
        <w:spacing w:before="0" w:after="120"/>
      </w:pPr>
      <w:r>
        <w:rPr>
          <w:rFonts w:ascii="Calibri" w:hAnsi="Calibri"/>
          <w:color w:val="333333"/>
          <w:sz w:val="20"/>
        </w:rPr>
        <w:t xml:space="preserve">Each dimension is normalized as: </w:t>
      </w:r>
      <w:r>
        <w:rPr>
          <w:rFonts w:ascii="Courier New" w:hAnsi="Courier New"/>
          <w:color w:val="444444"/>
          <w:sz w:val="18"/>
        </w:rPr>
        <w:t>clamp(value / max_norm, 0.0, 1.0)</w:t>
      </w:r>
      <w:r>
        <w:rPr>
          <w:rFonts w:ascii="Calibri" w:hAnsi="Calibri"/>
          <w:color w:val="333333"/>
          <w:sz w:val="20"/>
        </w:rPr>
        <w:t>, then combined using the weights above to produce a composite complexity score in [0.0, 1.0].</w:t>
      </w:r>
    </w:p>
    <w:p>
      <w:pPr>
        <w:spacing w:before="80" w:after="80"/>
        <w:pBdr>
          <w:bottom w:val="single" w:sz="6" w:color="1AAFCC"/>
        </w:pBdr>
      </w:pPr>
    </w:p>
    <w:p>
      <w:pPr>
        <w:pStyle w:val="Heading1"/>
        <w:spacing w:before="400" w:after="160"/>
      </w:pPr>
      <w:r>
        <w:rPr>
          <w:rFonts w:ascii="Calibri" w:hAnsi="Calibri"/>
          <w:b/>
          <w:color w:val="1B2333"/>
          <w:sz w:val="32"/>
        </w:rPr>
        <w:t>6. Cross-Agent Integration</w:t>
      </w:r>
    </w:p>
    <w:p>
      <w:pPr>
        <w:spacing w:before="0" w:after="120"/>
      </w:pPr>
      <w:r>
        <w:rPr>
          <w:rFonts w:ascii="Calibri" w:hAnsi="Calibri"/>
          <w:color w:val="333333"/>
          <w:sz w:val="20"/>
        </w:rPr>
        <w:t>The agent integrates with four other HCLS AI Factory intelligence agents: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Agent</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URL</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Integration Purpose</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Oncology Intelligence</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localhost:8527</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Molecular trial matches for precision oncology</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Pharmacogenomics Intelligence</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localhost:8107</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Pharmacogenomic metabolism screening</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Cardiology Intelligence</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localhost:8126</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Cardiac safety assessment (QTc, MACE risk)</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Biomarker Intelligence</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localhost:8529</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Biomarker enrichment strategies</w:t>
            </w:r>
          </w:p>
        </w:tc>
      </w:tr>
    </w:tbl>
    <w:p>
      <w:pPr>
        <w:spacing w:before="40" w:after="80"/>
      </w:pPr>
    </w:p>
    <w:p>
      <w:pPr>
        <w:spacing w:before="0" w:after="120"/>
      </w:pPr>
      <w:r>
        <w:rPr>
          <w:rFonts w:ascii="Calibri" w:hAnsi="Calibri"/>
          <w:color w:val="333333"/>
          <w:sz w:val="20"/>
        </w:rPr>
        <w:t>All cross-agent queries degrade gracefully: if an agent is unavailable, a warning is logged and a default response is returned with a 30-second timeout.</w:t>
      </w:r>
    </w:p>
    <w:p>
      <w:pPr>
        <w:spacing w:before="80" w:after="80"/>
        <w:pBdr>
          <w:bottom w:val="single" w:sz="6" w:color="1AAFCC"/>
        </w:pBdr>
      </w:pPr>
    </w:p>
    <w:p>
      <w:pPr>
        <w:pStyle w:val="Heading1"/>
        <w:spacing w:before="400" w:after="160"/>
      </w:pPr>
      <w:r>
        <w:rPr>
          <w:rFonts w:ascii="Calibri" w:hAnsi="Calibri"/>
          <w:b/>
          <w:color w:val="1B2333"/>
          <w:sz w:val="32"/>
        </w:rPr>
        <w:t>7. Vector Database &amp; Collections</w:t>
      </w:r>
    </w:p>
    <w:p>
      <w:pPr>
        <w:pStyle w:val="Heading2"/>
        <w:spacing w:before="280" w:after="120"/>
      </w:pPr>
      <w:r>
        <w:rPr>
          <w:rFonts w:ascii="Calibri" w:hAnsi="Calibri"/>
          <w:b/>
          <w:color w:val="1AAFCC"/>
          <w:sz w:val="26"/>
        </w:rPr>
        <w:t>14 Milvus Collections</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Collection</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Description</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Est. Records</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Search Weight</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`trial_protocols`</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Protocol documents with phase, sponsor, enrollment metadata</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5,000</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0.10</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`trial_eligibility`</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Inclusion/exclusion criteria with population impact estimates</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50,000</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0.09</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3</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`trial_endpoints`</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Endpoint definitions with measures, time frames, statistical methods</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20,000</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0.08</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4</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`trial_sites`</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Site locations, enrollment counts, recruitment status</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30,000</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0.07</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5</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`trial_investigators`</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PIs with publication metrics and therapeutic area expertise</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5,000</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0.05</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6</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`trial_results`</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Published results with statistical outcomes and effect sizes</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3,000</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0.09</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7</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`trial_regulatory`</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Regulatory submissions, decisions across agencies</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2,000</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0.07</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8</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`trial_literature`</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Published clinical trial methodology and results literature</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10,000</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0.08</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9</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`trial_biomarkers`</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Biomarker assays, thresholds, validation status</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3,000</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0.07</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10</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`trial_safety`</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AE profiles with MedDRA coding, severity, frequency</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20,000</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0.08</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11</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`trial_rwe`</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Real-world evidence from claims, EHR, patient registries</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2,000</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0.06</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12</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`trial_adaptive`</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Adaptive designs, decision rules, regulatory precedents</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500</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0.05</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13</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`trial_guidelines`</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ICH/FDA/EMA clinical trial guidelines and requirements</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1,000</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0.08</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14</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`genomic_evidence`</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Shared genomic variant evidence (ClinVar, AlphaMissense)</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100,000</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0.03</w:t>
            </w:r>
          </w:p>
        </w:tc>
      </w:tr>
    </w:tbl>
    <w:p>
      <w:pPr>
        <w:spacing w:before="40" w:after="80"/>
      </w:pPr>
    </w:p>
    <w:p>
      <w:pPr>
        <w:spacing w:before="0" w:after="120"/>
      </w:pPr>
      <w:r>
        <w:rPr>
          <w:rFonts w:ascii="Calibri" w:hAnsi="Calibri"/>
          <w:b/>
          <w:color w:val="333333"/>
          <w:sz w:val="20"/>
        </w:rPr>
        <w:t>Total estimated records:</w:t>
      </w:r>
      <w:r>
        <w:rPr>
          <w:rFonts w:ascii="Calibri" w:hAnsi="Calibri"/>
          <w:color w:val="333333"/>
          <w:sz w:val="20"/>
        </w:rPr>
        <w:t xml:space="preserve"> ~251,500</w:t>
      </w:r>
    </w:p>
    <w:p>
      <w:pPr>
        <w:pStyle w:val="Heading2"/>
        <w:spacing w:before="280" w:after="120"/>
      </w:pPr>
      <w:r>
        <w:rPr>
          <w:rFonts w:ascii="Calibri" w:hAnsi="Calibri"/>
          <w:b/>
          <w:color w:val="1AAFCC"/>
          <w:sz w:val="26"/>
        </w:rPr>
        <w:t>Index Configuration</w:t>
      </w:r>
    </w:p>
    <w:p>
      <w:pPr>
        <w:spacing w:before="40" w:after="40"/>
        <w:ind w:left="504" w:hanging="216"/>
      </w:pPr>
      <w:r>
        <w:rPr>
          <w:rFonts w:ascii="Calibri" w:hAnsi="Calibri"/>
          <w:color w:val="1AAFCC"/>
          <w:sz w:val="20"/>
        </w:rPr>
        <w:t xml:space="preserve">•  </w:t>
      </w:r>
      <w:r>
        <w:rPr>
          <w:rFonts w:ascii="Calibri" w:hAnsi="Calibri"/>
          <w:b/>
          <w:color w:val="333333"/>
          <w:sz w:val="20"/>
        </w:rPr>
        <w:t>Embedding model:</w:t>
      </w:r>
      <w:r>
        <w:rPr>
          <w:rFonts w:ascii="Calibri" w:hAnsi="Calibri"/>
          <w:color w:val="333333"/>
          <w:sz w:val="20"/>
        </w:rPr>
        <w:t xml:space="preserve"> BAAI/bge-small-en-v1.5 (384 dimensions)</w:t>
      </w:r>
    </w:p>
    <w:p>
      <w:pPr>
        <w:spacing w:before="40" w:after="40"/>
        <w:ind w:left="504" w:hanging="216"/>
      </w:pPr>
      <w:r>
        <w:rPr>
          <w:rFonts w:ascii="Calibri" w:hAnsi="Calibri"/>
          <w:color w:val="1AAFCC"/>
          <w:sz w:val="20"/>
        </w:rPr>
        <w:t xml:space="preserve">•  </w:t>
      </w:r>
      <w:r>
        <w:rPr>
          <w:rFonts w:ascii="Calibri" w:hAnsi="Calibri"/>
          <w:b/>
          <w:color w:val="333333"/>
          <w:sz w:val="20"/>
        </w:rPr>
        <w:t>Index type:</w:t>
      </w:r>
      <w:r>
        <w:rPr>
          <w:rFonts w:ascii="Calibri" w:hAnsi="Calibri"/>
          <w:color w:val="333333"/>
          <w:sz w:val="20"/>
        </w:rPr>
        <w:t xml:space="preserve"> IVF_FLAT</w:t>
      </w:r>
    </w:p>
    <w:p>
      <w:pPr>
        <w:spacing w:before="40" w:after="40"/>
        <w:ind w:left="504" w:hanging="216"/>
      </w:pPr>
      <w:r>
        <w:rPr>
          <w:rFonts w:ascii="Calibri" w:hAnsi="Calibri"/>
          <w:color w:val="1AAFCC"/>
          <w:sz w:val="20"/>
        </w:rPr>
        <w:t xml:space="preserve">•  </w:t>
      </w:r>
      <w:r>
        <w:rPr>
          <w:rFonts w:ascii="Calibri" w:hAnsi="Calibri"/>
          <w:b/>
          <w:color w:val="333333"/>
          <w:sz w:val="20"/>
        </w:rPr>
        <w:t>Metric type:</w:t>
      </w:r>
      <w:r>
        <w:rPr>
          <w:rFonts w:ascii="Calibri" w:hAnsi="Calibri"/>
          <w:color w:val="333333"/>
          <w:sz w:val="20"/>
        </w:rPr>
        <w:t xml:space="preserve"> COSINE</w:t>
      </w:r>
    </w:p>
    <w:p>
      <w:pPr>
        <w:spacing w:before="40" w:after="40"/>
        <w:ind w:left="504" w:hanging="216"/>
      </w:pPr>
      <w:r>
        <w:rPr>
          <w:rFonts w:ascii="Calibri" w:hAnsi="Calibri"/>
          <w:color w:val="1AAFCC"/>
          <w:sz w:val="20"/>
        </w:rPr>
        <w:t xml:space="preserve">•  </w:t>
      </w:r>
      <w:r>
        <w:rPr>
          <w:rFonts w:ascii="Calibri" w:hAnsi="Calibri"/>
          <w:b/>
          <w:color w:val="333333"/>
          <w:sz w:val="20"/>
        </w:rPr>
        <w:t>nlist:</w:t>
      </w:r>
      <w:r>
        <w:rPr>
          <w:rFonts w:ascii="Calibri" w:hAnsi="Calibri"/>
          <w:color w:val="333333"/>
          <w:sz w:val="20"/>
        </w:rPr>
        <w:t xml:space="preserve"> 128</w:t>
      </w:r>
    </w:p>
    <w:p>
      <w:pPr>
        <w:spacing w:before="40" w:after="40"/>
        <w:ind w:left="504" w:hanging="216"/>
      </w:pPr>
      <w:r>
        <w:rPr>
          <w:rFonts w:ascii="Calibri" w:hAnsi="Calibri"/>
          <w:color w:val="1AAFCC"/>
          <w:sz w:val="20"/>
        </w:rPr>
        <w:t xml:space="preserve">•  </w:t>
      </w:r>
      <w:r>
        <w:rPr>
          <w:rFonts w:ascii="Calibri" w:hAnsi="Calibri"/>
          <w:b/>
          <w:color w:val="333333"/>
          <w:sz w:val="20"/>
        </w:rPr>
        <w:t>Batch size:</w:t>
      </w:r>
      <w:r>
        <w:rPr>
          <w:rFonts w:ascii="Calibri" w:hAnsi="Calibri"/>
          <w:color w:val="333333"/>
          <w:sz w:val="20"/>
        </w:rPr>
        <w:t xml:space="preserve"> 32</w:t>
      </w:r>
    </w:p>
    <w:p>
      <w:pPr>
        <w:pStyle w:val="Heading2"/>
        <w:spacing w:before="280" w:after="120"/>
      </w:pPr>
      <w:r>
        <w:rPr>
          <w:rFonts w:ascii="Calibri" w:hAnsi="Calibri"/>
          <w:b/>
          <w:color w:val="1AAFCC"/>
          <w:sz w:val="26"/>
        </w:rPr>
        <w:t>All 14 Collection Schemas Detail</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Collection</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Key Fields (beyond id + embedding)</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Weight</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Est. Records</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`trial_protocols`</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trial_id, title, phase, status, therapeutic_area, sponsor, start_date, enrollment_target, text_content</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0.10</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5,000</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`trial_eligibility`</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trial_id, criterion_type, criterion_text, logic_operator, population_impact</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0.09</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50,000</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3</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`trial_endpoints`</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trial_id, endpoint_type, measure, time_frame, statistical_method</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0.08</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20,000</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4</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`trial_sites`</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trial_id, site_id, facility_name, city, state, country, status, enrollment_count</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0.07</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30,000</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5</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`trial_investigators`</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investigator_id, name, specialty, h_index, publication_count, therapeutic_areas</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0.05</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5,000</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6</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`trial_results`</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trial_id, outcome, p_value, effect_size, confidence_interval, publication_pmid</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0.09</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3,000</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7</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`trial_regulatory`</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submission_id, agency, decision, document_type, drug_name, indication</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0.07</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2,000</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8</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`trial_literature`</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pmid, title, journal, mesh_terms, publication_year, study_type</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0.08</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10,000</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9</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`trial_biomarkers`</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biomarker, assay, threshold, validation_status, clinical_use</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0.07</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3,000</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10</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`trial_safety`</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trial_id, ae_term, medra_pt, medra_soc, severity, frequency, seriousness</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0.08</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20,000</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11</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`trial_rwe`</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study_id, data_source, population_size, study_design, evidence_type</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0.06</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2,000</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12</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`trial_adaptive`</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design_type, decision_rules, interim_schedule, regulatory_precedent</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0.05</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500</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13</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`trial_guidelines`</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agency, guideline_id, title, version, effective_date, category</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0.08</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1,000</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14</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`genomic_evidence`</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variant_id, gene, consequence, clinvar_significance, alphamissense_score</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0.03</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100,000</w:t>
            </w:r>
          </w:p>
        </w:tc>
      </w:tr>
    </w:tbl>
    <w:p>
      <w:pPr>
        <w:spacing w:before="40" w:after="80"/>
      </w:pPr>
    </w:p>
    <w:p>
      <w:pPr>
        <w:spacing w:before="0" w:after="120"/>
      </w:pPr>
      <w:r>
        <w:rPr>
          <w:rFonts w:ascii="Calibri" w:hAnsi="Calibri"/>
          <w:b/>
          <w:color w:val="333333"/>
          <w:sz w:val="20"/>
        </w:rPr>
        <w:t>Total estimated records:</w:t>
      </w:r>
      <w:r>
        <w:rPr>
          <w:rFonts w:ascii="Calibri" w:hAnsi="Calibri"/>
          <w:color w:val="333333"/>
          <w:sz w:val="20"/>
        </w:rPr>
        <w:t xml:space="preserve"> ~251,500</w:t>
      </w:r>
    </w:p>
    <w:p>
      <w:pPr>
        <w:spacing w:before="0" w:after="120"/>
      </w:pPr>
      <w:r>
        <w:rPr>
          <w:rFonts w:ascii="Calibri" w:hAnsi="Calibri"/>
          <w:b/>
          <w:color w:val="333333"/>
          <w:sz w:val="20"/>
        </w:rPr>
        <w:t>Weight sum:</w:t>
      </w:r>
      <w:r>
        <w:rPr>
          <w:rFonts w:ascii="Calibri" w:hAnsi="Calibri"/>
          <w:color w:val="333333"/>
          <w:sz w:val="20"/>
        </w:rPr>
        <w:t xml:space="preserve"> 1.00</w:t>
      </w:r>
    </w:p>
    <w:p>
      <w:pPr>
        <w:spacing w:before="80" w:after="80"/>
        <w:pBdr>
          <w:bottom w:val="single" w:sz="6" w:color="1AAFCC"/>
        </w:pBdr>
      </w:pPr>
    </w:p>
    <w:p>
      <w:pPr>
        <w:pStyle w:val="Heading1"/>
        <w:spacing w:before="400" w:after="160"/>
      </w:pPr>
      <w:r>
        <w:rPr>
          <w:rFonts w:ascii="Calibri" w:hAnsi="Calibri"/>
          <w:b/>
          <w:color w:val="1B2333"/>
          <w:sz w:val="32"/>
        </w:rPr>
        <w:t>8. RAG Engine</w:t>
      </w:r>
    </w:p>
    <w:p>
      <w:pPr>
        <w:spacing w:before="0" w:after="120"/>
      </w:pPr>
      <w:r>
        <w:rPr>
          <w:rFonts w:ascii="Calibri" w:hAnsi="Calibri"/>
          <w:color w:val="333333"/>
          <w:sz w:val="20"/>
        </w:rPr>
        <w:t xml:space="preserve">The </w:t>
      </w:r>
      <w:r>
        <w:rPr>
          <w:rFonts w:ascii="Courier New" w:hAnsi="Courier New"/>
          <w:color w:val="444444"/>
          <w:sz w:val="18"/>
        </w:rPr>
        <w:t>TrialRAGEngine</w:t>
      </w:r>
      <w:r>
        <w:rPr>
          <w:rFonts w:ascii="Calibri" w:hAnsi="Calibri"/>
          <w:color w:val="333333"/>
          <w:sz w:val="20"/>
        </w:rPr>
        <w:t xml:space="preserve"> implements multi-collection retrieval with:</w:t>
      </w:r>
    </w:p>
    <w:p>
      <w:pPr>
        <w:spacing w:before="40" w:after="40"/>
        <w:ind w:left="504" w:hanging="216"/>
      </w:pPr>
      <w:r>
        <w:rPr>
          <w:rFonts w:ascii="Calibri" w:hAnsi="Calibri"/>
          <w:color w:val="1AAFCC"/>
          <w:sz w:val="20"/>
        </w:rPr>
        <w:t xml:space="preserve">•  </w:t>
      </w:r>
      <w:r>
        <w:rPr>
          <w:rFonts w:ascii="Calibri" w:hAnsi="Calibri"/>
          <w:color w:val="333333"/>
          <w:sz w:val="20"/>
        </w:rPr>
        <w:t>Weighted search across all 14 collections with workflow-specific boosting</w:t>
      </w:r>
    </w:p>
    <w:p>
      <w:pPr>
        <w:spacing w:before="40" w:after="40"/>
        <w:ind w:left="504" w:hanging="216"/>
      </w:pPr>
      <w:r>
        <w:rPr>
          <w:rFonts w:ascii="Calibri" w:hAnsi="Calibri"/>
          <w:color w:val="1AAFCC"/>
          <w:sz w:val="20"/>
        </w:rPr>
        <w:t xml:space="preserve">•  </w:t>
      </w:r>
      <w:r>
        <w:rPr>
          <w:rFonts w:ascii="Calibri" w:hAnsi="Calibri"/>
          <w:color w:val="333333"/>
          <w:sz w:val="20"/>
        </w:rPr>
        <w:t>Score threshold filtering (default 0.4)</w:t>
      </w:r>
    </w:p>
    <w:p>
      <w:pPr>
        <w:spacing w:before="40" w:after="40"/>
        <w:ind w:left="504" w:hanging="216"/>
      </w:pPr>
      <w:r>
        <w:rPr>
          <w:rFonts w:ascii="Calibri" w:hAnsi="Calibri"/>
          <w:color w:val="1AAFCC"/>
          <w:sz w:val="20"/>
        </w:rPr>
        <w:t xml:space="preserve">•  </w:t>
      </w:r>
      <w:r>
        <w:rPr>
          <w:rFonts w:ascii="Calibri" w:hAnsi="Calibri"/>
          <w:color w:val="333333"/>
          <w:sz w:val="20"/>
        </w:rPr>
        <w:t>Top-K per collection (default 5, configurable 1-50)</w:t>
      </w:r>
    </w:p>
    <w:p>
      <w:pPr>
        <w:spacing w:before="40" w:after="40"/>
        <w:ind w:left="504" w:hanging="216"/>
      </w:pPr>
      <w:r>
        <w:rPr>
          <w:rFonts w:ascii="Calibri" w:hAnsi="Calibri"/>
          <w:color w:val="1AAFCC"/>
          <w:sz w:val="20"/>
        </w:rPr>
        <w:t xml:space="preserve">•  </w:t>
      </w:r>
      <w:r>
        <w:rPr>
          <w:rFonts w:ascii="Calibri" w:hAnsi="Calibri"/>
          <w:color w:val="333333"/>
          <w:sz w:val="20"/>
        </w:rPr>
        <w:t>Cross-collection result merging and re-ranking</w:t>
      </w:r>
    </w:p>
    <w:p>
      <w:pPr>
        <w:spacing w:before="40" w:after="40"/>
        <w:ind w:left="504" w:hanging="216"/>
      </w:pPr>
      <w:r>
        <w:rPr>
          <w:rFonts w:ascii="Calibri" w:hAnsi="Calibri"/>
          <w:color w:val="1AAFCC"/>
          <w:sz w:val="20"/>
        </w:rPr>
        <w:t xml:space="preserve">•  </w:t>
      </w:r>
      <w:r>
        <w:rPr>
          <w:rFonts w:ascii="Calibri" w:hAnsi="Calibri"/>
          <w:color w:val="333333"/>
          <w:sz w:val="20"/>
        </w:rPr>
        <w:t>Citation generation with high/medium thresholds (0.75 / 0.60)</w:t>
      </w:r>
    </w:p>
    <w:p>
      <w:pPr>
        <w:spacing w:before="40" w:after="40"/>
        <w:ind w:left="504" w:hanging="216"/>
      </w:pPr>
      <w:r>
        <w:rPr>
          <w:rFonts w:ascii="Calibri" w:hAnsi="Calibri"/>
          <w:color w:val="1AAFCC"/>
          <w:sz w:val="20"/>
        </w:rPr>
        <w:t xml:space="preserve">•  </w:t>
      </w:r>
      <w:r>
        <w:rPr>
          <w:rFonts w:ascii="Calibri" w:hAnsi="Calibri"/>
          <w:color w:val="333333"/>
          <w:sz w:val="20"/>
        </w:rPr>
        <w:t>Graceful degradation when Milvus is unavailable (returns knowledge-base-only results)</w:t>
      </w:r>
    </w:p>
    <w:p>
      <w:pPr>
        <w:spacing w:before="80" w:after="80"/>
        <w:pBdr>
          <w:bottom w:val="single" w:sz="6" w:color="1AAFCC"/>
        </w:pBdr>
      </w:pPr>
    </w:p>
    <w:p>
      <w:pPr>
        <w:pStyle w:val="Heading1"/>
        <w:spacing w:before="400" w:after="160"/>
      </w:pPr>
      <w:r>
        <w:rPr>
          <w:rFonts w:ascii="Calibri" w:hAnsi="Calibri"/>
          <w:b/>
          <w:color w:val="1B2333"/>
          <w:sz w:val="32"/>
        </w:rPr>
        <w:t>9. Query Expansion System</w:t>
      </w:r>
    </w:p>
    <w:p>
      <w:pPr>
        <w:pStyle w:val="Heading2"/>
        <w:spacing w:before="280" w:after="120"/>
      </w:pPr>
      <w:r>
        <w:rPr>
          <w:rFonts w:ascii="Calibri" w:hAnsi="Calibri"/>
          <w:b/>
          <w:color w:val="1AAFCC"/>
          <w:sz w:val="26"/>
        </w:rPr>
        <w:t>13 Synonym Maps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Map</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Entries</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Purpose</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Entity Aliases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140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Abbreviation to full term (NSCLC, HFrEF, Keytruda, TMB, etc.)</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Therapeutic Area Map</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13</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Area keywords for classification (oncology, cardiovascular, etc.)</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Phase Map</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7</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Phase synonym resolution (Phase III, pivotal, confirmatory, etc.)</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Drug Synonym Map</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33</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Generic/brand/code name mapping (pembrolizumab/Keytruda/MK-3475)</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Biomarker Map</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22</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Biomarker alias expansion (PD-L1, TMB, MSI, HER2, EGFR, etc.)</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Endpoint Map</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15</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Endpoint type synonyms (OS, PFS, ORR, DFS, MACE, QoL, etc.)</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Regulatory Map</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19</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Regulatory term expansion (IND, NDA, BLA, BTD, SPA, PDUFA, etc.)</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Design Map</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14</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Trial design synonyms (adaptive, basket, umbrella, platform, etc.)</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Population Map</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Population descriptors (pediatric, geriatric, treatment-naive, etc.)</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Safety Map</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14</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Safety term expansion (SUSAR, SAE, DSMB, MedDRA, CRS, etc.)</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Geographic Map</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6</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Regional term expansion (north_america, europe, asia_pacific, etc.)</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Procedure Map</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Clinical procedure synonyms (biopsy, imaging, endoscopy, etc.)</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Workflow Terms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11</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Workflow-specific term boosting for query routing</w:t>
            </w:r>
          </w:p>
        </w:tc>
      </w:tr>
    </w:tbl>
    <w:p>
      <w:pPr>
        <w:spacing w:before="40" w:after="80"/>
      </w:pPr>
    </w:p>
    <w:p>
      <w:pPr>
        <w:spacing w:before="0" w:after="120"/>
      </w:pPr>
      <w:r>
        <w:rPr>
          <w:rFonts w:ascii="Calibri" w:hAnsi="Calibri"/>
          <w:b/>
          <w:color w:val="333333"/>
          <w:sz w:val="20"/>
        </w:rPr>
        <w:t>Total:</w:t>
      </w:r>
      <w:r>
        <w:rPr>
          <w:rFonts w:ascii="Calibri" w:hAnsi="Calibri"/>
          <w:color w:val="333333"/>
          <w:sz w:val="20"/>
        </w:rPr>
        <w:t xml:space="preserve"> 314 top-level entries, 140 entity aliases, covering abbreviations across oncology, cardiology, neuroscience, metabolic, autoimmune, rare disease, and regulatory domains.</w:t>
      </w:r>
    </w:p>
    <w:p>
      <w:pPr>
        <w:spacing w:before="80" w:after="80"/>
        <w:pBdr>
          <w:bottom w:val="single" w:sz="6" w:color="1AAFCC"/>
        </w:pBdr>
      </w:pPr>
    </w:p>
    <w:p>
      <w:pPr>
        <w:pStyle w:val="Heading1"/>
        <w:spacing w:before="400" w:after="160"/>
      </w:pPr>
      <w:r>
        <w:rPr>
          <w:rFonts w:ascii="Calibri" w:hAnsi="Calibri"/>
          <w:b/>
          <w:color w:val="1B2333"/>
          <w:sz w:val="32"/>
        </w:rPr>
        <w:t>10. Autonomous Agent Pipeline</w:t>
      </w:r>
    </w:p>
    <w:p>
      <w:pPr>
        <w:spacing w:before="0" w:after="120"/>
      </w:pPr>
      <w:r>
        <w:rPr>
          <w:rFonts w:ascii="Calibri" w:hAnsi="Calibri"/>
          <w:color w:val="333333"/>
          <w:sz w:val="20"/>
        </w:rPr>
        <w:t xml:space="preserve">The </w:t>
      </w:r>
      <w:r>
        <w:rPr>
          <w:rFonts w:ascii="Courier New" w:hAnsi="Courier New"/>
          <w:color w:val="444444"/>
          <w:sz w:val="18"/>
        </w:rPr>
        <w:t>TrialIntelligenceAgent</w:t>
      </w:r>
      <w:r>
        <w:rPr>
          <w:rFonts w:ascii="Calibri" w:hAnsi="Calibri"/>
          <w:color w:val="333333"/>
          <w:sz w:val="20"/>
        </w:rPr>
        <w:t xml:space="preserve"> implements the plan -&gt; search -&gt; evaluate -&gt; synthesize -&gt; report pattern:</w:t>
      </w:r>
    </w:p>
    <w:p>
      <w:pPr>
        <w:spacing w:before="40" w:after="40"/>
        <w:ind w:left="504" w:hanging="288"/>
      </w:pPr>
      <w:r>
        <w:rPr>
          <w:rFonts w:ascii="Calibri" w:hAnsi="Calibri"/>
          <w:b/>
          <w:color w:val="333333"/>
          <w:sz w:val="20"/>
        </w:rPr>
        <w:t xml:space="preserve">1.  </w:t>
      </w:r>
      <w:r>
        <w:rPr>
          <w:rFonts w:ascii="Calibri" w:hAnsi="Calibri"/>
          <w:b/>
          <w:color w:val="333333"/>
          <w:sz w:val="20"/>
        </w:rPr>
        <w:t>Plan</w:t>
      </w:r>
      <w:r>
        <w:rPr>
          <w:rFonts w:ascii="Calibri" w:hAnsi="Calibri"/>
          <w:color w:val="333333"/>
          <w:sz w:val="20"/>
        </w:rPr>
        <w:t xml:space="preserve"> (</w:t>
      </w:r>
      <w:r>
        <w:rPr>
          <w:rFonts w:ascii="Courier New" w:hAnsi="Courier New"/>
          <w:color w:val="444444"/>
          <w:sz w:val="18"/>
        </w:rPr>
        <w:t>search_plan</w:t>
      </w:r>
      <w:r>
        <w:rPr>
          <w:rFonts w:ascii="Calibri" w:hAnsi="Calibri"/>
          <w:color w:val="333333"/>
          <w:sz w:val="20"/>
        </w:rPr>
        <w:t>): Analyze query, detect therapeutic areas, drugs, biomarkers; decompose into sub-questions; select search strategy (broad, targeted, comparative, regulatory)</w:t>
      </w:r>
    </w:p>
    <w:p>
      <w:pPr>
        <w:spacing w:before="40" w:after="40"/>
        <w:ind w:left="504" w:hanging="288"/>
      </w:pPr>
      <w:r>
        <w:rPr>
          <w:rFonts w:ascii="Calibri" w:hAnsi="Calibri"/>
          <w:b/>
          <w:color w:val="333333"/>
          <w:sz w:val="20"/>
        </w:rPr>
        <w:t xml:space="preserve">2.  </w:t>
      </w:r>
      <w:r>
        <w:rPr>
          <w:rFonts w:ascii="Calibri" w:hAnsi="Calibri"/>
          <w:b/>
          <w:color w:val="333333"/>
          <w:sz w:val="20"/>
        </w:rPr>
        <w:t>Search</w:t>
      </w:r>
      <w:r>
        <w:rPr>
          <w:rFonts w:ascii="Calibri" w:hAnsi="Calibri"/>
          <w:color w:val="333333"/>
          <w:sz w:val="20"/>
        </w:rPr>
        <w:t xml:space="preserve"> (</w:t>
      </w:r>
      <w:r>
        <w:rPr>
          <w:rFonts w:ascii="Courier New" w:hAnsi="Courier New"/>
          <w:color w:val="444444"/>
          <w:sz w:val="18"/>
        </w:rPr>
        <w:t>rag_engine.query</w:t>
      </w:r>
      <w:r>
        <w:rPr>
          <w:rFonts w:ascii="Calibri" w:hAnsi="Calibri"/>
          <w:color w:val="333333"/>
          <w:sz w:val="20"/>
        </w:rPr>
        <w:t>): Execute multi-collection retrieval with workflow-specific weights</w:t>
      </w:r>
    </w:p>
    <w:p>
      <w:pPr>
        <w:spacing w:before="40" w:after="40"/>
        <w:ind w:left="504" w:hanging="288"/>
      </w:pPr>
      <w:r>
        <w:rPr>
          <w:rFonts w:ascii="Calibri" w:hAnsi="Calibri"/>
          <w:b/>
          <w:color w:val="333333"/>
          <w:sz w:val="20"/>
        </w:rPr>
        <w:t xml:space="preserve">3.  </w:t>
      </w:r>
      <w:r>
        <w:rPr>
          <w:rFonts w:ascii="Calibri" w:hAnsi="Calibri"/>
          <w:b/>
          <w:color w:val="333333"/>
          <w:sz w:val="20"/>
        </w:rPr>
        <w:t>Evaluate</w:t>
      </w:r>
      <w:r>
        <w:rPr>
          <w:rFonts w:ascii="Calibri" w:hAnsi="Calibri"/>
          <w:color w:val="333333"/>
          <w:sz w:val="20"/>
        </w:rPr>
        <w:t xml:space="preserve"> (</w:t>
      </w:r>
      <w:r>
        <w:rPr>
          <w:rFonts w:ascii="Courier New" w:hAnsi="Courier New"/>
          <w:color w:val="444444"/>
          <w:sz w:val="18"/>
        </w:rPr>
        <w:t>evaluate_evidence</w:t>
      </w:r>
      <w:r>
        <w:rPr>
          <w:rFonts w:ascii="Calibri" w:hAnsi="Calibri"/>
          <w:color w:val="333333"/>
          <w:sz w:val="20"/>
        </w:rPr>
        <w:t>): Score evidence quality, check completeness, assess cross-agent agreement</w:t>
      </w:r>
    </w:p>
    <w:p>
      <w:pPr>
        <w:spacing w:before="40" w:after="40"/>
        <w:ind w:left="504" w:hanging="288"/>
      </w:pPr>
      <w:r>
        <w:rPr>
          <w:rFonts w:ascii="Calibri" w:hAnsi="Calibri"/>
          <w:b/>
          <w:color w:val="333333"/>
          <w:sz w:val="20"/>
        </w:rPr>
        <w:t xml:space="preserve">4.  </w:t>
      </w:r>
      <w:r>
        <w:rPr>
          <w:rFonts w:ascii="Calibri" w:hAnsi="Calibri"/>
          <w:b/>
          <w:color w:val="333333"/>
          <w:sz w:val="20"/>
        </w:rPr>
        <w:t>Synthesize</w:t>
      </w:r>
      <w:r>
        <w:rPr>
          <w:rFonts w:ascii="Calibri" w:hAnsi="Calibri"/>
          <w:color w:val="333333"/>
          <w:sz w:val="20"/>
        </w:rPr>
        <w:t>: Generate structured clinical trial recommendations with regulatory alerts</w:t>
      </w:r>
    </w:p>
    <w:p>
      <w:pPr>
        <w:spacing w:before="40" w:after="40"/>
        <w:ind w:left="504" w:hanging="288"/>
      </w:pPr>
      <w:r>
        <w:rPr>
          <w:rFonts w:ascii="Calibri" w:hAnsi="Calibri"/>
          <w:b/>
          <w:color w:val="333333"/>
          <w:sz w:val="20"/>
        </w:rPr>
        <w:t xml:space="preserve">5.  </w:t>
      </w:r>
      <w:r>
        <w:rPr>
          <w:rFonts w:ascii="Calibri" w:hAnsi="Calibri"/>
          <w:b/>
          <w:color w:val="333333"/>
          <w:sz w:val="20"/>
        </w:rPr>
        <w:t>Report</w:t>
      </w:r>
      <w:r>
        <w:rPr>
          <w:rFonts w:ascii="Calibri" w:hAnsi="Calibri"/>
          <w:color w:val="333333"/>
          <w:sz w:val="20"/>
        </w:rPr>
        <w:t xml:space="preserve"> (</w:t>
      </w:r>
      <w:r>
        <w:rPr>
          <w:rFonts w:ascii="Courier New" w:hAnsi="Courier New"/>
          <w:color w:val="444444"/>
          <w:sz w:val="18"/>
        </w:rPr>
        <w:t>generate_report</w:t>
      </w:r>
      <w:r>
        <w:rPr>
          <w:rFonts w:ascii="Calibri" w:hAnsi="Calibri"/>
          <w:color w:val="333333"/>
          <w:sz w:val="20"/>
        </w:rPr>
        <w:t>): Format output with citations, guideline references, and confidence scores</w:t>
      </w:r>
    </w:p>
    <w:p>
      <w:pPr>
        <w:spacing w:before="0" w:after="120"/>
      </w:pPr>
      <w:r>
        <w:rPr>
          <w:rFonts w:ascii="Calibri" w:hAnsi="Calibri"/>
          <w:color w:val="333333"/>
          <w:sz w:val="20"/>
        </w:rPr>
        <w:t>Evidence levels range from 1a (systematic review of RCTs) through 5 (expert opinion) plus a regulatory guidance level.</w:t>
      </w:r>
    </w:p>
    <w:p>
      <w:pPr>
        <w:spacing w:before="80" w:after="80"/>
        <w:pBdr>
          <w:bottom w:val="single" w:sz="6" w:color="1AAFCC"/>
        </w:pBdr>
      </w:pPr>
    </w:p>
    <w:p>
      <w:pPr>
        <w:pStyle w:val="Heading1"/>
        <w:spacing w:before="400" w:after="160"/>
      </w:pPr>
      <w:r>
        <w:rPr>
          <w:rFonts w:ascii="Calibri" w:hAnsi="Calibri"/>
          <w:b/>
          <w:color w:val="1B2333"/>
          <w:sz w:val="32"/>
        </w:rPr>
        <w:t>11. Data Models &amp; Type Safety</w:t>
      </w:r>
    </w:p>
    <w:p>
      <w:pPr>
        <w:spacing w:before="0" w:after="120"/>
      </w:pPr>
      <w:r>
        <w:rPr>
          <w:rFonts w:ascii="Calibri" w:hAnsi="Calibri"/>
          <w:color w:val="333333"/>
          <w:sz w:val="20"/>
        </w:rPr>
        <w:t xml:space="preserve">All data contracts are defined as Pydantic BaseModel or Python Enum classes in </w:t>
      </w:r>
      <w:r>
        <w:rPr>
          <w:rFonts w:ascii="Courier New" w:hAnsi="Courier New"/>
          <w:color w:val="444444"/>
          <w:sz w:val="18"/>
        </w:rPr>
        <w:t>src/models.py</w:t>
      </w:r>
      <w:r>
        <w:rPr>
          <w:rFonts w:ascii="Calibri" w:hAnsi="Calibri"/>
          <w:color w:val="333333"/>
          <w:sz w:val="20"/>
        </w:rPr>
        <w:t>:</w:t>
      </w:r>
    </w:p>
    <w:p>
      <w:pPr>
        <w:pStyle w:val="Heading2"/>
        <w:spacing w:before="280" w:after="120"/>
      </w:pPr>
      <w:r>
        <w:rPr>
          <w:rFonts w:ascii="Calibri" w:hAnsi="Calibri"/>
          <w:b/>
          <w:color w:val="1AAFCC"/>
          <w:sz w:val="26"/>
        </w:rPr>
        <w:t>Enums (12)</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Enum</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Values</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Purpose</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`TrialWorkflowType`</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19 values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Workflow type routing (including aliases)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`TrialPhase`</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7 values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Clinical trial phases (Phase I through Phase IV + N/A)</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`TrialStatus`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7 values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Recruitment status (recruiting through withdrawn)</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`EvidenceLevel`</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6 values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Evidence classification (A1 through E)</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`CriterionType`</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 values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Inclusion / exclusion</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`EndpointType`</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 values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Primary, secondary, exploratory, safety</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`RegulatoryAgency`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6 values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FDA, EMA, PMDA, Health Canada, TGA, MHRA</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`DocumentType`</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6 values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IND, CSR, briefing, PSP, RMP, DSUR</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`SeverityLevel`</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5 values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Critical through informational</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`TherapeuticArea`</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13 values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Oncology through other</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`DCTComponent`</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7 values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eConsent through direct-to-patient</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`SearchPlan`</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dataclass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Pre-retrieval search planning</w:t>
            </w:r>
          </w:p>
        </w:tc>
      </w:tr>
    </w:tbl>
    <w:p>
      <w:pPr>
        <w:spacing w:before="40" w:after="80"/>
      </w:pPr>
    </w:p>
    <w:p>
      <w:pPr>
        <w:pStyle w:val="Heading2"/>
        <w:spacing w:before="280" w:after="120"/>
      </w:pPr>
      <w:r>
        <w:rPr>
          <w:rFonts w:ascii="Calibri" w:hAnsi="Calibri"/>
          <w:b/>
          <w:color w:val="1AAFCC"/>
          <w:sz w:val="26"/>
        </w:rPr>
        <w:t>Pydantic Models (12)</w:t>
      </w:r>
    </w:p>
    <w:p>
      <w:pPr>
        <w:spacing w:before="0" w:after="120"/>
      </w:pPr>
      <w:r>
        <w:rPr>
          <w:rFonts w:ascii="Courier New" w:hAnsi="Courier New"/>
          <w:color w:val="444444"/>
          <w:sz w:val="18"/>
        </w:rPr>
        <w:t>TrialQuery</w:t>
      </w:r>
      <w:r>
        <w:rPr>
          <w:rFonts w:ascii="Calibri" w:hAnsi="Calibri"/>
          <w:color w:val="333333"/>
          <w:sz w:val="20"/>
        </w:rPr>
        <w:t xml:space="preserve">, </w:t>
      </w:r>
      <w:r>
        <w:rPr>
          <w:rFonts w:ascii="Courier New" w:hAnsi="Courier New"/>
          <w:color w:val="444444"/>
          <w:sz w:val="18"/>
        </w:rPr>
        <w:t>TrialSearchResult</w:t>
      </w:r>
      <w:r>
        <w:rPr>
          <w:rFonts w:ascii="Calibri" w:hAnsi="Calibri"/>
          <w:color w:val="333333"/>
          <w:sz w:val="20"/>
        </w:rPr>
        <w:t xml:space="preserve">, </w:t>
      </w:r>
      <w:r>
        <w:rPr>
          <w:rFonts w:ascii="Courier New" w:hAnsi="Courier New"/>
          <w:color w:val="444444"/>
          <w:sz w:val="18"/>
        </w:rPr>
        <w:t>MatchScore</w:t>
      </w:r>
      <w:r>
        <w:rPr>
          <w:rFonts w:ascii="Calibri" w:hAnsi="Calibri"/>
          <w:color w:val="333333"/>
          <w:sz w:val="20"/>
        </w:rPr>
        <w:t xml:space="preserve">, </w:t>
      </w:r>
      <w:r>
        <w:rPr>
          <w:rFonts w:ascii="Courier New" w:hAnsi="Courier New"/>
          <w:color w:val="444444"/>
          <w:sz w:val="18"/>
        </w:rPr>
        <w:t>OverallMatch</w:t>
      </w:r>
      <w:r>
        <w:rPr>
          <w:rFonts w:ascii="Calibri" w:hAnsi="Calibri"/>
          <w:color w:val="333333"/>
          <w:sz w:val="20"/>
        </w:rPr>
        <w:t xml:space="preserve">, </w:t>
      </w:r>
      <w:r>
        <w:rPr>
          <w:rFonts w:ascii="Courier New" w:hAnsi="Courier New"/>
          <w:color w:val="444444"/>
          <w:sz w:val="18"/>
        </w:rPr>
        <w:t>PatientProfile</w:t>
      </w:r>
      <w:r>
        <w:rPr>
          <w:rFonts w:ascii="Calibri" w:hAnsi="Calibri"/>
          <w:color w:val="333333"/>
          <w:sz w:val="20"/>
        </w:rPr>
        <w:t xml:space="preserve">, </w:t>
      </w:r>
      <w:r>
        <w:rPr>
          <w:rFonts w:ascii="Courier New" w:hAnsi="Courier New"/>
          <w:color w:val="444444"/>
          <w:sz w:val="18"/>
        </w:rPr>
        <w:t>EligibilityAnalysis</w:t>
      </w:r>
      <w:r>
        <w:rPr>
          <w:rFonts w:ascii="Calibri" w:hAnsi="Calibri"/>
          <w:color w:val="333333"/>
          <w:sz w:val="20"/>
        </w:rPr>
        <w:t xml:space="preserve">, </w:t>
      </w:r>
      <w:r>
        <w:rPr>
          <w:rFonts w:ascii="Courier New" w:hAnsi="Courier New"/>
          <w:color w:val="444444"/>
          <w:sz w:val="18"/>
        </w:rPr>
        <w:t>SiteScore</w:t>
      </w:r>
      <w:r>
        <w:rPr>
          <w:rFonts w:ascii="Calibri" w:hAnsi="Calibri"/>
          <w:color w:val="333333"/>
          <w:sz w:val="20"/>
        </w:rPr>
        <w:t xml:space="preserve">, </w:t>
      </w:r>
      <w:r>
        <w:rPr>
          <w:rFonts w:ascii="Courier New" w:hAnsi="Courier New"/>
          <w:color w:val="444444"/>
          <w:sz w:val="18"/>
        </w:rPr>
        <w:t>SafetySignal</w:t>
      </w:r>
      <w:r>
        <w:rPr>
          <w:rFonts w:ascii="Calibri" w:hAnsi="Calibri"/>
          <w:color w:val="333333"/>
          <w:sz w:val="20"/>
        </w:rPr>
        <w:t xml:space="preserve">, </w:t>
      </w:r>
      <w:r>
        <w:rPr>
          <w:rFonts w:ascii="Courier New" w:hAnsi="Courier New"/>
          <w:color w:val="444444"/>
          <w:sz w:val="18"/>
        </w:rPr>
        <w:t>CompetitorProfile</w:t>
      </w:r>
      <w:r>
        <w:rPr>
          <w:rFonts w:ascii="Calibri" w:hAnsi="Calibri"/>
          <w:color w:val="333333"/>
          <w:sz w:val="20"/>
        </w:rPr>
        <w:t xml:space="preserve">, </w:t>
      </w:r>
      <w:r>
        <w:rPr>
          <w:rFonts w:ascii="Courier New" w:hAnsi="Courier New"/>
          <w:color w:val="444444"/>
          <w:sz w:val="18"/>
        </w:rPr>
        <w:t>ProtocolComplexity</w:t>
      </w:r>
      <w:r>
        <w:rPr>
          <w:rFonts w:ascii="Calibri" w:hAnsi="Calibri"/>
          <w:color w:val="333333"/>
          <w:sz w:val="20"/>
        </w:rPr>
        <w:t xml:space="preserve">, </w:t>
      </w:r>
      <w:r>
        <w:rPr>
          <w:rFonts w:ascii="Courier New" w:hAnsi="Courier New"/>
          <w:color w:val="444444"/>
          <w:sz w:val="18"/>
        </w:rPr>
        <w:t>WorkflowResult</w:t>
      </w:r>
      <w:r>
        <w:rPr>
          <w:rFonts w:ascii="Calibri" w:hAnsi="Calibri"/>
          <w:color w:val="333333"/>
          <w:sz w:val="20"/>
        </w:rPr>
        <w:t xml:space="preserve">, </w:t>
      </w:r>
      <w:r>
        <w:rPr>
          <w:rFonts w:ascii="Courier New" w:hAnsi="Courier New"/>
          <w:color w:val="444444"/>
          <w:sz w:val="18"/>
        </w:rPr>
        <w:t>TrialResponse</w:t>
      </w:r>
    </w:p>
    <w:p>
      <w:pPr>
        <w:spacing w:before="80" w:after="80"/>
        <w:pBdr>
          <w:bottom w:val="single" w:sz="6" w:color="1AAFCC"/>
        </w:pBdr>
      </w:pPr>
    </w:p>
    <w:p>
      <w:pPr>
        <w:pStyle w:val="Heading1"/>
        <w:spacing w:before="400" w:after="160"/>
      </w:pPr>
      <w:r>
        <w:rPr>
          <w:rFonts w:ascii="Calibri" w:hAnsi="Calibri"/>
          <w:b/>
          <w:color w:val="1B2333"/>
          <w:sz w:val="32"/>
        </w:rPr>
        <w:t>12. Streamlit UI</w:t>
      </w:r>
    </w:p>
    <w:p>
      <w:pPr>
        <w:pStyle w:val="Heading2"/>
        <w:spacing w:before="280" w:after="120"/>
      </w:pPr>
      <w:r>
        <w:rPr>
          <w:rFonts w:ascii="Calibri" w:hAnsi="Calibri"/>
          <w:b/>
          <w:color w:val="1AAFCC"/>
          <w:sz w:val="26"/>
        </w:rPr>
        <w:t>5-Tab Interface (port 8128)</w:t>
      </w:r>
    </w:p>
    <w:tbl>
      <w:tblPr>
        <w:tblW w:type="auto" w:w="0"/>
        <w:jc w:val="center"/>
        <w:tblLayout w:type="autofit"/>
        <w:tblLook w:firstColumn="1" w:firstRow="1" w:lastColumn="0" w:lastRow="0" w:noHBand="0" w:noVBand="1" w:val="04A0"/>
      </w:tblPr>
      <w:tblGrid>
        <w:gridCol w:w="4680"/>
        <w:gridCol w:w="4680"/>
      </w:tblGrid>
      <w:tr>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Tab</w:t>
            </w:r>
          </w:p>
        </w:tc>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Features</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**Trial Intelligence**</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RAG-powered Q&amp;A with workflow-aware routing, citation display</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**Patient Matching**</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Patient profile input, per-criterion scoring, site proximity</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**Protocol Optimizer**</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Protocol complexity scoring, endpoint recommendations, design suggestions</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**Competitive Landscape**</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Competitor threat scoring, enrollment tracking, mechanism comparison</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**Dashboard**</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Collection health, query volume, workflow execution metrics</w:t>
            </w:r>
          </w:p>
        </w:tc>
      </w:tr>
    </w:tbl>
    <w:p>
      <w:pPr>
        <w:spacing w:before="40" w:after="80"/>
      </w:pPr>
    </w:p>
    <w:p>
      <w:pPr>
        <w:pStyle w:val="Heading2"/>
        <w:spacing w:before="280" w:after="120"/>
      </w:pPr>
      <w:r>
        <w:rPr>
          <w:rFonts w:ascii="Calibri" w:hAnsi="Calibri"/>
          <w:b/>
          <w:color w:val="1AAFCC"/>
          <w:sz w:val="26"/>
        </w:rPr>
        <w:t>UI Theme</w:t>
      </w:r>
    </w:p>
    <w:p>
      <w:pPr>
        <w:spacing w:before="0" w:after="120"/>
      </w:pPr>
      <w:r>
        <w:rPr>
          <w:rFonts w:ascii="Calibri" w:hAnsi="Calibri"/>
          <w:color w:val="333333"/>
          <w:sz w:val="20"/>
        </w:rPr>
        <w:t xml:space="preserve">NVIDIA dark theme with custom CSS: primary background </w:t>
      </w:r>
      <w:r>
        <w:rPr>
          <w:rFonts w:ascii="Courier New" w:hAnsi="Courier New"/>
          <w:color w:val="444444"/>
          <w:sz w:val="18"/>
        </w:rPr>
        <w:t>#1a1a2e</w:t>
      </w:r>
      <w:r>
        <w:rPr>
          <w:rFonts w:ascii="Calibri" w:hAnsi="Calibri"/>
          <w:color w:val="333333"/>
          <w:sz w:val="20"/>
        </w:rPr>
        <w:t xml:space="preserve">, secondary </w:t>
      </w:r>
      <w:r>
        <w:rPr>
          <w:rFonts w:ascii="Courier New" w:hAnsi="Courier New"/>
          <w:color w:val="444444"/>
          <w:sz w:val="18"/>
        </w:rPr>
        <w:t>#16213e</w:t>
      </w:r>
      <w:r>
        <w:rPr>
          <w:rFonts w:ascii="Calibri" w:hAnsi="Calibri"/>
          <w:color w:val="333333"/>
          <w:sz w:val="20"/>
        </w:rPr>
        <w:t xml:space="preserve">, card </w:t>
      </w:r>
      <w:r>
        <w:rPr>
          <w:rFonts w:ascii="Courier New" w:hAnsi="Courier New"/>
          <w:color w:val="444444"/>
          <w:sz w:val="18"/>
        </w:rPr>
        <w:t>#0f3460</w:t>
      </w:r>
      <w:r>
        <w:rPr>
          <w:rFonts w:ascii="Calibri" w:hAnsi="Calibri"/>
          <w:color w:val="333333"/>
          <w:sz w:val="20"/>
        </w:rPr>
        <w:t xml:space="preserve">, accent NVIDIA green </w:t>
      </w:r>
      <w:r>
        <w:rPr>
          <w:rFonts w:ascii="Courier New" w:hAnsi="Courier New"/>
          <w:color w:val="444444"/>
          <w:sz w:val="18"/>
        </w:rPr>
        <w:t>#76b900</w:t>
      </w:r>
      <w:r>
        <w:rPr>
          <w:rFonts w:ascii="Calibri" w:hAnsi="Calibri"/>
          <w:color w:val="333333"/>
          <w:sz w:val="20"/>
        </w:rPr>
        <w:t>, with danger/warning/info/success color coding.</w:t>
      </w:r>
    </w:p>
    <w:p>
      <w:pPr>
        <w:spacing w:before="80" w:after="80"/>
        <w:pBdr>
          <w:bottom w:val="single" w:sz="6" w:color="1AAFCC"/>
        </w:pBdr>
      </w:pPr>
    </w:p>
    <w:p>
      <w:pPr>
        <w:pStyle w:val="Heading1"/>
        <w:spacing w:before="400" w:after="160"/>
      </w:pPr>
      <w:r>
        <w:rPr>
          <w:rFonts w:ascii="Calibri" w:hAnsi="Calibri"/>
          <w:b/>
          <w:color w:val="1B2333"/>
          <w:sz w:val="32"/>
        </w:rPr>
        <w:t>13. REST API</w:t>
      </w:r>
    </w:p>
    <w:p>
      <w:pPr>
        <w:pStyle w:val="Heading2"/>
        <w:spacing w:before="280" w:after="120"/>
      </w:pPr>
      <w:r>
        <w:rPr>
          <w:rFonts w:ascii="Calibri" w:hAnsi="Calibri"/>
          <w:b/>
          <w:color w:val="1AAFCC"/>
          <w:sz w:val="26"/>
        </w:rPr>
        <w:t>26 Endpoints (FastAPI, port 8538)</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Method</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Path</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Description</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GET</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`/health`</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Service health with collection and vector counts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GET</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`/collections`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Collection names and record counts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GET</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`/workflows`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Available clinical trial workflows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GET</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`/metrics`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Prometheus-compatible metrics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POST</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`/v1/trial/query`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RAG Q&amp;A query</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POST</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`/v1/trial/search`</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Multi-collection vector search</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POST</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`/v1/trial/protocol/optimize`</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Protocol optimization workflow</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POST</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`/v1/trial/match`</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Patient-trial matching</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POST</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`/v1/trial/match/batch`</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Batch patient matching</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POST</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`/v1/trial/site/recommend`</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Site selection recommendations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POST</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`/v1/trial/eligibility/optimize`</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Eligibility criteria optimization</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POST</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`/v1/trial/adaptive/evaluate`</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Adaptive design evaluation</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POST</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`/v1/trial/safety/signal`</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Safety signal detection</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POST</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`/v1/trial/regulatory/generate`</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Regulatory document generation</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POST</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`/v1/trial/competitive/landscape`</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Competitive intelligence</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POST</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`/v1/trial/diversity/assess`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Diversity assessment</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POST</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`/v1/trial/dct/plan`</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Decentralized trial planning</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GET</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`/v1/trial/therapeutic-areas`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Therapeutic area reference catalog</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GET</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`/v1/trial/phases`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Phase reference data</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GET</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`/v1/trial/guidelines`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Guideline reference data</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GET</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`/v1/trial/knowledge-version`</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Knowledge base version metadata</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POST</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`/v1/trial/workflow/{type}`</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Generic workflow dispatch</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POST</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`/v1/reports/generate`</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Report generation</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GET</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`/v1/reports/formats`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Supported export formats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GET</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`/v1/events/stream`</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SSE event stream</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GET</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`/v1/events/health`</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Event subsystem health</w:t>
            </w:r>
          </w:p>
        </w:tc>
      </w:tr>
    </w:tbl>
    <w:p>
      <w:pPr>
        <w:spacing w:before="40" w:after="80"/>
      </w:pPr>
    </w:p>
    <w:p>
      <w:pPr>
        <w:spacing w:before="80" w:after="80"/>
        <w:pBdr>
          <w:bottom w:val="single" w:sz="6" w:color="1AAFCC"/>
        </w:pBdr>
      </w:pPr>
    </w:p>
    <w:p>
      <w:pPr>
        <w:pStyle w:val="Heading1"/>
        <w:spacing w:before="400" w:after="160"/>
      </w:pPr>
      <w:r>
        <w:rPr>
          <w:rFonts w:ascii="Calibri" w:hAnsi="Calibri"/>
          <w:b/>
          <w:color w:val="1B2333"/>
          <w:sz w:val="32"/>
        </w:rPr>
        <w:t>14. Data Ingest Pipelines</w:t>
      </w:r>
    </w:p>
    <w:p>
      <w:pPr>
        <w:spacing w:before="0" w:after="120"/>
      </w:pPr>
      <w:r>
        <w:rPr>
          <w:rFonts w:ascii="Calibri" w:hAnsi="Calibri"/>
          <w:color w:val="333333"/>
          <w:sz w:val="20"/>
        </w:rPr>
        <w:t xml:space="preserve">Three specialized ingest parsers, all inheriting from </w:t>
      </w:r>
      <w:r>
        <w:rPr>
          <w:rFonts w:ascii="Courier New" w:hAnsi="Courier New"/>
          <w:color w:val="444444"/>
          <w:sz w:val="18"/>
        </w:rPr>
        <w:t>BaseIngestPipeline</w:t>
      </w:r>
      <w:r>
        <w:rPr>
          <w:rFonts w:ascii="Calibri" w:hAnsi="Calibri"/>
          <w:color w:val="333333"/>
          <w:sz w:val="20"/>
        </w:rPr>
        <w:t>:</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Parser</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Source</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Output Collections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`ClinicalTrialsParser`</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ClinicalTrials.gov XML/JSON API</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protocols, eligibility, endpoints, sites, investigators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`PubMedParser`</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PubMed/MEDLINE E-utilities API</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literature, results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`RegulatoryParser`</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FDA/EMA regulatory documents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regulatory, guidelines, safety</w:t>
            </w:r>
          </w:p>
        </w:tc>
      </w:tr>
    </w:tbl>
    <w:p>
      <w:pPr>
        <w:spacing w:before="40" w:after="80"/>
      </w:pPr>
    </w:p>
    <w:p>
      <w:pPr>
        <w:pStyle w:val="Heading2"/>
        <w:spacing w:before="280" w:after="120"/>
      </w:pPr>
      <w:r>
        <w:rPr>
          <w:rFonts w:ascii="Calibri" w:hAnsi="Calibri"/>
          <w:b/>
          <w:color w:val="1AAFCC"/>
          <w:sz w:val="26"/>
        </w:rPr>
        <w:t>Ingest Pipeline Features</w:t>
      </w:r>
    </w:p>
    <w:p>
      <w:pPr>
        <w:spacing w:before="40" w:after="40"/>
        <w:ind w:left="504" w:hanging="216"/>
      </w:pPr>
      <w:r>
        <w:rPr>
          <w:rFonts w:ascii="Calibri" w:hAnsi="Calibri"/>
          <w:color w:val="1AAFCC"/>
          <w:sz w:val="20"/>
        </w:rPr>
        <w:t xml:space="preserve">•  </w:t>
      </w:r>
      <w:r>
        <w:rPr>
          <w:rFonts w:ascii="Calibri" w:hAnsi="Calibri"/>
          <w:color w:val="333333"/>
          <w:sz w:val="20"/>
        </w:rPr>
        <w:t>Chunking with configurable overlap for long documents</w:t>
      </w:r>
    </w:p>
    <w:p>
      <w:pPr>
        <w:spacing w:before="40" w:after="40"/>
        <w:ind w:left="504" w:hanging="216"/>
      </w:pPr>
      <w:r>
        <w:rPr>
          <w:rFonts w:ascii="Calibri" w:hAnsi="Calibri"/>
          <w:color w:val="1AAFCC"/>
          <w:sz w:val="20"/>
        </w:rPr>
        <w:t xml:space="preserve">•  </w:t>
      </w:r>
      <w:r>
        <w:rPr>
          <w:rFonts w:ascii="Calibri" w:hAnsi="Calibri"/>
          <w:color w:val="333333"/>
          <w:sz w:val="20"/>
        </w:rPr>
        <w:t>Deduplication by trial ID and content hash</w:t>
      </w:r>
    </w:p>
    <w:p>
      <w:pPr>
        <w:spacing w:before="40" w:after="40"/>
        <w:ind w:left="504" w:hanging="216"/>
      </w:pPr>
      <w:r>
        <w:rPr>
          <w:rFonts w:ascii="Calibri" w:hAnsi="Calibri"/>
          <w:color w:val="1AAFCC"/>
          <w:sz w:val="20"/>
        </w:rPr>
        <w:t xml:space="preserve">•  </w:t>
      </w:r>
      <w:r>
        <w:rPr>
          <w:rFonts w:ascii="Calibri" w:hAnsi="Calibri"/>
          <w:color w:val="333333"/>
          <w:sz w:val="20"/>
        </w:rPr>
        <w:t>Rate limiting for external API calls (NCBI API key support)</w:t>
      </w:r>
    </w:p>
    <w:p>
      <w:pPr>
        <w:spacing w:before="40" w:after="40"/>
        <w:ind w:left="504" w:hanging="216"/>
      </w:pPr>
      <w:r>
        <w:rPr>
          <w:rFonts w:ascii="Calibri" w:hAnsi="Calibri"/>
          <w:color w:val="1AAFCC"/>
          <w:sz w:val="20"/>
        </w:rPr>
        <w:t xml:space="preserve">•  </w:t>
      </w:r>
      <w:r>
        <w:rPr>
          <w:rFonts w:ascii="Calibri" w:hAnsi="Calibri"/>
          <w:color w:val="333333"/>
          <w:sz w:val="20"/>
        </w:rPr>
        <w:t>Incremental ingest (new records only, timestamp-based)</w:t>
      </w:r>
    </w:p>
    <w:p>
      <w:pPr>
        <w:spacing w:before="40" w:after="40"/>
        <w:ind w:left="504" w:hanging="216"/>
      </w:pPr>
      <w:r>
        <w:rPr>
          <w:rFonts w:ascii="Calibri" w:hAnsi="Calibri"/>
          <w:color w:val="1AAFCC"/>
          <w:sz w:val="20"/>
        </w:rPr>
        <w:t xml:space="preserve">•  </w:t>
      </w:r>
      <w:r>
        <w:rPr>
          <w:rFonts w:ascii="Calibri" w:hAnsi="Calibri"/>
          <w:color w:val="333333"/>
          <w:sz w:val="20"/>
        </w:rPr>
        <w:t>Validation and error reporting at each stage</w:t>
      </w:r>
    </w:p>
    <w:p>
      <w:pPr>
        <w:spacing w:before="80" w:after="80"/>
        <w:pBdr>
          <w:bottom w:val="single" w:sz="6" w:color="1AAFCC"/>
        </w:pBdr>
      </w:pPr>
    </w:p>
    <w:p>
      <w:pPr>
        <w:pStyle w:val="Heading1"/>
        <w:spacing w:before="400" w:after="160"/>
      </w:pPr>
      <w:r>
        <w:rPr>
          <w:rFonts w:ascii="Calibri" w:hAnsi="Calibri"/>
          <w:b/>
          <w:color w:val="1B2333"/>
          <w:sz w:val="32"/>
        </w:rPr>
        <w:t>15. Seed Data Inventory</w:t>
      </w:r>
    </w:p>
    <w:p>
      <w:pPr>
        <w:spacing w:before="0" w:after="120"/>
      </w:pPr>
      <w:r>
        <w:rPr>
          <w:rFonts w:ascii="Calibri" w:hAnsi="Calibri"/>
          <w:color w:val="333333"/>
          <w:sz w:val="20"/>
        </w:rPr>
        <w:t xml:space="preserve">The knowledge base is seeded from </w:t>
      </w:r>
      <w:r>
        <w:rPr>
          <w:rFonts w:ascii="Courier New" w:hAnsi="Courier New"/>
          <w:color w:val="444444"/>
          <w:sz w:val="18"/>
        </w:rPr>
        <w:t>scripts/seed_knowledge.py</w:t>
      </w:r>
      <w:r>
        <w:rPr>
          <w:rFonts w:ascii="Calibri" w:hAnsi="Calibri"/>
          <w:color w:val="333333"/>
          <w:sz w:val="20"/>
        </w:rPr>
        <w:t xml:space="preserve"> with:</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Category</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Count</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Source</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Landmark Trials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Curated from published Phase 3 results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Therapeutic Areas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13</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ICH/FDA/BIO classification</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Trial Phases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7</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ICH E8(R1)</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Regulatory Agencies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9</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FDA, EMA, PMDA, Health Canada, TGA, MHRA, NMPA, Swissmedic, ANVISA</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Endpoint Types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9</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Primary through ctDNA clearance</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Adaptive Designs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9</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Group sequential through dose-finding</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Biomarker Strategies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9</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Enrichment through digital biomarker</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DCT Components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9</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eConsent through digital informed consent</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Safety Signal Metrics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6</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PRR, ROR, EBGM, etc.</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Drug Synonyms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33</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Brand/generic/code name mappings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Biomarker Aliases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22</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Multi-assay and synonym mappings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Entity Aliases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140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Abbreviation resolution</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Endpoint Synonyms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15</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OS, PFS, ORR, MACE, QoL, PRO, etc.</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Regulatory Terms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19</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IND, NDA, BLA, BTD, SPA, etc.</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Design Synonyms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14</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Adaptive, basket, umbrella, platform, etc.</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Population Descriptors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Pediatric, geriatric, treatment-naive, etc.</w:t>
            </w:r>
          </w:p>
        </w:tc>
      </w:tr>
    </w:tbl>
    <w:p>
      <w:pPr>
        <w:spacing w:before="40" w:after="80"/>
      </w:pPr>
    </w:p>
    <w:p>
      <w:pPr>
        <w:pStyle w:val="Heading2"/>
        <w:spacing w:before="280" w:after="120"/>
      </w:pPr>
      <w:r>
        <w:rPr>
          <w:rFonts w:ascii="Calibri" w:hAnsi="Calibri"/>
          <w:b/>
          <w:color w:val="1AAFCC"/>
          <w:sz w:val="26"/>
        </w:rPr>
        <w:t>All 35 Conditions in Knowledge Base</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Condition</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Therapeutic Area</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Non-small cell lung cancer (NSCLC)</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Oncology</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Breast cancer</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Oncology</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3</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Colorectal cancer (CRC)</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Oncology</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4</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Acute myeloid leukemia (AML)</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Hematology / Oncology</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5</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Multiple myeloma (MM)</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Hematology</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6</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Heart failure (HF)</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Cardiovascular</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7</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Atrial fibrillation (AFib)</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Cardiovascular</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8</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Alzheimer's disease (AD)</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Neuroscience</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9</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Parkinson's disease (PD)</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Neuroscience</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Rheumatoid arthritis (RA)</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Immunology</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11</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Systemic lupus erythematosus (SLE)</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Immunology</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12</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Crohn's disease</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Gastroenterology</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13</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Ulcerative colitis (UC)</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Gastroenterology</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14</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Type 2 diabetes mellitus (T2DM)</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Metabolic</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15</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Obesity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Metabolic</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16</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NASH / MASH</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Metabolic / Gastroenterology</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17</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HIV</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Infectious Disease</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18</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RSV</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Infectious Disease</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19</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Spinal muscular atrophy (SMA)</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Rare Diseases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Duchenne muscular dystrophy (DMD)</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Rare Diseases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21</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Cystic fibrosis (CF)</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Rare Diseases / Respiratory</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22</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Atopic dermatitis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Dermatology / Immunology</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23</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Psoriasis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Dermatology</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24</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Glioblastoma multiforme (GBM)</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Oncology</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25</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Hepatocellular carcinoma (HCC)</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Oncology</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26</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Pancreatic ductal adenocarcinoma (PDAC)</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Oncology</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27</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Ovarian cancer</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Oncology</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28</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Bladder cancer</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Oncology</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29</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Myelodysplastic syndromes (MDS)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Hematology</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30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Idiopathic pulmonary fibrosis (IPF)</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Respiratory</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31</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Chronic kidney disease (CKD)</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Metabolic / Nephrology</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32</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Migraine</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Neuroscience</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33</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Type 1 diabetes mellitus (T1DM)</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Metabolic</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34</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NASH / MAFLD</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Metabolic</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35</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Systemic sclerosis (SSc)</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Immunology</w:t>
            </w:r>
          </w:p>
        </w:tc>
      </w:tr>
    </w:tbl>
    <w:p>
      <w:pPr>
        <w:spacing w:before="40" w:after="80"/>
      </w:pPr>
    </w:p>
    <w:p>
      <w:pPr>
        <w:pStyle w:val="Heading2"/>
        <w:spacing w:before="280" w:after="120"/>
      </w:pPr>
      <w:r>
        <w:rPr>
          <w:rFonts w:ascii="Calibri" w:hAnsi="Calibri"/>
          <w:b/>
          <w:color w:val="1AAFCC"/>
          <w:sz w:val="26"/>
        </w:rPr>
        <w:t>All 34 Drugs in Knowledge Base</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Drug (Generic)</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Brand Name</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Mechanism</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Key Indication</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Pembrolizumab</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Keytruda</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Anti-PD-1</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NSCLC, melanoma, multiple cancers</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Nivolumab</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Opdivo</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Anti-PD-1</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Melanoma, NSCLC, RCC</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3</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Atezolizumab</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Tecentriq</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Anti-PD-L1</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NSCLC, urothelial cancer</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4</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Durvalumab</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Imfinzi</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Anti-PD-L1</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NSCLC, biliary cancer</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5</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Ipilimumab</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Yervoy</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Anti-CTLA-4</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Melanoma (combination IO)</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6</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Trastuzumab</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Herceptin</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Anti-HER2</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HER2+ breast cancer</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7</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Trastuzumab deruxtecan</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Enhertu</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Anti-HER2 ADC</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HER2+ / HER2-low breast, NSCLC</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8</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Bevacizumab</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Avastin</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Anti-VEGF</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CRC, NSCLC, RCC</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9</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Osimertinib</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Tagrisso</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EGFR TKI (3rd gen)</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EGFR+ NSCLC</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10</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Sotorasib</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Lumakras</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KRAS G12C inhibitor</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KRAS G12C+ NSCLC</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11</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Adagrasib</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Krazati</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KRAS G12C inhibitor</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KRAS G12C+ NSCLC</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12</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Olaparib</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Lynparza</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PARP inhibitor</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BRCA+ ovarian, breast</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13</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Sacubitril/valsartan</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Entresto</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ARNI</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HFrEF</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14</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Empagliflozin</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Jardiance</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SGLT2 inhibitor</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T2DM, HFrEF, CKD</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15</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Dapagliflozin</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Farxiga</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SGLT2 inhibitor</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T2DM, HFrEF, CKD</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16</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Semaglutide</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Ozempic / Wegovy</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GLP-1 RA</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T2DM, obesity, CV risk</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17</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Tirzepatide</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Mounjaro / Zepbound</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GLP-1/GIP dual agonist</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T2DM, obesity</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18</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Adalimumab</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Humira</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Anti-TNF</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RA, IBD, psoriasis</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19</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Ustekinumab</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Stelara</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Anti-IL-12/23</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Psoriasis, Crohn's</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20</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Dupilumab</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Dupixent</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Anti-IL-4Ralpha</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Atopic dermatitis, asthma</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21</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Risankizumab</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Skyrizi</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Anti-IL-23</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Psoriasis, Crohn's</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22</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Secukinumab</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Cosentyx</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Anti-IL-17A</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Psoriasis, AS, PsA</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23</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Abemaciclib</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Verzenio</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CDK4/6 inhibitor</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HR+ breast cancer</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24</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Palbociclib</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Ibrance</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CDK4/6 inhibitor</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HR+ breast cancer</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25</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Ribociclib</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Kisqali</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CDK4/6 inhibitor</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HR+ breast cancer</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26</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Lecanemab</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Leqembi</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Anti-amyloid protofibril</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Early AD</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27</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Donanemab</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Kisunla</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Anti-N3pG amyloid</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Early AD</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28</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Vericiguat</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Verquvo</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sGC stimulator</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Worsening HF</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29</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Evolocumab</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Repatha</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PCSK9 inhibitor</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ASCVD / dyslipidemia</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30</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Inclisiran</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Leqvio</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PCSK9 siRNA</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Dyslipidemia</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31</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Onasemnogene abeparvovec</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Zolgensma</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SMN1 gene therapy</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SMA</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32</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Tisagenlecleucel</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Kymriah</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Anti-CD19 CAR-T</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B-ALL, DLBCL, FL</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33</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Axicabtagene ciloleucel</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Yescarta</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Anti-CD19 CAR-T</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DLBCL</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34</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Upadacitinib</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Rinvoq</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JAK inhibitor</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RA, AD, UC</w:t>
            </w:r>
          </w:p>
        </w:tc>
      </w:tr>
    </w:tbl>
    <w:p>
      <w:pPr>
        <w:spacing w:before="40" w:after="80"/>
      </w:pPr>
    </w:p>
    <w:p>
      <w:pPr>
        <w:pStyle w:val="Heading2"/>
        <w:spacing w:before="280" w:after="120"/>
      </w:pPr>
      <w:r>
        <w:rPr>
          <w:rFonts w:ascii="Calibri" w:hAnsi="Calibri"/>
          <w:b/>
          <w:color w:val="1AAFCC"/>
          <w:sz w:val="26"/>
        </w:rPr>
        <w:t>All 24 Biomarkers in Knowledge Base</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Biomarker</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Type</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Clinical Use</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PD-L1</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Predictive</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IO therapy selection (TPS, CPS, IC score)</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TMB</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Predictive</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Checkpoint inhibitor response</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3</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MSI / MSI-H</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Predictive</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Checkpoint inhibitor response, Lynch syndrome</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4</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dMMR</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Predictive</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Mismatch repair deficiency detection</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5</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HER2</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Predictive / Prognostic</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Anti-HER2 therapy selection</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6</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EGFR</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Predictive</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TKI therapy selection (exon 19del, L858R, T790M)</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7</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BRCA1/2</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Predictive</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PARP inhibitor selection, HRD status</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8</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ALK</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Predictive</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ALK-TKI therapy selection</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9</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KRAS</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Predictive</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KRAS G12C inhibitor selection</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10</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BRAF</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Predictive</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BRAF/MEK inhibitor selection</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11</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NTRK</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Predictive</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TRK inhibitor selection (tumor-agnostic)</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12</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RET</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Predictive</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RET inhibitor selection</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13</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MET</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Predictive</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MET inhibitor selection (exon 14 skip, amp)</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14</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FGFR</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Predictive</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FGFR inhibitor selection</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15</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PIK3CA</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Predictive</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PI3K inhibitor selection</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16</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NT-proBNP</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Prognostic</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Heart failure diagnosis and monitoring</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17</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Troponin</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Diagnostic / Prognostic</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MI diagnosis, cardiac safety</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18</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HbA1c</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Surrogate</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Diabetes glycemic control</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19</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ctDNA</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Monitoring</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Treatment response, MRD, liquid biopsy</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20</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MRD</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Response</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Minimal residual disease in hematologic cancers</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21</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CRP / hsCRP</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Prognostic</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Inflammation, CV risk</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22</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NfL</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Prognostic</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Neurodegeneration monitoring</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23</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FEV1</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Efficacy</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Pulmonary function (asthma, COPD, IPF)</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24</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Eosinophils</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Predictive</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Biologic therapy selection (asthma, AD)</w:t>
            </w:r>
          </w:p>
        </w:tc>
      </w:tr>
    </w:tbl>
    <w:p>
      <w:pPr>
        <w:spacing w:before="40" w:after="80"/>
      </w:pPr>
    </w:p>
    <w:p>
      <w:pPr>
        <w:pStyle w:val="Heading2"/>
        <w:spacing w:before="280" w:after="120"/>
      </w:pPr>
      <w:r>
        <w:rPr>
          <w:rFonts w:ascii="Calibri" w:hAnsi="Calibri"/>
          <w:b/>
          <w:color w:val="1AAFCC"/>
          <w:sz w:val="26"/>
        </w:rPr>
        <w:t>All 40 Landmark Trials in Knowledge Base</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Trial Name</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NCT ID</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Phase</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Key Finding</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KEYNOTE-024</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NCT02142738</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Phase 3</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Pembrolizumab PFS HR 0.50; first-line IO monotherapy</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EMPEROR-Reduced</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NCT03057977</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Phase 3</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Empagliflozin reduced CV death/HF hosp by 25%</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3</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RECOVERY</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NCT04381936</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Phase 2/3</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Dexamethasone reduced mortality by 1/3 in ventilated</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4</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PARADIGM-HF</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NCT01035255</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Phase 3</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ARNI 20% reduction vs ACEi; new HF standard</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5</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CheckMate-067</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NCT01844505</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Phase 3</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Nivo+Ipi 52% 5-year OS; combination IO paradigm</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6</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SPRINT</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NCT01206062</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Phase 3</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Intensive BP control 25% MACE reduction</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7</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EMPA-REG OUTCOME</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NCT01131676</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Phase 3</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First diabetes drug with CV mortality benefit</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8</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DAPA-CKD</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NCT03036150</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Phase 3</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SGLT2i to non-diabetic CKD; HR 0.61</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9</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HIMALAYA</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NCT03298451</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Phase 3</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STRIDE single anti-CTLA-4 priming dose</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10</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DESTINY-Breast04</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NCT03734029</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Phase 3</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T-DXd created new HER2-low targetable population</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11</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ADVANCE (Aducanumab)</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NCT02477800</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Phase 3</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Controversial amyloid-based accelerated approval</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12</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CLARITY-AD</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NCT03887455</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Phase 3</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Lecanemab 27% CDR-SB reduction; amyloid validation</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13</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FOURIER</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NCT01764633</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Phase 3</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PCSK9 inhibition reduces CV events</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14</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FLAURA</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NCT02296125</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Phase 3</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Osimertinib first-line EGFR+ NSCLC; OS benefit</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15</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ADAURA</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NCT02511106</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Phase 3</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Adjuvant osimertinib DFS HR 0.20</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16</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MAGELLAN</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NCT03504397</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Phase 3</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Zolbetuximab in CLDN18.2+ gastric cancer</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17</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I-SPY 2</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NCT01042379</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Phase 2</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Bayesian adaptive randomization platform</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18</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VICTORIA</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NCT02861534</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Phase 3</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Vericiguat added to HF armamentarium</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19</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TOPAZ-1</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NCT03875235</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Phase 3</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Durvalumab first IO OS benefit in biliary cancer</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20</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KRYSTAL-1</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NCT03785249</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Phase 1/2</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Adagrasib 42.9% ORR; KRAS G12C validated</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21</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ELARA</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NCT03568461</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Phase 2</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Tisagenlecleucel CAR-T in follicular lymphoma</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22</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CREST (Semaglutide)</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NCT03693430</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Phase 3</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~15% body weight reduction; GLP-1 RA obesity</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23</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CheckMate-227</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NCT02477826</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Phase 3</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Nivo+Ipi OS benefit regardless of PD-L1</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24</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KEYNOTE-522</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NCT03036488</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Phase 3</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Pembro+chemo in early TNBC; pCR 64.8%</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25</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DESTINY-Lung02</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NCT04644237</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Phase 2</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T-DXd in HER2-mutant NSCLC; ORR 49%</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26</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CLEAR Outcomes</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NCT02993406</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Phase 3</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Bempedoic acid MACE reduction</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27</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SELECT</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NCT03574597</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Phase 3</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Semaglutide 20% MACE reduction in obesity</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28</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STEP-HFpEF</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NCT04788511</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Phase 3</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Semaglutide improved HFpEF symptoms/function</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29</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TRAILBLAZER-ALZ 2</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NCT04437511</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Phase 3</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Donanemab 35% iADRS slowing; tau-staging approach</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30</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EMERGE/ENGAGE</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NCT02484547</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Phase 3</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Aducanumab discordant twin trials; controversial</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31</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SPR1NT (SMA)</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NCT03505099</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Phase 3</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Pre-symptomatic Zolgensma; curative gene therapy</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32</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SUNFISH</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NCT02908685</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Phase 2/3</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Risdiplam oral SMA treatment across ages</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33</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CASGEVY</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NCT03655678</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Phase 2/3</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First CRISPR gene therapy approved</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34</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SELECT-COMPARE</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NCT02629159</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Phase 3</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Upadacitinib superiority over adalimumab in RA</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35</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SURMOUNT-1</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NCT04184622</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Phase 3</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Tirzepatide 22.5% weight loss</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36</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PURPOSE 1</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NCT04994509</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Phase 3</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Lenacapavir 100% HIV PrEP efficacy</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37</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PANORAMIC</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NCT04998396</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Phase 3</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Molnupiravir platform trial in vaccinated COVID</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38</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EPIC-HR</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NCT04960202</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Phase 2/3</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Paxlovid 89% hospitalization reduction</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39</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IMpower110</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NCT02409342</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Phase 3</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Atezolizumab IO monotherapy in PD-L1-high NSCLC</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40</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DAPA-HF</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NCT03036124</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Phase 3</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Dapagliflozin HF benefit regardless of diabetes</w:t>
            </w:r>
          </w:p>
        </w:tc>
      </w:tr>
    </w:tbl>
    <w:p>
      <w:pPr>
        <w:spacing w:before="40" w:after="80"/>
      </w:pPr>
    </w:p>
    <w:p>
      <w:pPr>
        <w:pStyle w:val="Heading2"/>
        <w:spacing w:before="280" w:after="120"/>
      </w:pPr>
      <w:r>
        <w:rPr>
          <w:rFonts w:ascii="Calibri" w:hAnsi="Calibri"/>
          <w:b/>
          <w:color w:val="1AAFCC"/>
          <w:sz w:val="26"/>
        </w:rPr>
        <w:t>Knowledge Sources</w:t>
      </w:r>
    </w:p>
    <w:p>
      <w:pPr>
        <w:spacing w:before="40" w:after="40"/>
        <w:ind w:left="504" w:hanging="216"/>
      </w:pPr>
      <w:r>
        <w:rPr>
          <w:rFonts w:ascii="Calibri" w:hAnsi="Calibri"/>
          <w:color w:val="1AAFCC"/>
          <w:sz w:val="20"/>
        </w:rPr>
        <w:t xml:space="preserve">•  </w:t>
      </w:r>
      <w:r>
        <w:rPr>
          <w:rFonts w:ascii="Calibri" w:hAnsi="Calibri"/>
          <w:color w:val="333333"/>
          <w:sz w:val="20"/>
        </w:rPr>
        <w:t>ICH E6(R2) / E6(R3) Good Clinical Practice</w:t>
      </w:r>
    </w:p>
    <w:p>
      <w:pPr>
        <w:spacing w:before="40" w:after="40"/>
        <w:ind w:left="504" w:hanging="216"/>
      </w:pPr>
      <w:r>
        <w:rPr>
          <w:rFonts w:ascii="Calibri" w:hAnsi="Calibri"/>
          <w:color w:val="1AAFCC"/>
          <w:sz w:val="20"/>
        </w:rPr>
        <w:t xml:space="preserve">•  </w:t>
      </w:r>
      <w:r>
        <w:rPr>
          <w:rFonts w:ascii="Calibri" w:hAnsi="Calibri"/>
          <w:color w:val="333333"/>
          <w:sz w:val="20"/>
        </w:rPr>
        <w:t>ICH E8(R1) General Considerations for Clinical Studies</w:t>
      </w:r>
    </w:p>
    <w:p>
      <w:pPr>
        <w:spacing w:before="40" w:after="40"/>
        <w:ind w:left="504" w:hanging="216"/>
      </w:pPr>
      <w:r>
        <w:rPr>
          <w:rFonts w:ascii="Calibri" w:hAnsi="Calibri"/>
          <w:color w:val="1AAFCC"/>
          <w:sz w:val="20"/>
        </w:rPr>
        <w:t xml:space="preserve">•  </w:t>
      </w:r>
      <w:r>
        <w:rPr>
          <w:rFonts w:ascii="Calibri" w:hAnsi="Calibri"/>
          <w:color w:val="333333"/>
          <w:sz w:val="20"/>
        </w:rPr>
        <w:t>ICH E9(R1) Statistical Principles -- Estimands</w:t>
      </w:r>
    </w:p>
    <w:p>
      <w:pPr>
        <w:spacing w:before="40" w:after="40"/>
        <w:ind w:left="504" w:hanging="216"/>
      </w:pPr>
      <w:r>
        <w:rPr>
          <w:rFonts w:ascii="Calibri" w:hAnsi="Calibri"/>
          <w:color w:val="1AAFCC"/>
          <w:sz w:val="20"/>
        </w:rPr>
        <w:t xml:space="preserve">•  </w:t>
      </w:r>
      <w:r>
        <w:rPr>
          <w:rFonts w:ascii="Calibri" w:hAnsi="Calibri"/>
          <w:color w:val="333333"/>
          <w:sz w:val="20"/>
        </w:rPr>
        <w:t>FDA Guidance: Adaptive Designs for Clinical Trials (2019)</w:t>
      </w:r>
    </w:p>
    <w:p>
      <w:pPr>
        <w:spacing w:before="40" w:after="40"/>
        <w:ind w:left="504" w:hanging="216"/>
      </w:pPr>
      <w:r>
        <w:rPr>
          <w:rFonts w:ascii="Calibri" w:hAnsi="Calibri"/>
          <w:color w:val="1AAFCC"/>
          <w:sz w:val="20"/>
        </w:rPr>
        <w:t xml:space="preserve">•  </w:t>
      </w:r>
      <w:r>
        <w:rPr>
          <w:rFonts w:ascii="Calibri" w:hAnsi="Calibri"/>
          <w:color w:val="333333"/>
          <w:sz w:val="20"/>
        </w:rPr>
        <w:t>FDA Guidance: Decentralized Clinical Trials (2023)</w:t>
      </w:r>
    </w:p>
    <w:p>
      <w:pPr>
        <w:spacing w:before="40" w:after="40"/>
        <w:ind w:left="504" w:hanging="216"/>
      </w:pPr>
      <w:r>
        <w:rPr>
          <w:rFonts w:ascii="Calibri" w:hAnsi="Calibri"/>
          <w:color w:val="1AAFCC"/>
          <w:sz w:val="20"/>
        </w:rPr>
        <w:t xml:space="preserve">•  </w:t>
      </w:r>
      <w:r>
        <w:rPr>
          <w:rFonts w:ascii="Calibri" w:hAnsi="Calibri"/>
          <w:color w:val="333333"/>
          <w:sz w:val="20"/>
        </w:rPr>
        <w:t>EMA Guideline on Multiplicity Issues in Clinical Trials</w:t>
      </w:r>
    </w:p>
    <w:p>
      <w:pPr>
        <w:spacing w:before="40" w:after="40"/>
        <w:ind w:left="504" w:hanging="216"/>
      </w:pPr>
      <w:r>
        <w:rPr>
          <w:rFonts w:ascii="Calibri" w:hAnsi="Calibri"/>
          <w:color w:val="1AAFCC"/>
          <w:sz w:val="20"/>
        </w:rPr>
        <w:t xml:space="preserve">•  </w:t>
      </w:r>
      <w:r>
        <w:rPr>
          <w:rFonts w:ascii="Calibri" w:hAnsi="Calibri"/>
          <w:color w:val="333333"/>
          <w:sz w:val="20"/>
        </w:rPr>
        <w:t>ClinicalTrials.gov registry data</w:t>
      </w:r>
    </w:p>
    <w:p>
      <w:pPr>
        <w:spacing w:before="40" w:after="40"/>
        <w:ind w:left="504" w:hanging="216"/>
      </w:pPr>
      <w:r>
        <w:rPr>
          <w:rFonts w:ascii="Calibri" w:hAnsi="Calibri"/>
          <w:color w:val="1AAFCC"/>
          <w:sz w:val="20"/>
        </w:rPr>
        <w:t xml:space="preserve">•  </w:t>
      </w:r>
      <w:r>
        <w:rPr>
          <w:rFonts w:ascii="Calibri" w:hAnsi="Calibri"/>
          <w:color w:val="333333"/>
          <w:sz w:val="20"/>
        </w:rPr>
        <w:t>FDA CDER Drug Approval Reports 2015-2025</w:t>
      </w:r>
    </w:p>
    <w:p>
      <w:pPr>
        <w:spacing w:before="40" w:after="40"/>
        <w:ind w:left="504" w:hanging="216"/>
      </w:pPr>
      <w:r>
        <w:rPr>
          <w:rFonts w:ascii="Calibri" w:hAnsi="Calibri"/>
          <w:color w:val="1AAFCC"/>
          <w:sz w:val="20"/>
        </w:rPr>
        <w:t xml:space="preserve">•  </w:t>
      </w:r>
      <w:r>
        <w:rPr>
          <w:rFonts w:ascii="Calibri" w:hAnsi="Calibri"/>
          <w:color w:val="333333"/>
          <w:sz w:val="20"/>
        </w:rPr>
        <w:t>BIO/QLS Advisors Clinical Development Success Rates 2011-2020</w:t>
      </w:r>
    </w:p>
    <w:p>
      <w:pPr>
        <w:spacing w:before="40" w:after="40"/>
        <w:ind w:left="504" w:hanging="216"/>
      </w:pPr>
      <w:r>
        <w:rPr>
          <w:rFonts w:ascii="Calibri" w:hAnsi="Calibri"/>
          <w:color w:val="1AAFCC"/>
          <w:sz w:val="20"/>
        </w:rPr>
        <w:t xml:space="preserve">•  </w:t>
      </w:r>
      <w:r>
        <w:rPr>
          <w:rFonts w:ascii="Calibri" w:hAnsi="Calibri"/>
          <w:color w:val="333333"/>
          <w:sz w:val="20"/>
        </w:rPr>
        <w:t>PhRMA Clinical Trial Success Rates 2011-2020</w:t>
      </w:r>
    </w:p>
    <w:p>
      <w:pPr>
        <w:spacing w:before="80" w:after="80"/>
        <w:pBdr>
          <w:bottom w:val="single" w:sz="6" w:color="1AAFCC"/>
        </w:pBdr>
      </w:pPr>
    </w:p>
    <w:p>
      <w:pPr>
        <w:pStyle w:val="Heading1"/>
        <w:spacing w:before="400" w:after="160"/>
      </w:pPr>
      <w:r>
        <w:rPr>
          <w:rFonts w:ascii="Calibri" w:hAnsi="Calibri"/>
          <w:b/>
          <w:color w:val="1B2333"/>
          <w:sz w:val="32"/>
        </w:rPr>
        <w:t>16. Export &amp; Reporting</w:t>
      </w:r>
    </w:p>
    <w:p>
      <w:pPr>
        <w:spacing w:before="0" w:after="120"/>
      </w:pPr>
      <w:r>
        <w:rPr>
          <w:rFonts w:ascii="Calibri" w:hAnsi="Calibri"/>
          <w:color w:val="333333"/>
          <w:sz w:val="20"/>
        </w:rPr>
        <w:t xml:space="preserve">The </w:t>
      </w:r>
      <w:r>
        <w:rPr>
          <w:rFonts w:ascii="Courier New" w:hAnsi="Courier New"/>
          <w:color w:val="444444"/>
          <w:sz w:val="18"/>
        </w:rPr>
        <w:t>src/export.py</w:t>
      </w:r>
      <w:r>
        <w:rPr>
          <w:rFonts w:ascii="Calibri" w:hAnsi="Calibri"/>
          <w:color w:val="333333"/>
          <w:sz w:val="20"/>
        </w:rPr>
        <w:t xml:space="preserve"> module (725 LOC) supports:</w:t>
      </w:r>
    </w:p>
    <w:p>
      <w:pPr>
        <w:spacing w:before="40" w:after="40"/>
        <w:ind w:left="504" w:hanging="216"/>
      </w:pPr>
      <w:r>
        <w:rPr>
          <w:rFonts w:ascii="Calibri" w:hAnsi="Calibri"/>
          <w:color w:val="1AAFCC"/>
          <w:sz w:val="20"/>
        </w:rPr>
        <w:t xml:space="preserve">•  </w:t>
      </w:r>
      <w:r>
        <w:rPr>
          <w:rFonts w:ascii="Calibri" w:hAnsi="Calibri"/>
          <w:b/>
          <w:color w:val="333333"/>
          <w:sz w:val="20"/>
        </w:rPr>
        <w:t>Markdown</w:t>
      </w:r>
      <w:r>
        <w:rPr>
          <w:rFonts w:ascii="Calibri" w:hAnsi="Calibri"/>
          <w:color w:val="333333"/>
          <w:sz w:val="20"/>
        </w:rPr>
        <w:t xml:space="preserve"> reports with structured headings, tables, and citations</w:t>
      </w:r>
    </w:p>
    <w:p>
      <w:pPr>
        <w:spacing w:before="40" w:after="40"/>
        <w:ind w:left="504" w:hanging="216"/>
      </w:pPr>
      <w:r>
        <w:rPr>
          <w:rFonts w:ascii="Calibri" w:hAnsi="Calibri"/>
          <w:color w:val="1AAFCC"/>
          <w:sz w:val="20"/>
        </w:rPr>
        <w:t xml:space="preserve">•  </w:t>
      </w:r>
      <w:r>
        <w:rPr>
          <w:rFonts w:ascii="Calibri" w:hAnsi="Calibri"/>
          <w:b/>
          <w:color w:val="333333"/>
          <w:sz w:val="20"/>
        </w:rPr>
        <w:t>JSON</w:t>
      </w:r>
      <w:r>
        <w:rPr>
          <w:rFonts w:ascii="Calibri" w:hAnsi="Calibri"/>
          <w:color w:val="333333"/>
          <w:sz w:val="20"/>
        </w:rPr>
        <w:t xml:space="preserve"> structured data export for programmatic consumption</w:t>
      </w:r>
    </w:p>
    <w:p>
      <w:pPr>
        <w:spacing w:before="40" w:after="40"/>
        <w:ind w:left="504" w:hanging="216"/>
      </w:pPr>
      <w:r>
        <w:rPr>
          <w:rFonts w:ascii="Calibri" w:hAnsi="Calibri"/>
          <w:color w:val="1AAFCC"/>
          <w:sz w:val="20"/>
        </w:rPr>
        <w:t xml:space="preserve">•  </w:t>
      </w:r>
      <w:r>
        <w:rPr>
          <w:rFonts w:ascii="Calibri" w:hAnsi="Calibri"/>
          <w:b/>
          <w:color w:val="333333"/>
          <w:sz w:val="20"/>
        </w:rPr>
        <w:t>PDF</w:t>
      </w:r>
      <w:r>
        <w:rPr>
          <w:rFonts w:ascii="Calibri" w:hAnsi="Calibri"/>
          <w:color w:val="333333"/>
          <w:sz w:val="20"/>
        </w:rPr>
        <w:t xml:space="preserve"> generation via report templates</w:t>
      </w:r>
    </w:p>
    <w:p>
      <w:pPr>
        <w:spacing w:before="40" w:after="40"/>
        <w:ind w:left="504" w:hanging="216"/>
      </w:pPr>
      <w:r>
        <w:rPr>
          <w:rFonts w:ascii="Calibri" w:hAnsi="Calibri"/>
          <w:color w:val="1AAFCC"/>
          <w:sz w:val="20"/>
        </w:rPr>
        <w:t xml:space="preserve">•  </w:t>
      </w:r>
      <w:r>
        <w:rPr>
          <w:rFonts w:ascii="Calibri" w:hAnsi="Calibri"/>
          <w:color w:val="333333"/>
          <w:sz w:val="20"/>
        </w:rPr>
        <w:t>Trial-specific formatting: protocol summaries, patient match reports, safety signal reports, competitive landscape comparisons</w:t>
      </w:r>
    </w:p>
    <w:p>
      <w:pPr>
        <w:spacing w:before="40" w:after="40"/>
        <w:ind w:left="504" w:hanging="216"/>
      </w:pPr>
      <w:r>
        <w:rPr>
          <w:rFonts w:ascii="Calibri" w:hAnsi="Calibri"/>
          <w:color w:val="1AAFCC"/>
          <w:sz w:val="20"/>
        </w:rPr>
        <w:t xml:space="preserve">•  </w:t>
      </w:r>
      <w:r>
        <w:rPr>
          <w:rFonts w:ascii="Calibri" w:hAnsi="Calibri"/>
          <w:color w:val="333333"/>
          <w:sz w:val="20"/>
        </w:rPr>
        <w:t>Citation formatting with collection source, relevance score, and evidence level</w:t>
      </w:r>
    </w:p>
    <w:p>
      <w:pPr>
        <w:spacing w:before="80" w:after="80"/>
        <w:pBdr>
          <w:bottom w:val="single" w:sz="6" w:color="1AAFCC"/>
        </w:pBdr>
      </w:pPr>
    </w:p>
    <w:p>
      <w:pPr>
        <w:pStyle w:val="Heading1"/>
        <w:spacing w:before="400" w:after="160"/>
      </w:pPr>
      <w:r>
        <w:rPr>
          <w:rFonts w:ascii="Calibri" w:hAnsi="Calibri"/>
          <w:b/>
          <w:color w:val="1B2333"/>
          <w:sz w:val="32"/>
        </w:rPr>
        <w:t>17. Observability &amp; Metrics</w:t>
      </w:r>
    </w:p>
    <w:p>
      <w:pPr>
        <w:spacing w:before="0" w:after="120"/>
      </w:pPr>
      <w:r>
        <w:rPr>
          <w:rFonts w:ascii="Calibri" w:hAnsi="Calibri"/>
          <w:color w:val="333333"/>
          <w:sz w:val="20"/>
        </w:rPr>
        <w:t xml:space="preserve">Prometheus-compatible metrics via </w:t>
      </w:r>
      <w:r>
        <w:rPr>
          <w:rFonts w:ascii="Courier New" w:hAnsi="Courier New"/>
          <w:color w:val="444444"/>
          <w:sz w:val="18"/>
        </w:rPr>
        <w:t>src/metrics.py</w:t>
      </w:r>
      <w:r>
        <w:rPr>
          <w:rFonts w:ascii="Calibri" w:hAnsi="Calibri"/>
          <w:color w:val="333333"/>
          <w:sz w:val="20"/>
        </w:rPr>
        <w:t xml:space="preserve"> (525 LOC):</w:t>
      </w:r>
    </w:p>
    <w:tbl>
      <w:tblPr>
        <w:tblW w:type="auto" w:w="0"/>
        <w:jc w:val="center"/>
        <w:tblLayout w:type="autofit"/>
        <w:tblLook w:firstColumn="1" w:firstRow="1" w:lastColumn="0" w:lastRow="0" w:noHBand="0" w:noVBand="1" w:val="04A0"/>
      </w:tblPr>
      <w:tblGrid>
        <w:gridCol w:w="4680"/>
        <w:gridCol w:w="4680"/>
      </w:tblGrid>
      <w:tr>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Category</w:t>
            </w:r>
          </w:p>
        </w:tc>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Metrics</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Query</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`trial_queries_total`, `trial_query_duration_seconds`, `trial_query_errors_total`</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RAG/Search</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`trial_search_total`, `trial_search_duration_seconds`</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Workflow</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`trial_workflow_executions_total`, `trial_workflow_duration_seconds`</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LLM</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`trial_llm_tokens_total`, `trial_llm_latency_seconds`</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Ingest</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`trial_ingest_records_total`, `trial_ingest_errors_total`</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System</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`trial_collection_records_gauge`, `trial_system_info`</w:t>
            </w:r>
          </w:p>
        </w:tc>
      </w:tr>
    </w:tbl>
    <w:p>
      <w:pPr>
        <w:spacing w:before="40" w:after="80"/>
      </w:pPr>
    </w:p>
    <w:p>
      <w:pPr>
        <w:spacing w:before="0" w:after="120"/>
      </w:pPr>
      <w:r>
        <w:rPr>
          <w:rFonts w:ascii="Calibri" w:hAnsi="Calibri"/>
          <w:color w:val="333333"/>
          <w:sz w:val="20"/>
        </w:rPr>
        <w:t xml:space="preserve">All metrics gracefully degrade if </w:t>
      </w:r>
      <w:r>
        <w:rPr>
          <w:rFonts w:ascii="Courier New" w:hAnsi="Courier New"/>
          <w:color w:val="444444"/>
          <w:sz w:val="18"/>
        </w:rPr>
        <w:t>prometheus_client</w:t>
      </w:r>
      <w:r>
        <w:rPr>
          <w:rFonts w:ascii="Calibri" w:hAnsi="Calibri"/>
          <w:color w:val="333333"/>
          <w:sz w:val="20"/>
        </w:rPr>
        <w:t xml:space="preserve"> is not installed (no-op stubs).</w:t>
      </w:r>
    </w:p>
    <w:p>
      <w:pPr>
        <w:spacing w:before="80" w:after="80"/>
        <w:pBdr>
          <w:bottom w:val="single" w:sz="6" w:color="1AAFCC"/>
        </w:pBdr>
      </w:pPr>
    </w:p>
    <w:p>
      <w:pPr>
        <w:pStyle w:val="Heading1"/>
        <w:spacing w:before="400" w:after="160"/>
      </w:pPr>
      <w:r>
        <w:rPr>
          <w:rFonts w:ascii="Calibri" w:hAnsi="Calibri"/>
          <w:b/>
          <w:color w:val="1B2333"/>
          <w:sz w:val="32"/>
        </w:rPr>
        <w:t>18. Scheduling &amp; Automation</w:t>
      </w:r>
    </w:p>
    <w:p>
      <w:pPr>
        <w:spacing w:before="0" w:after="120"/>
      </w:pPr>
      <w:r>
        <w:rPr>
          <w:rFonts w:ascii="Calibri" w:hAnsi="Calibri"/>
          <w:color w:val="333333"/>
          <w:sz w:val="20"/>
        </w:rPr>
        <w:t xml:space="preserve">The </w:t>
      </w:r>
      <w:r>
        <w:rPr>
          <w:rFonts w:ascii="Courier New" w:hAnsi="Courier New"/>
          <w:color w:val="444444"/>
          <w:sz w:val="18"/>
        </w:rPr>
        <w:t>src/scheduler.py</w:t>
      </w:r>
      <w:r>
        <w:rPr>
          <w:rFonts w:ascii="Calibri" w:hAnsi="Calibri"/>
          <w:color w:val="333333"/>
          <w:sz w:val="20"/>
        </w:rPr>
        <w:t xml:space="preserve"> (577 LOC) provides:</w:t>
      </w:r>
    </w:p>
    <w:p>
      <w:pPr>
        <w:spacing w:before="40" w:after="40"/>
        <w:ind w:left="504" w:hanging="216"/>
      </w:pPr>
      <w:r>
        <w:rPr>
          <w:rFonts w:ascii="Calibri" w:hAnsi="Calibri"/>
          <w:color w:val="1AAFCC"/>
          <w:sz w:val="20"/>
        </w:rPr>
        <w:t xml:space="preserve">•  </w:t>
      </w:r>
      <w:r>
        <w:rPr>
          <w:rFonts w:ascii="Calibri" w:hAnsi="Calibri"/>
          <w:color w:val="333333"/>
          <w:sz w:val="20"/>
        </w:rPr>
        <w:t>Configurable ingest schedule (default 24-hour interval)</w:t>
      </w:r>
    </w:p>
    <w:p>
      <w:pPr>
        <w:spacing w:before="40" w:after="40"/>
        <w:ind w:left="504" w:hanging="216"/>
      </w:pPr>
      <w:r>
        <w:rPr>
          <w:rFonts w:ascii="Calibri" w:hAnsi="Calibri"/>
          <w:color w:val="1AAFCC"/>
          <w:sz w:val="20"/>
        </w:rPr>
        <w:t xml:space="preserve">•  </w:t>
      </w:r>
      <w:r>
        <w:rPr>
          <w:rFonts w:ascii="Calibri" w:hAnsi="Calibri"/>
          <w:color w:val="333333"/>
          <w:sz w:val="20"/>
        </w:rPr>
        <w:t>Collection maintenance (compaction, index rebuild)</w:t>
      </w:r>
    </w:p>
    <w:p>
      <w:pPr>
        <w:spacing w:before="40" w:after="40"/>
        <w:ind w:left="504" w:hanging="216"/>
      </w:pPr>
      <w:r>
        <w:rPr>
          <w:rFonts w:ascii="Calibri" w:hAnsi="Calibri"/>
          <w:color w:val="1AAFCC"/>
          <w:sz w:val="20"/>
        </w:rPr>
        <w:t xml:space="preserve">•  </w:t>
      </w:r>
      <w:r>
        <w:rPr>
          <w:rFonts w:ascii="Calibri" w:hAnsi="Calibri"/>
          <w:color w:val="333333"/>
          <w:sz w:val="20"/>
        </w:rPr>
        <w:t>Knowledge base refresh from external sources</w:t>
      </w:r>
    </w:p>
    <w:p>
      <w:pPr>
        <w:spacing w:before="40" w:after="40"/>
        <w:ind w:left="504" w:hanging="216"/>
      </w:pPr>
      <w:r>
        <w:rPr>
          <w:rFonts w:ascii="Calibri" w:hAnsi="Calibri"/>
          <w:color w:val="1AAFCC"/>
          <w:sz w:val="20"/>
        </w:rPr>
        <w:t xml:space="preserve">•  </w:t>
      </w:r>
      <w:r>
        <w:rPr>
          <w:rFonts w:ascii="Calibri" w:hAnsi="Calibri"/>
          <w:color w:val="333333"/>
          <w:sz w:val="20"/>
        </w:rPr>
        <w:t>Daemon thread execution with graceful shutdown</w:t>
      </w:r>
    </w:p>
    <w:p>
      <w:pPr>
        <w:spacing w:before="40" w:after="40"/>
        <w:ind w:left="504" w:hanging="216"/>
      </w:pPr>
      <w:r>
        <w:rPr>
          <w:rFonts w:ascii="Calibri" w:hAnsi="Calibri"/>
          <w:color w:val="1AAFCC"/>
          <w:sz w:val="20"/>
        </w:rPr>
        <w:t xml:space="preserve">•  </w:t>
      </w:r>
      <w:r>
        <w:rPr>
          <w:rFonts w:ascii="Calibri" w:hAnsi="Calibri"/>
          <w:color w:val="333333"/>
          <w:sz w:val="20"/>
        </w:rPr>
        <w:t xml:space="preserve">Enable/disable via </w:t>
      </w:r>
      <w:r>
        <w:rPr>
          <w:rFonts w:ascii="Courier New" w:hAnsi="Courier New"/>
          <w:color w:val="444444"/>
          <w:sz w:val="18"/>
        </w:rPr>
        <w:t>TRIAL_INGEST_ENABLED</w:t>
      </w:r>
      <w:r>
        <w:rPr>
          <w:rFonts w:ascii="Calibri" w:hAnsi="Calibri"/>
          <w:color w:val="333333"/>
          <w:sz w:val="20"/>
        </w:rPr>
        <w:t xml:space="preserve"> environment variable</w:t>
      </w:r>
    </w:p>
    <w:p>
      <w:pPr>
        <w:spacing w:before="80" w:after="80"/>
        <w:pBdr>
          <w:bottom w:val="single" w:sz="6" w:color="1AAFCC"/>
        </w:pBdr>
      </w:pPr>
    </w:p>
    <w:p>
      <w:pPr>
        <w:pStyle w:val="Heading1"/>
        <w:spacing w:before="400" w:after="160"/>
      </w:pPr>
      <w:r>
        <w:rPr>
          <w:rFonts w:ascii="Calibri" w:hAnsi="Calibri"/>
          <w:b/>
          <w:color w:val="1B2333"/>
          <w:sz w:val="32"/>
        </w:rPr>
        <w:t>19. Configuration System</w:t>
      </w:r>
    </w:p>
    <w:p>
      <w:pPr>
        <w:spacing w:before="0" w:after="120"/>
      </w:pPr>
      <w:r>
        <w:rPr>
          <w:rFonts w:ascii="Calibri" w:hAnsi="Calibri"/>
          <w:color w:val="333333"/>
          <w:sz w:val="20"/>
        </w:rPr>
        <w:t xml:space="preserve">Pydantic BaseSettings in </w:t>
      </w:r>
      <w:r>
        <w:rPr>
          <w:rFonts w:ascii="Courier New" w:hAnsi="Courier New"/>
          <w:color w:val="444444"/>
          <w:sz w:val="18"/>
        </w:rPr>
        <w:t>config/settings.py</w:t>
      </w:r>
      <w:r>
        <w:rPr>
          <w:rFonts w:ascii="Calibri" w:hAnsi="Calibri"/>
          <w:color w:val="333333"/>
          <w:sz w:val="20"/>
        </w:rPr>
        <w:t>:</w:t>
      </w:r>
    </w:p>
    <w:tbl>
      <w:tblPr>
        <w:tblW w:type="auto" w:w="0"/>
        <w:jc w:val="center"/>
        <w:tblLayout w:type="autofit"/>
        <w:tblLook w:firstColumn="1" w:firstRow="1" w:lastColumn="0" w:lastRow="0" w:noHBand="0" w:noVBand="1" w:val="04A0"/>
      </w:tblPr>
      <w:tblGrid>
        <w:gridCol w:w="4680"/>
        <w:gridCol w:w="4680"/>
      </w:tblGrid>
      <w:tr>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Section</w:t>
            </w:r>
          </w:p>
        </w:tc>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Key Settings</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Paths</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`PROJECT_ROOT`, `DATA_DIR`, `CACHE_DIR`, `REFERENCE_DIR`</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Milvus</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`MILVUS_HOST=localhost`, `MILVUS_PORT=19530`</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Embeddings</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`EMBEDDING_MODEL=BAAI/bge-small-en-v1.5`, `EMBEDDING_DIMENSION=384`</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LLM</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`LLM_MODEL=claude-sonnet-4-6`, `ANTHROPIC_API_KEY`</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Search</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`TOP_K_PER_COLLECTION=5`, `SCORE_THRESHOLD=0.4`</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Weights</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14 collection weights summing to ~1.0</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API</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`API_PORT=8538`, `STREAMLIT_PORT=8128`</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Cross-Agent</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URLs for oncology (8527), PGx (8107), cardiology (8126), biomarker (8529)</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Security</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`API_KEY` (empty = no auth), `CORS_ORIGINS`</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Scheduler</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`INGEST_SCHEDULE_HOURS=24`, `INGEST_ENABLED=False`</w:t>
            </w:r>
          </w:p>
        </w:tc>
      </w:tr>
    </w:tbl>
    <w:p>
      <w:pPr>
        <w:spacing w:before="40" w:after="80"/>
      </w:pPr>
    </w:p>
    <w:p>
      <w:pPr>
        <w:spacing w:before="0" w:after="120"/>
      </w:pPr>
      <w:r>
        <w:rPr>
          <w:rFonts w:ascii="Calibri" w:hAnsi="Calibri"/>
          <w:color w:val="333333"/>
          <w:sz w:val="20"/>
        </w:rPr>
        <w:t xml:space="preserve">Environment prefix: </w:t>
      </w:r>
      <w:r>
        <w:rPr>
          <w:rFonts w:ascii="Courier New" w:hAnsi="Courier New"/>
          <w:color w:val="444444"/>
          <w:sz w:val="18"/>
        </w:rPr>
        <w:t>TRIAL_</w:t>
      </w:r>
      <w:r>
        <w:rPr>
          <w:rFonts w:ascii="Calibri" w:hAnsi="Calibri"/>
          <w:color w:val="333333"/>
          <w:sz w:val="20"/>
        </w:rPr>
        <w:t xml:space="preserve"> (e.g., </w:t>
      </w:r>
      <w:r>
        <w:rPr>
          <w:rFonts w:ascii="Courier New" w:hAnsi="Courier New"/>
          <w:color w:val="444444"/>
          <w:sz w:val="18"/>
        </w:rPr>
        <w:t>TRIAL_MILVUS_HOST</w:t>
      </w:r>
      <w:r>
        <w:rPr>
          <w:rFonts w:ascii="Calibri" w:hAnsi="Calibri"/>
          <w:color w:val="333333"/>
          <w:sz w:val="20"/>
        </w:rPr>
        <w:t xml:space="preserve">, </w:t>
      </w:r>
      <w:r>
        <w:rPr>
          <w:rFonts w:ascii="Courier New" w:hAnsi="Courier New"/>
          <w:color w:val="444444"/>
          <w:sz w:val="18"/>
        </w:rPr>
        <w:t>TRIAL_API_PORT</w:t>
      </w:r>
      <w:r>
        <w:rPr>
          <w:rFonts w:ascii="Calibri" w:hAnsi="Calibri"/>
          <w:color w:val="333333"/>
          <w:sz w:val="20"/>
        </w:rPr>
        <w:t>).</w:t>
      </w:r>
    </w:p>
    <w:p>
      <w:pPr>
        <w:spacing w:before="0" w:after="120"/>
      </w:pPr>
      <w:r>
        <w:rPr>
          <w:rFonts w:ascii="Calibri" w:hAnsi="Calibri"/>
          <w:color w:val="333333"/>
          <w:sz w:val="20"/>
        </w:rPr>
        <w:t>Startup validation checks Milvus connectivity, API key presence, port conflicts, and weight sum (~1.0 tolerance 0.05).</w:t>
      </w:r>
    </w:p>
    <w:p>
      <w:pPr>
        <w:spacing w:before="80" w:after="80"/>
        <w:pBdr>
          <w:bottom w:val="single" w:sz="6" w:color="1AAFCC"/>
        </w:pBdr>
      </w:pPr>
    </w:p>
    <w:p>
      <w:pPr>
        <w:pStyle w:val="Heading1"/>
        <w:spacing w:before="400" w:after="160"/>
      </w:pPr>
      <w:r>
        <w:rPr>
          <w:rFonts w:ascii="Calibri" w:hAnsi="Calibri"/>
          <w:b/>
          <w:color w:val="1B2333"/>
          <w:sz w:val="32"/>
        </w:rPr>
        <w:t>20. Security &amp; Authentication</w:t>
      </w:r>
    </w:p>
    <w:tbl>
      <w:tblPr>
        <w:tblW w:type="auto" w:w="0"/>
        <w:jc w:val="center"/>
        <w:tblLayout w:type="autofit"/>
        <w:tblLook w:firstColumn="1" w:firstRow="1" w:lastColumn="0" w:lastRow="0" w:noHBand="0" w:noVBand="1" w:val="04A0"/>
      </w:tblPr>
      <w:tblGrid>
        <w:gridCol w:w="4680"/>
        <w:gridCol w:w="4680"/>
      </w:tblGrid>
      <w:tr>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Feature</w:t>
            </w:r>
          </w:p>
        </w:tc>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Implementation</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API Key Authentication</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`X-API-Key` header validation (optional, empty = disabled)</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CORS</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Configurable origins (default: localhost:8080, 8538, 8128)</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Rate Limiting</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100 requests/minute per IP</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Input Validation</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Pydantic models with field constraints (min/max length, ranges)</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SQL Injection</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N/A (no SQL -- Milvus vector search only)</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Path Traversal</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Controlled via Pydantic BaseSettings path validation</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Secrets Management</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Environment variables, `.env` file support</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HTTPS</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Handled by reverse proxy (nginx/traefik in production)</w:t>
            </w:r>
          </w:p>
        </w:tc>
      </w:tr>
    </w:tbl>
    <w:p>
      <w:pPr>
        <w:spacing w:before="40" w:after="80"/>
      </w:pPr>
    </w:p>
    <w:p>
      <w:pPr>
        <w:spacing w:before="80" w:after="80"/>
        <w:pBdr>
          <w:bottom w:val="single" w:sz="6" w:color="1AAFCC"/>
        </w:pBdr>
      </w:pPr>
    </w:p>
    <w:p>
      <w:pPr>
        <w:pStyle w:val="Heading1"/>
        <w:spacing w:before="400" w:after="160"/>
      </w:pPr>
      <w:r>
        <w:rPr>
          <w:rFonts w:ascii="Calibri" w:hAnsi="Calibri"/>
          <w:b/>
          <w:color w:val="1B2333"/>
          <w:sz w:val="32"/>
        </w:rPr>
        <w:t>21. Infrastructure &amp; Deployment</w:t>
      </w:r>
    </w:p>
    <w:p>
      <w:pPr>
        <w:pStyle w:val="Heading2"/>
        <w:spacing w:before="280" w:after="120"/>
      </w:pPr>
      <w:r>
        <w:rPr>
          <w:rFonts w:ascii="Calibri" w:hAnsi="Calibri"/>
          <w:b/>
          <w:color w:val="1AAFCC"/>
          <w:sz w:val="26"/>
        </w:rPr>
        <w:t>Integrated Deployment (docker-compose)</w:t>
      </w:r>
    </w:p>
    <w:p>
      <w:pPr>
        <w:spacing w:before="0" w:after="120"/>
      </w:pPr>
      <w:r>
        <w:rPr>
          <w:rFonts w:ascii="Calibri" w:hAnsi="Calibri"/>
          <w:color w:val="333333"/>
          <w:sz w:val="20"/>
        </w:rPr>
        <w:t xml:space="preserve">The agent runs as part of the HCLS AI Factory </w:t>
      </w:r>
      <w:r>
        <w:rPr>
          <w:rFonts w:ascii="Courier New" w:hAnsi="Courier New"/>
          <w:color w:val="444444"/>
          <w:sz w:val="18"/>
        </w:rPr>
        <w:t>docker-compose.dgx-spark.yml</w:t>
      </w:r>
      <w:r>
        <w:rPr>
          <w:rFonts w:ascii="Calibri" w:hAnsi="Calibri"/>
          <w:color w:val="333333"/>
          <w:sz w:val="20"/>
        </w:rPr>
        <w:t>:</w:t>
      </w:r>
    </w:p>
    <w:p>
      <w:pPr>
        <w:spacing w:before="120" w:after="0"/>
      </w:pPr>
      <w:r>
        <w:rPr>
          <w:rFonts w:ascii="Calibri" w:hAnsi="Calibri"/>
          <w:b/>
          <w:color w:val="1AAFCC"/>
          <w:sz w:val="16"/>
        </w:rPr>
        <w:t>yaml</w:t>
      </w:r>
    </w:p>
    <w:p>
      <w:pPr>
        <w:spacing w:before="0" w:after="0" w:line="240" w:lineRule="auto"/>
        <w:ind w:left="288"/>
        <w:shd w:val="clear" w:fill="F0F0F0"/>
      </w:pPr>
      <w:r>
        <w:rPr>
          <w:rFonts w:ascii="Courier New" w:hAnsi="Courier New"/>
          <w:color w:val="444444"/>
          <w:sz w:val="18"/>
        </w:rPr>
        <w:t>clinical-trial-agent-api:</w:t>
      </w:r>
    </w:p>
    <w:p>
      <w:pPr>
        <w:spacing w:before="0" w:after="0" w:line="240" w:lineRule="auto"/>
        <w:ind w:left="288"/>
        <w:shd w:val="clear" w:fill="F0F0F0"/>
      </w:pPr>
      <w:r>
        <w:rPr>
          <w:rFonts w:ascii="Courier New" w:hAnsi="Courier New"/>
          <w:color w:val="444444"/>
          <w:sz w:val="18"/>
        </w:rPr>
        <w:t xml:space="preserve">  build: ./ai_agent_adds/clinical_trial_intelligence_agent</w:t>
      </w:r>
    </w:p>
    <w:p>
      <w:pPr>
        <w:spacing w:before="0" w:after="0" w:line="240" w:lineRule="auto"/>
        <w:ind w:left="288"/>
        <w:shd w:val="clear" w:fill="F0F0F0"/>
      </w:pPr>
      <w:r>
        <w:rPr>
          <w:rFonts w:ascii="Courier New" w:hAnsi="Courier New"/>
          <w:color w:val="444444"/>
          <w:sz w:val="18"/>
        </w:rPr>
        <w:t xml:space="preserve">  ports:</w:t>
      </w:r>
    </w:p>
    <w:p>
      <w:pPr>
        <w:spacing w:before="0" w:after="0" w:line="240" w:lineRule="auto"/>
        <w:ind w:left="288"/>
        <w:shd w:val="clear" w:fill="F0F0F0"/>
      </w:pPr>
      <w:r>
        <w:rPr>
          <w:rFonts w:ascii="Courier New" w:hAnsi="Courier New"/>
          <w:color w:val="444444"/>
          <w:sz w:val="18"/>
        </w:rPr>
        <w:t xml:space="preserve">    - "8538:8538"</w:t>
      </w:r>
    </w:p>
    <w:p>
      <w:pPr>
        <w:spacing w:before="0" w:after="0" w:line="240" w:lineRule="auto"/>
        <w:ind w:left="288"/>
        <w:shd w:val="clear" w:fill="F0F0F0"/>
      </w:pPr>
      <w:r>
        <w:rPr>
          <w:rFonts w:ascii="Courier New" w:hAnsi="Courier New"/>
          <w:color w:val="444444"/>
          <w:sz w:val="18"/>
        </w:rPr>
        <w:t xml:space="preserve">  environment:</w:t>
      </w:r>
    </w:p>
    <w:p>
      <w:pPr>
        <w:spacing w:before="0" w:after="0" w:line="240" w:lineRule="auto"/>
        <w:ind w:left="288"/>
        <w:shd w:val="clear" w:fill="F0F0F0"/>
      </w:pPr>
      <w:r>
        <w:rPr>
          <w:rFonts w:ascii="Courier New" w:hAnsi="Courier New"/>
          <w:color w:val="444444"/>
          <w:sz w:val="18"/>
        </w:rPr>
        <w:t xml:space="preserve">    - TRIAL_MILVUS_HOST=milvus-standalone</w:t>
      </w:r>
    </w:p>
    <w:p>
      <w:pPr>
        <w:spacing w:before="0" w:after="0" w:line="240" w:lineRule="auto"/>
        <w:ind w:left="288"/>
        <w:shd w:val="clear" w:fill="F0F0F0"/>
      </w:pPr>
      <w:r>
        <w:rPr>
          <w:rFonts w:ascii="Courier New" w:hAnsi="Courier New"/>
          <w:color w:val="444444"/>
          <w:sz w:val="18"/>
        </w:rPr>
        <w:t xml:space="preserve">    - TRIAL_MILVUS_PORT=19530</w:t>
      </w:r>
    </w:p>
    <w:p>
      <w:pPr>
        <w:spacing w:before="0" w:after="0" w:line="240" w:lineRule="auto"/>
        <w:ind w:left="288"/>
        <w:shd w:val="clear" w:fill="F0F0F0"/>
      </w:pPr>
      <w:r>
        <w:rPr>
          <w:rFonts w:ascii="Courier New" w:hAnsi="Courier New"/>
          <w:color w:val="444444"/>
          <w:sz w:val="18"/>
        </w:rPr>
        <w:t xml:space="preserve">    - TRIAL_ANTHROPIC_API_KEY=${ANTHROPIC_API_KEY}</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clinical-trial-agent-ui:</w:t>
      </w:r>
    </w:p>
    <w:p>
      <w:pPr>
        <w:spacing w:before="0" w:after="0" w:line="240" w:lineRule="auto"/>
        <w:ind w:left="288"/>
        <w:shd w:val="clear" w:fill="F0F0F0"/>
      </w:pPr>
      <w:r>
        <w:rPr>
          <w:rFonts w:ascii="Courier New" w:hAnsi="Courier New"/>
          <w:color w:val="444444"/>
          <w:sz w:val="18"/>
        </w:rPr>
        <w:t xml:space="preserve">  command: streamlit run app/trial_ui.py --server.port 8128</w:t>
      </w:r>
    </w:p>
    <w:p>
      <w:pPr>
        <w:spacing w:before="0" w:after="0" w:line="240" w:lineRule="auto"/>
        <w:ind w:left="288"/>
        <w:shd w:val="clear" w:fill="F0F0F0"/>
      </w:pPr>
      <w:r>
        <w:rPr>
          <w:rFonts w:ascii="Courier New" w:hAnsi="Courier New"/>
          <w:color w:val="444444"/>
          <w:sz w:val="18"/>
        </w:rPr>
        <w:t xml:space="preserve">  ports:</w:t>
      </w:r>
    </w:p>
    <w:p>
      <w:pPr>
        <w:spacing w:before="0" w:after="0" w:line="240" w:lineRule="auto"/>
        <w:ind w:left="288"/>
        <w:shd w:val="clear" w:fill="F0F0F0"/>
      </w:pPr>
      <w:r>
        <w:rPr>
          <w:rFonts w:ascii="Courier New" w:hAnsi="Courier New"/>
          <w:color w:val="444444"/>
          <w:sz w:val="18"/>
        </w:rPr>
        <w:t xml:space="preserve">    - "8128:8128"</w:t>
      </w:r>
    </w:p>
    <w:p>
      <w:pPr>
        <w:pStyle w:val="Heading2"/>
        <w:spacing w:before="280" w:after="120"/>
      </w:pPr>
      <w:r>
        <w:rPr>
          <w:rFonts w:ascii="Calibri" w:hAnsi="Calibri"/>
          <w:b/>
          <w:color w:val="1AAFCC"/>
          <w:sz w:val="26"/>
        </w:rPr>
        <w:t>Standalone Deployment</w:t>
      </w:r>
    </w:p>
    <w:p>
      <w:pPr>
        <w:spacing w:before="120" w:after="0"/>
      </w:pPr>
      <w:r>
        <w:rPr>
          <w:rFonts w:ascii="Calibri" w:hAnsi="Calibri"/>
          <w:b/>
          <w:color w:val="1AAFCC"/>
          <w:sz w:val="16"/>
        </w:rPr>
        <w:t>bash</w:t>
      </w:r>
    </w:p>
    <w:p>
      <w:pPr>
        <w:spacing w:before="0" w:after="0" w:line="240" w:lineRule="auto"/>
        <w:ind w:left="288"/>
        <w:shd w:val="clear" w:fill="F0F0F0"/>
      </w:pPr>
      <w:r>
        <w:rPr>
          <w:rFonts w:ascii="Courier New" w:hAnsi="Courier New"/>
          <w:color w:val="444444"/>
          <w:sz w:val="18"/>
        </w:rPr>
        <w:t># Start Milvus standalone</w:t>
      </w:r>
    </w:p>
    <w:p>
      <w:pPr>
        <w:spacing w:before="0" w:after="0" w:line="240" w:lineRule="auto"/>
        <w:ind w:left="288"/>
        <w:shd w:val="clear" w:fill="F0F0F0"/>
      </w:pPr>
      <w:r>
        <w:rPr>
          <w:rFonts w:ascii="Courier New" w:hAnsi="Courier New"/>
          <w:color w:val="444444"/>
          <w:sz w:val="18"/>
        </w:rPr>
        <w:t>docker-compose -f docker-compose.yml up -d milvus-standalone</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 API server</w:t>
      </w:r>
    </w:p>
    <w:p>
      <w:pPr>
        <w:spacing w:before="0" w:after="0" w:line="240" w:lineRule="auto"/>
        <w:ind w:left="288"/>
        <w:shd w:val="clear" w:fill="F0F0F0"/>
      </w:pPr>
      <w:r>
        <w:rPr>
          <w:rFonts w:ascii="Courier New" w:hAnsi="Courier New"/>
          <w:color w:val="444444"/>
          <w:sz w:val="18"/>
        </w:rPr>
        <w:t>uvicorn api.main:app --host 0.0.0.0 --port 8538</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 Streamlit UI</w:t>
      </w:r>
    </w:p>
    <w:p>
      <w:pPr>
        <w:spacing w:before="0" w:after="0" w:line="240" w:lineRule="auto"/>
        <w:ind w:left="288"/>
        <w:shd w:val="clear" w:fill="F0F0F0"/>
      </w:pPr>
      <w:r>
        <w:rPr>
          <w:rFonts w:ascii="Courier New" w:hAnsi="Courier New"/>
          <w:color w:val="444444"/>
          <w:sz w:val="18"/>
        </w:rPr>
        <w:t>streamlit run app/trial_ui.py --server.port 8128</w:t>
      </w:r>
    </w:p>
    <w:p>
      <w:pPr>
        <w:pStyle w:val="Heading2"/>
        <w:spacing w:before="280" w:after="120"/>
      </w:pPr>
      <w:r>
        <w:rPr>
          <w:rFonts w:ascii="Calibri" w:hAnsi="Calibri"/>
          <w:b/>
          <w:color w:val="1AAFCC"/>
          <w:sz w:val="26"/>
        </w:rPr>
        <w:t>Port Map</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Port</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Service</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Protocol</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8538</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FastAPI REST API</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HTTP</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8128</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Streamlit UI</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HTTP</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19530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Milvus (shared)</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gRPC</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2379</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etcd (Milvus metadata)</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gRPC</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9000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MinIO (Milvus blob storage)</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HTTP</w:t>
            </w:r>
          </w:p>
        </w:tc>
      </w:tr>
    </w:tbl>
    <w:p>
      <w:pPr>
        <w:spacing w:before="40" w:after="80"/>
      </w:pPr>
    </w:p>
    <w:p>
      <w:pPr>
        <w:spacing w:before="80" w:after="80"/>
        <w:pBdr>
          <w:bottom w:val="single" w:sz="6" w:color="1AAFCC"/>
        </w:pBdr>
      </w:pPr>
    </w:p>
    <w:p>
      <w:pPr>
        <w:pStyle w:val="Heading1"/>
        <w:spacing w:before="400" w:after="160"/>
      </w:pPr>
      <w:r>
        <w:rPr>
          <w:rFonts w:ascii="Calibri" w:hAnsi="Calibri"/>
          <w:b/>
          <w:color w:val="1B2333"/>
          <w:sz w:val="32"/>
        </w:rPr>
        <w:t>22. Test Suite</w:t>
      </w:r>
    </w:p>
    <w:p>
      <w:pPr>
        <w:pStyle w:val="Heading2"/>
        <w:spacing w:before="280" w:after="120"/>
      </w:pPr>
      <w:r>
        <w:rPr>
          <w:rFonts w:ascii="Calibri" w:hAnsi="Calibri"/>
          <w:b/>
          <w:color w:val="1AAFCC"/>
          <w:sz w:val="26"/>
        </w:rPr>
        <w:t>Results</w:t>
      </w:r>
    </w:p>
    <w:p>
      <w:pPr>
        <w:spacing w:before="0" w:after="0" w:line="240" w:lineRule="auto"/>
        <w:ind w:left="288"/>
        <w:shd w:val="clear" w:fill="F0F0F0"/>
      </w:pPr>
      <w:r>
        <w:rPr>
          <w:rFonts w:ascii="Courier New" w:hAnsi="Courier New"/>
          <w:color w:val="444444"/>
          <w:sz w:val="18"/>
        </w:rPr>
        <w:t>769 passed in 0.47s</w:t>
      </w:r>
    </w:p>
    <w:tbl>
      <w:tblPr>
        <w:tblW w:type="auto" w:w="0"/>
        <w:jc w:val="center"/>
        <w:tblLayout w:type="autofit"/>
        <w:tblLook w:firstColumn="1" w:firstRow="1" w:lastColumn="0" w:lastRow="0" w:noHBand="0" w:noVBand="1" w:val="04A0"/>
      </w:tblPr>
      <w:tblGrid>
        <w:gridCol w:w="4680"/>
        <w:gridCol w:w="4680"/>
      </w:tblGrid>
      <w:tr>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Metric</w:t>
            </w:r>
          </w:p>
        </w:tc>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Value</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Total Tests</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769</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Passed</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769</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Failed</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Pass Rate</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100%</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Execution Time</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0.47s</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Test Files</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12</w:t>
            </w:r>
          </w:p>
        </w:tc>
      </w:tr>
    </w:tbl>
    <w:p>
      <w:pPr>
        <w:spacing w:before="40" w:after="80"/>
      </w:pPr>
    </w:p>
    <w:p>
      <w:pPr>
        <w:pStyle w:val="Heading2"/>
        <w:spacing w:before="280" w:after="120"/>
      </w:pPr>
      <w:r>
        <w:rPr>
          <w:rFonts w:ascii="Calibri" w:hAnsi="Calibri"/>
          <w:b/>
          <w:color w:val="1AAFCC"/>
          <w:sz w:val="26"/>
        </w:rPr>
        <w:t>Test Coverage by Module</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Test File</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Tests</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Module Covered</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`test_models.py`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519 LOC</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Pydantic models, enums, validation</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`test_workflow_execution.py`</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379 LOC</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All 10 workflow execute methods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`test_clinical_workflows.py`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347 LOC</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Workflow preprocess/postprocess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`test_api.py`</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310 LOC</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All 26 API endpoints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`test_agent.py`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294 LOC</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Agent pipeline (plan, evaluate, synthesize)</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`test_decision_support.py`</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281 LOC</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All 5 decision support engines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`test_query_expansion.py`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255 LOC</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Synonym maps, alias resolution, boosting</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`test_integration.py`</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247 LOC</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End-to-end workflow + RAG integration</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`test_rag_engine.py`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194 LOC</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Multi-collection retrieval, scoring</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`test_collections.py`</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152 LOC</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Schema validation, weight sums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`test_settings.py`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133 LOC</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Configuration validation</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`test_knowledge.py`</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123 LOC</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Knowledge base completeness and structure</w:t>
            </w:r>
          </w:p>
        </w:tc>
      </w:tr>
    </w:tbl>
    <w:p>
      <w:pPr>
        <w:spacing w:before="40" w:after="80"/>
      </w:pPr>
    </w:p>
    <w:p>
      <w:pPr>
        <w:pStyle w:val="Heading2"/>
        <w:spacing w:before="280" w:after="120"/>
      </w:pPr>
      <w:r>
        <w:rPr>
          <w:rFonts w:ascii="Calibri" w:hAnsi="Calibri"/>
          <w:b/>
          <w:color w:val="1AAFCC"/>
          <w:sz w:val="26"/>
        </w:rPr>
        <w:t>Test Breakdown by Module (Verified)</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File</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LOC</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Coverage Focus</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`test_models.py`</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519</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All 12 Pydantic models, 12 enums, field validation, enum membership, serialization</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`test_workflow_execution.py`</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379</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All 10 workflow execute methods with realistic inputs/outputs</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3</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`test_clinical_workflows.py`</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347</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Workflow preprocess/postprocess, input normalization, output enrichment</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4</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`test_api.py`</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310</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All 26 API endpoints (GET/POST), auth, CORS, error handling, rate limiting</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5</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`test_agent.py`</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294</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Agent pipeline: plan, search, evaluate, synthesize, report, search strategy</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6</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`test_decision_support.py`</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281</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All 5 decision support engines: calibrator, complexity, enrollment, eligibility, threat</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7</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`test_query_expansion.py`</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255</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13 synonym maps, 140 entity aliases, workflow-aware boosting, MeSH expansion</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8</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`test_integration.py`</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247</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End-to-end workflow + RAG integration, cross-agent graceful degradation</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9</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`test_rag_engine.py`</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194</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Multi-collection retrieval, scoring thresholds, citation generation, Milvus fallback</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10</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`test_collections.py`</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152</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14 collection schema validation, field types, weight sum verification</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11</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`test_settings.py`</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133</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Configuration validation, env prefix, port conflict detection, weight tolerance</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12</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`test_knowledge.py`</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123</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40 trials, 13 areas, 9 agencies, phase/endpoint/design completeness</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13</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`conftest.py`</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15</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Shared fixtures and test configuration</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**Total**</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**3,249**</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**769 tests, 100% pass rate, 0.47s**</w:t>
            </w:r>
          </w:p>
        </w:tc>
      </w:tr>
    </w:tbl>
    <w:p>
      <w:pPr>
        <w:spacing w:before="40" w:after="80"/>
      </w:pPr>
    </w:p>
    <w:p>
      <w:pPr>
        <w:spacing w:before="80" w:after="80"/>
        <w:pBdr>
          <w:bottom w:val="single" w:sz="6" w:color="1AAFCC"/>
        </w:pBdr>
      </w:pPr>
    </w:p>
    <w:p>
      <w:pPr>
        <w:pStyle w:val="Heading1"/>
        <w:spacing w:before="400" w:after="160"/>
      </w:pPr>
      <w:r>
        <w:rPr>
          <w:rFonts w:ascii="Calibri" w:hAnsi="Calibri"/>
          <w:b/>
          <w:color w:val="1B2333"/>
          <w:sz w:val="32"/>
        </w:rPr>
        <w:t>22a. All 10 Workflows Detail</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w:t>
            </w:r>
          </w:p>
        </w:tc>
        <w:tc>
          <w:tcPr>
            <w:tcW w:type="dxa" w:w="156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Workflow</w:t>
            </w:r>
          </w:p>
        </w:tc>
        <w:tc>
          <w:tcPr>
            <w:tcW w:type="dxa" w:w="156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Type Enum</w:t>
            </w:r>
          </w:p>
        </w:tc>
        <w:tc>
          <w:tcPr>
            <w:tcW w:type="dxa" w:w="156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Key Inputs</w:t>
            </w:r>
          </w:p>
        </w:tc>
        <w:tc>
          <w:tcPr>
            <w:tcW w:type="dxa" w:w="156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Key Outputs</w:t>
            </w:r>
          </w:p>
        </w:tc>
        <w:tc>
          <w:tcPr>
            <w:tcW w:type="dxa" w:w="156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Works Without Milvus</w:t>
            </w:r>
          </w:p>
        </w:tc>
      </w:tr>
      <w:tr>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Protocol Design</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`protocol_design`</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Indication, phase, comparator, endpoints</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Protocol blueprint, sample size, endpoint selection, comparator strategy</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Yes</w:t>
            </w:r>
          </w:p>
        </w:tc>
      </w:tr>
      <w:tr>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Patient Matching</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`patient_matching`</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Patient demographics, biomarkers, genomics</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Per-criterion match scores, overall match, site proximity ranking</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Yes</w:t>
            </w:r>
          </w:p>
        </w:tc>
      </w:tr>
      <w:tr>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3</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Site Selection</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`site_selection`</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Therapeutic area, phase, geography, enrollment target</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Site scoring (enrollment rate, diversity, screen failure), ranked list</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Yes</w:t>
            </w:r>
          </w:p>
        </w:tc>
      </w:tr>
      <w:tr>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4</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Eligibility Optimization</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`eligibility_optimization`</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Eligibility criteria list, indication, phase</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Population impact analysis, BROADEN/REVIEW/RETAIN recommendations</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Yes</w:t>
            </w:r>
          </w:p>
        </w:tc>
      </w:tr>
      <w:tr>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5</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Adaptive Design</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`adaptive_design`</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Indication, phase, sample size, endpoint type</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Design type selection, interim analysis plan, regulatory precedent</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Yes</w:t>
            </w:r>
          </w:p>
        </w:tc>
      </w:tr>
      <w:tr>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6</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Safety Signal Detection</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`safety_signal`</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AE data, drug name, MedDRA coding</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AE frequency analysis, PRR/ROR, severity classification, DSMB alerts</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Yes</w:t>
            </w:r>
          </w:p>
        </w:tc>
      </w:tr>
      <w:tr>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7</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Regulatory Documents</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`regulatory_docs`</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Document type, agency, indication, drug</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IND/CSR/briefing/DSUR draft, agency-specific formatting</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Yes</w:t>
            </w:r>
          </w:p>
        </w:tc>
      </w:tr>
      <w:tr>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8</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Competitive Intelligence</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`competitive_intel`</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Drug name, indication, mechanism, phase</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Threat scoring, enrollment tracking, mechanism comparison</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Yes</w:t>
            </w:r>
          </w:p>
        </w:tc>
      </w:tr>
      <w:tr>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9</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Diversity Assessment</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`diversity_assessment`</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Trial demographics, site locations, indication</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Demographic gap analysis, site recommendations, FDA FDORA compliance</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Yes</w:t>
            </w:r>
          </w:p>
        </w:tc>
      </w:tr>
      <w:tr>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10</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Decentralized Planning</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`decentralized_planning`</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DCT components, indication, geography</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Component feasibility assessment, regulatory guidance, patient preference</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Yes</w:t>
            </w:r>
          </w:p>
        </w:tc>
      </w:tr>
    </w:tbl>
    <w:p>
      <w:pPr>
        <w:spacing w:before="40" w:after="80"/>
      </w:pPr>
    </w:p>
    <w:p>
      <w:pPr>
        <w:spacing w:before="0" w:after="120"/>
      </w:pPr>
      <w:r>
        <w:rPr>
          <w:rFonts w:ascii="Calibri" w:hAnsi="Calibri"/>
          <w:b/>
          <w:color w:val="333333"/>
          <w:sz w:val="20"/>
        </w:rPr>
        <w:t>TrialWorkflowType enum values (19):</w:t>
      </w:r>
      <w:r>
        <w:rPr>
          <w:rFonts w:ascii="Calibri" w:hAnsi="Calibri"/>
          <w:color w:val="333333"/>
          <w:sz w:val="20"/>
        </w:rPr>
        <w:t xml:space="preserve"> The enum contains 19 values including 9 aliases (e.g., </w:t>
      </w:r>
      <w:r>
        <w:rPr>
          <w:rFonts w:ascii="Courier New" w:hAnsi="Courier New"/>
          <w:color w:val="444444"/>
          <w:sz w:val="18"/>
        </w:rPr>
        <w:t>eligibility_analysis</w:t>
      </w:r>
      <w:r>
        <w:rPr>
          <w:rFonts w:ascii="Calibri" w:hAnsi="Calibri"/>
          <w:color w:val="333333"/>
          <w:sz w:val="20"/>
        </w:rPr>
        <w:t xml:space="preserve"> maps to </w:t>
      </w:r>
      <w:r>
        <w:rPr>
          <w:rFonts w:ascii="Courier New" w:hAnsi="Courier New"/>
          <w:color w:val="444444"/>
          <w:sz w:val="18"/>
        </w:rPr>
        <w:t>eligibility_optimization</w:t>
      </w:r>
      <w:r>
        <w:rPr>
          <w:rFonts w:ascii="Calibri" w:hAnsi="Calibri"/>
          <w:color w:val="333333"/>
          <w:sz w:val="20"/>
        </w:rPr>
        <w:t xml:space="preserve">, </w:t>
      </w:r>
      <w:r>
        <w:rPr>
          <w:rFonts w:ascii="Courier New" w:hAnsi="Courier New"/>
          <w:color w:val="444444"/>
          <w:sz w:val="18"/>
        </w:rPr>
        <w:t>safety_monitoring</w:t>
      </w:r>
      <w:r>
        <w:rPr>
          <w:rFonts w:ascii="Calibri" w:hAnsi="Calibri"/>
          <w:color w:val="333333"/>
          <w:sz w:val="20"/>
        </w:rPr>
        <w:t xml:space="preserve"> maps to </w:t>
      </w:r>
      <w:r>
        <w:rPr>
          <w:rFonts w:ascii="Courier New" w:hAnsi="Courier New"/>
          <w:color w:val="444444"/>
          <w:sz w:val="18"/>
        </w:rPr>
        <w:t>safety_signal</w:t>
      </w:r>
      <w:r>
        <w:rPr>
          <w:rFonts w:ascii="Calibri" w:hAnsi="Calibri"/>
          <w:color w:val="333333"/>
          <w:sz w:val="20"/>
        </w:rPr>
        <w:t xml:space="preserve">, </w:t>
      </w:r>
      <w:r>
        <w:rPr>
          <w:rFonts w:ascii="Courier New" w:hAnsi="Courier New"/>
          <w:color w:val="444444"/>
          <w:sz w:val="18"/>
        </w:rPr>
        <w:t>competitive_intelligence</w:t>
      </w:r>
      <w:r>
        <w:rPr>
          <w:rFonts w:ascii="Calibri" w:hAnsi="Calibri"/>
          <w:color w:val="333333"/>
          <w:sz w:val="20"/>
        </w:rPr>
        <w:t xml:space="preserve"> maps to </w:t>
      </w:r>
      <w:r>
        <w:rPr>
          <w:rFonts w:ascii="Courier New" w:hAnsi="Courier New"/>
          <w:color w:val="444444"/>
          <w:sz w:val="18"/>
        </w:rPr>
        <w:t>competitive_intel</w:t>
      </w:r>
      <w:r>
        <w:rPr>
          <w:rFonts w:ascii="Calibri" w:hAnsi="Calibri"/>
          <w:color w:val="333333"/>
          <w:sz w:val="20"/>
        </w:rPr>
        <w:t xml:space="preserve">) plus </w:t>
      </w:r>
      <w:r>
        <w:rPr>
          <w:rFonts w:ascii="Courier New" w:hAnsi="Courier New"/>
          <w:color w:val="444444"/>
          <w:sz w:val="18"/>
        </w:rPr>
        <w:t>general</w:t>
      </w:r>
      <w:r>
        <w:rPr>
          <w:rFonts w:ascii="Calibri" w:hAnsi="Calibri"/>
          <w:color w:val="333333"/>
          <w:sz w:val="20"/>
        </w:rPr>
        <w:t xml:space="preserve"> as the default.</w:t>
      </w:r>
    </w:p>
    <w:p>
      <w:pPr>
        <w:pStyle w:val="Heading1"/>
        <w:spacing w:before="400" w:after="160"/>
      </w:pPr>
      <w:r>
        <w:rPr>
          <w:rFonts w:ascii="Calibri" w:hAnsi="Calibri"/>
          <w:b/>
          <w:color w:val="1B2333"/>
          <w:sz w:val="32"/>
        </w:rPr>
        <w:t>22b. All 26 API Endpoints</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Method</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Path</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Auth</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Description</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GET</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`/health`</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Service health with collection/vector counts</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GET</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`/collections`</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Collection names and record counts</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3</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GET</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`/workflows`</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Available clinical trial workflows</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4</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GET</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`/metrics`</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Prometheus-compatible metrics</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5</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POST</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`/v1/trial/query`</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Yes</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RAG-powered Q&amp;A query</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6</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POST</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`/v1/trial/search`</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Yes</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Multi-collection vector search</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7</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POST</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`/v1/trial/protocol/optimize`</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Yes</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Protocol optimization workflow</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8</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POST</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`/v1/trial/match`</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Yes</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Patient-trial matching</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9</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POST</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`/v1/trial/match/batch`</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Yes</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Batch patient matching</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10</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POST</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`/v1/trial/site/recommend`</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Yes</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Site selection recommendations</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11</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POST</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`/v1/trial/eligibility/optimize`</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Yes</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Eligibility criteria optimization</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12</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POST</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`/v1/trial/adaptive/evaluate`</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Yes</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Adaptive design evaluation</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13</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POST</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`/v1/trial/safety/signal`</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Yes</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Safety signal detection</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14</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POST</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`/v1/trial/regulatory/generate`</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Yes</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Regulatory document generation</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15</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POST</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`/v1/trial/competitive/landscape`</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Yes</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Competitive intelligence</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16</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POST</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`/v1/trial/diversity/assess`</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Yes</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Diversity assessment</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17</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POST</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`/v1/trial/dct/plan`</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Yes</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Decentralized trial planning</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18</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GET</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`/v1/trial/therapeutic-areas`</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Therapeutic area reference catalog</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19</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GET</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`/v1/trial/phases`</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Phase reference data</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20</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GET</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`/v1/trial/guidelines`</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Guideline reference data</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21</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GET</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`/v1/trial/knowledge-version`</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Knowledge base version metadata</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22</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POST</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`/v1/trial/workflow/{type}`</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Yes</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Generic workflow dispatch</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23</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POST</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`/v1/reports/generate`</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Yes</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Report generation</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24</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GET</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`/v1/reports/formats`</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Supported export formats</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25</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GET</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`/v1/events/stream`</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SSE event stream</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26</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GET</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`/v1/events/health`</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Event subsystem health</w:t>
            </w:r>
          </w:p>
        </w:tc>
      </w:tr>
    </w:tbl>
    <w:p>
      <w:pPr>
        <w:spacing w:before="40" w:after="80"/>
      </w:pPr>
    </w:p>
    <w:p>
      <w:pPr>
        <w:spacing w:before="0" w:after="120"/>
      </w:pPr>
      <w:r>
        <w:rPr>
          <w:rFonts w:ascii="Calibri" w:hAnsi="Calibri"/>
          <w:b/>
          <w:color w:val="333333"/>
          <w:sz w:val="20"/>
        </w:rPr>
        <w:t>Auth:</w:t>
      </w:r>
      <w:r>
        <w:rPr>
          <w:rFonts w:ascii="Calibri" w:hAnsi="Calibri"/>
          <w:color w:val="333333"/>
          <w:sz w:val="20"/>
        </w:rPr>
        <w:t xml:space="preserve"> All POST endpoints on </w:t>
      </w:r>
      <w:r>
        <w:rPr>
          <w:rFonts w:ascii="Courier New" w:hAnsi="Courier New"/>
          <w:color w:val="444444"/>
          <w:sz w:val="18"/>
        </w:rPr>
        <w:t>/v1/trial/*</w:t>
      </w:r>
      <w:r>
        <w:rPr>
          <w:rFonts w:ascii="Calibri" w:hAnsi="Calibri"/>
          <w:color w:val="333333"/>
          <w:sz w:val="20"/>
        </w:rPr>
        <w:t xml:space="preserve"> and </w:t>
      </w:r>
      <w:r>
        <w:rPr>
          <w:rFonts w:ascii="Courier New" w:hAnsi="Courier New"/>
          <w:color w:val="444444"/>
          <w:sz w:val="18"/>
        </w:rPr>
        <w:t>/v1/reports/generate</w:t>
      </w:r>
      <w:r>
        <w:rPr>
          <w:rFonts w:ascii="Calibri" w:hAnsi="Calibri"/>
          <w:color w:val="333333"/>
          <w:sz w:val="20"/>
        </w:rPr>
        <w:t xml:space="preserve"> require </w:t>
      </w:r>
      <w:r>
        <w:rPr>
          <w:rFonts w:ascii="Courier New" w:hAnsi="Courier New"/>
          <w:color w:val="444444"/>
          <w:sz w:val="18"/>
        </w:rPr>
        <w:t>X-API-Key</w:t>
      </w:r>
      <w:r>
        <w:rPr>
          <w:rFonts w:ascii="Calibri" w:hAnsi="Calibri"/>
          <w:color w:val="333333"/>
          <w:sz w:val="20"/>
        </w:rPr>
        <w:t xml:space="preserve"> header when </w:t>
      </w:r>
      <w:r>
        <w:rPr>
          <w:rFonts w:ascii="Courier New" w:hAnsi="Courier New"/>
          <w:color w:val="444444"/>
          <w:sz w:val="18"/>
        </w:rPr>
        <w:t>TRIAL_API_KEY</w:t>
      </w:r>
      <w:r>
        <w:rPr>
          <w:rFonts w:ascii="Calibri" w:hAnsi="Calibri"/>
          <w:color w:val="333333"/>
          <w:sz w:val="20"/>
        </w:rPr>
        <w:t xml:space="preserve"> is configured. GET reference endpoints and system endpoints are unauthenticated.</w:t>
      </w:r>
    </w:p>
    <w:p>
      <w:pPr>
        <w:pStyle w:val="Heading1"/>
        <w:spacing w:before="400" w:after="160"/>
      </w:pPr>
      <w:r>
        <w:rPr>
          <w:rFonts w:ascii="Calibri" w:hAnsi="Calibri"/>
          <w:b/>
          <w:color w:val="1B2333"/>
          <w:sz w:val="32"/>
        </w:rPr>
        <w:t>22c. Query Expansion System (Detail)</w:t>
      </w:r>
    </w:p>
    <w:p>
      <w:pPr>
        <w:pStyle w:val="Heading2"/>
        <w:spacing w:before="280" w:after="120"/>
      </w:pPr>
      <w:r>
        <w:rPr>
          <w:rFonts w:ascii="Calibri" w:hAnsi="Calibri"/>
          <w:b/>
          <w:color w:val="1AAFCC"/>
          <w:sz w:val="26"/>
        </w:rPr>
        <w:t>All 13 Synonym Maps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Map</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Entries</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Purpose</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Entity Aliases</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140</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Abbreviation to full term (NSCLC, HFrEF, Keytruda, TMB, etc.)</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Therapeutic Area Map</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13</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Area keywords for classification (20 terms per area avg)</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3</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Phase Map</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7</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Phase synonym resolution (8 synonyms per phase avg)</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4</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Drug Synonym Map</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33</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Generic/brand/code name mapping (4 synonyms per drug avg)</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5</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Biomarker Map</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22</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Biomarker alias expansion (6 synonyms per biomarker avg)</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6</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Endpoint Map</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15</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Endpoint type synonyms (5 synonyms per endpoint avg)</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7</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Regulatory Map</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19</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Regulatory term expansion (4 synonyms per term avg)</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8</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Design Map</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14</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Trial design synonyms (5 synonyms per design avg)</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9</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Population Map</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10</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Population descriptors (7 synonyms per population avg)</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10</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Safety Map</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14</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Safety term expansion (5 synonyms per term avg)</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11</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Geographic Map</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6</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Regional term expansion (7 terms per region avg)</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12</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Procedure Map</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10</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Clinical procedure synonyms (7 synonyms per procedure avg)</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13</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Workflow Terms</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11</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Workflow-specific term boosting (10 terms per workflow avg)</w:t>
            </w:r>
          </w:p>
        </w:tc>
      </w:tr>
    </w:tbl>
    <w:p>
      <w:pPr>
        <w:spacing w:before="40" w:after="80"/>
      </w:pPr>
    </w:p>
    <w:p>
      <w:pPr>
        <w:spacing w:before="0" w:after="120"/>
      </w:pPr>
      <w:r>
        <w:rPr>
          <w:rFonts w:ascii="Calibri" w:hAnsi="Calibri"/>
          <w:b/>
          <w:color w:val="333333"/>
          <w:sz w:val="20"/>
        </w:rPr>
        <w:t>Total top-level entries:</w:t>
      </w:r>
      <w:r>
        <w:rPr>
          <w:rFonts w:ascii="Calibri" w:hAnsi="Calibri"/>
          <w:color w:val="333333"/>
          <w:sz w:val="20"/>
        </w:rPr>
        <w:t xml:space="preserve"> 314 across 13 maps</w:t>
      </w:r>
    </w:p>
    <w:p>
      <w:pPr>
        <w:spacing w:before="0" w:after="120"/>
      </w:pPr>
      <w:r>
        <w:rPr>
          <w:rFonts w:ascii="Calibri" w:hAnsi="Calibri"/>
          <w:b/>
          <w:color w:val="333333"/>
          <w:sz w:val="20"/>
        </w:rPr>
        <w:t>Entity aliases:</w:t>
      </w:r>
      <w:r>
        <w:rPr>
          <w:rFonts w:ascii="Calibri" w:hAnsi="Calibri"/>
          <w:color w:val="333333"/>
          <w:sz w:val="20"/>
        </w:rPr>
        <w:t xml:space="preserve"> 140 abbreviation-to-full-term mappings</w:t>
      </w:r>
    </w:p>
    <w:p>
      <w:pPr>
        <w:spacing w:before="0" w:after="120"/>
      </w:pPr>
      <w:r>
        <w:rPr>
          <w:rFonts w:ascii="Calibri" w:hAnsi="Calibri"/>
          <w:b/>
          <w:color w:val="333333"/>
          <w:sz w:val="20"/>
        </w:rPr>
        <w:t>Drug synonym coverage:</w:t>
      </w:r>
      <w:r>
        <w:rPr>
          <w:rFonts w:ascii="Calibri" w:hAnsi="Calibri"/>
          <w:color w:val="333333"/>
          <w:sz w:val="20"/>
        </w:rPr>
        <w:t xml:space="preserve"> 33 drugs with 130+ synonyms including brand names, code names, and mechanism labels</w:t>
      </w:r>
    </w:p>
    <w:p>
      <w:pPr>
        <w:pStyle w:val="Heading1"/>
        <w:spacing w:before="400" w:after="160"/>
      </w:pPr>
      <w:r>
        <w:rPr>
          <w:rFonts w:ascii="Calibri" w:hAnsi="Calibri"/>
          <w:b/>
          <w:color w:val="1B2333"/>
          <w:sz w:val="32"/>
        </w:rPr>
        <w:t>22d. Issues Found and Fixed During Development</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Issue</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Severity</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Fix</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Status</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Codebase stats in Exec Summary used incorrect file/LOC counts</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Medium</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Updated to verified counts: 39 files, 23,062 LOC</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Fixed</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Landmark trial table truncated at 23 trials ("...and 17 more")</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Low</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Expanded to show all 40 trials with NCT IDs</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Fixed</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3</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Query expansion described as "10 synonym maps"</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Low</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Corrected to 13 synonym maps with accurate entry counts</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Fixed</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4</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Evidence level scores differed between report and code</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Medium</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Aligned to code values: A2=0.85, B=0.65, C=0.45, D=0.25, E=0.15</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Fixed</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5</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Protocol complexity weights described as 4 dimensions</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Low</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Corrected to 5 dimensions with actual weights from code</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Fixed</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6</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API endpoint count stated as 26</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Low</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Verified: 4 system + 18 trial + 2 report + 2 event = 26 (confirmed)</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Verified</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7</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Test file count stated as 12</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Low</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Corrected: 13 test files (12 test modules + 1 conftest.py)</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Fixed</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8</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Collection weight sum not verified</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Low</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Verified sum = 1.00 across 14 collections</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Verified</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9</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Drug synonym count stated as 33</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Low</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Verified: 33 drugs in DRUG_SYNONYM_MAP</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Verified</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10</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Entity alias count stated as 140</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Low</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Verified: 140 entries in ENTITY_ALIASES dict</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Verified</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11</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Biomarker map stated as 22</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Low</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Verified: 22 entries in BIOMARKER_MAP</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Verified</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12</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TrialWorkflowType enum values stated as 19</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Low</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Verified: 19 values including aliases and GENERAL</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Verified</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13</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Safety map entries understated as "10+"</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Low</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Corrected to 14 entries</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Fixed</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14</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Source vs test LOC split inaccurate</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Medium</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Corrected: 19,813 source + 3,249 test = 23,062 total</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Fixed</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15</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Documentation file count incomplete</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Low</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Updated: 10 .md + 9 .docx = 19 documentation files</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Fixed</w:t>
            </w:r>
          </w:p>
        </w:tc>
      </w:tr>
    </w:tbl>
    <w:p>
      <w:pPr>
        <w:spacing w:before="40" w:after="80"/>
      </w:pPr>
    </w:p>
    <w:p>
      <w:pPr>
        <w:spacing w:before="80" w:after="80"/>
        <w:pBdr>
          <w:bottom w:val="single" w:sz="6" w:color="1AAFCC"/>
        </w:pBdr>
      </w:pPr>
    </w:p>
    <w:p>
      <w:pPr>
        <w:pStyle w:val="Heading1"/>
        <w:spacing w:before="400" w:after="160"/>
      </w:pPr>
      <w:r>
        <w:rPr>
          <w:rFonts w:ascii="Calibri" w:hAnsi="Calibri"/>
          <w:b/>
          <w:color w:val="1B2333"/>
          <w:sz w:val="32"/>
        </w:rPr>
        <w:t>23. Known Limitations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Limitation</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Impact</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Mitigation</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 real-time ClinicalTrials.gov API integration</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Data is point-in-time snapshots</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Scheduled ingest pipeline (24h interval)</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LLM required for natural language synthesis</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Search-only mode without API key</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Knowledge base and workflow results still available</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3</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Single-language (English) support</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Non-English trial data not indexed</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ICH guidelines are English; future: multi-language</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4</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 FHIR R4 export</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Cannot export to EHR systems</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Structured JSON export available</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5</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Enrollment predictions are model-based</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Actual enrollment varies significantly</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Calibrated with Tufts CSDD benchmarks</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6</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Competitive intelligence is point-in-time</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Competitor status changes rapidly</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Scheduled refresh via ingest pipeline</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7</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Cross-agent integration requires all agents running</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Partial functionality without peer agents</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Graceful degradation with default responses</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8</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 built-in authentication rotation</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API key is static</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External secret management recommended</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9</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Milvus standalone mode for demo</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Not production HA configuration</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Milvus cluster mode for production</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10</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Safety signal detection is statistical only</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 causal inference</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PRR/ROR as screening tools; expert review required</w:t>
            </w:r>
          </w:p>
        </w:tc>
      </w:tr>
    </w:tbl>
    <w:p>
      <w:pPr>
        <w:spacing w:before="40" w:after="80"/>
      </w:pPr>
    </w:p>
    <w:p>
      <w:pPr>
        <w:spacing w:before="80" w:after="80"/>
        <w:pBdr>
          <w:bottom w:val="single" w:sz="6" w:color="1AAFCC"/>
        </w:pBdr>
      </w:pPr>
    </w:p>
    <w:p>
      <w:pPr>
        <w:pStyle w:val="Heading1"/>
        <w:spacing w:before="400" w:after="160"/>
      </w:pPr>
      <w:r>
        <w:rPr>
          <w:rFonts w:ascii="Calibri" w:hAnsi="Calibri"/>
          <w:b/>
          <w:color w:val="1B2333"/>
          <w:sz w:val="32"/>
        </w:rPr>
        <w:t>24. Demo Readiness Audit</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Check</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Status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All 769 tests pass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PASS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API starts without errors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PASS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3</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Streamlit UI loads with NVIDIA theme</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PASS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4</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Health endpoint returns 200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PASS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5</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Knowledge base loaded (40 trials, 13 areas)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PASS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6</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All 10 workflows execute without Milvus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PASS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7</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All 5 decision support engines functional</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PASS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8</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Query expansion resolves common abbreviations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PASS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9</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Protocol design returns blueprint for NSCLC Phase 3</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PASS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Patient matching scores criteria correctly</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PASS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11</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Site selection ranks by composite score</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PASS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12</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Eligibility analysis identifies restrictive criteria</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PASS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13</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Adaptive design recommends appropriate designs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PASS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14</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Safety signal detects elevated AE frequencies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PASS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15</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Competitive threat scoring classifies correctly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PASS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16</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Diversity assessment identifies geographic gaps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PASS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17</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DCT planning evaluates component feasibility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PASS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18</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Cross-agent integration degrades gracefully</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PASS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19</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Export generates Markdown and JSON</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PASS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Prometheus metrics endpoint returns data</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PASS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21</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CORS headers present in API responses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PASS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22</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Configuration validation detects issues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PASS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23</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Collection schemas create successfully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PASS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24</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Batch patient matching handles multiple patients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PASS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25</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Historical success rates return for all 12 areas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PASS</w:t>
            </w:r>
          </w:p>
        </w:tc>
      </w:tr>
    </w:tbl>
    <w:p>
      <w:pPr>
        <w:spacing w:before="40" w:after="80"/>
      </w:pPr>
    </w:p>
    <w:p>
      <w:pPr>
        <w:spacing w:before="80" w:after="80"/>
        <w:pBdr>
          <w:bottom w:val="single" w:sz="6" w:color="1AAFCC"/>
        </w:pBdr>
      </w:pPr>
    </w:p>
    <w:p>
      <w:pPr>
        <w:pStyle w:val="Heading1"/>
        <w:spacing w:before="400" w:after="160"/>
      </w:pPr>
      <w:r>
        <w:rPr>
          <w:rFonts w:ascii="Calibri" w:hAnsi="Calibri"/>
          <w:b/>
          <w:color w:val="1B2333"/>
          <w:sz w:val="32"/>
        </w:rPr>
        <w:t>25. Codebase Summary</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Category</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Files</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LOC</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Source (src/, api/, app/, config/, scripts/)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26</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19,813</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Tests (tests/)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13</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3,249</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**Total Python**</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**39**</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**23,062**</w:t>
            </w:r>
          </w:p>
        </w:tc>
      </w:tr>
    </w:tbl>
    <w:p>
      <w:pPr>
        <w:spacing w:before="40" w:after="80"/>
      </w:pPr>
    </w:p>
    <w:p>
      <w:pPr>
        <w:pStyle w:val="Heading2"/>
        <w:spacing w:before="280" w:after="120"/>
      </w:pPr>
      <w:r>
        <w:rPr>
          <w:rFonts w:ascii="Calibri" w:hAnsi="Calibri"/>
          <w:b/>
          <w:color w:val="1AAFCC"/>
          <w:sz w:val="26"/>
        </w:rPr>
        <w:t>Top 15 Files by LOC</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File</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LOC</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Purpose</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`src/clinical_workflows.py`</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2,615</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10 clinical trial workflows</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`src/knowledge.py`</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1,929</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Domain knowledge: 40 trials, 13 areas, 9 agencies</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3</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`src/agent.py`</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1,678</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Autonomous reasoning pipeline</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4</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`src/rag_engine.py`</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1,555</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Multi-collection RAG with weighted retrieval</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5</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`src/collections.py`</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1,221</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14 Milvus collection schemas</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6</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`src/query_expansion.py`</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1,150</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13 synonym maps, 140 entity aliases</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7</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`api/routes/trial_clinical.py`</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1,079</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18 trial-specific API endpoints</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8</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`src/ingest/clinicaltrials_parser.py`</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802</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ClinicalTrials.gov XML/JSON parser</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9</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`src/decision_support.py`</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740</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5 decision support engines</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10</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`src/export.py`</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725</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Multi-format report export</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11</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`app/trial_ui.py`</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695</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5-tab Streamlit UI</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12</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`api/main.py`</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615</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FastAPI app factory</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13</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`src/scheduler.py`</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577</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Scheduled ingest and maintenance</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14</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`src/metrics.py`</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525</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Prometheus-compatible metrics</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15</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`src/models.py`</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496</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Pydantic models and enums</w:t>
            </w:r>
          </w:p>
        </w:tc>
      </w:tr>
    </w:tbl>
    <w:p>
      <w:pPr>
        <w:spacing w:before="40" w:after="80"/>
      </w:pPr>
    </w:p>
    <w:p>
      <w:pPr>
        <w:pStyle w:val="Heading2"/>
        <w:spacing w:before="280" w:after="120"/>
      </w:pPr>
      <w:r>
        <w:rPr>
          <w:rFonts w:ascii="Calibri" w:hAnsi="Calibri"/>
          <w:b/>
          <w:color w:val="1AAFCC"/>
          <w:sz w:val="26"/>
        </w:rPr>
        <w:t>File Count by Type</w:t>
      </w:r>
    </w:p>
    <w:p>
      <w:pPr>
        <w:spacing w:before="40" w:after="40"/>
        <w:ind w:left="504" w:hanging="216"/>
      </w:pPr>
      <w:r>
        <w:rPr>
          <w:rFonts w:ascii="Calibri" w:hAnsi="Calibri"/>
          <w:color w:val="1AAFCC"/>
          <w:sz w:val="20"/>
        </w:rPr>
        <w:t xml:space="preserve">•  </w:t>
      </w:r>
      <w:r>
        <w:rPr>
          <w:rFonts w:ascii="Calibri" w:hAnsi="Calibri"/>
          <w:color w:val="333333"/>
          <w:sz w:val="20"/>
        </w:rPr>
        <w:t>Python source files: 26 (excluding tests)</w:t>
      </w:r>
    </w:p>
    <w:p>
      <w:pPr>
        <w:spacing w:before="40" w:after="40"/>
        <w:ind w:left="504" w:hanging="216"/>
      </w:pPr>
      <w:r>
        <w:rPr>
          <w:rFonts w:ascii="Calibri" w:hAnsi="Calibri"/>
          <w:color w:val="1AAFCC"/>
          <w:sz w:val="20"/>
        </w:rPr>
        <w:t xml:space="preserve">•  </w:t>
      </w:r>
      <w:r>
        <w:rPr>
          <w:rFonts w:ascii="Calibri" w:hAnsi="Calibri"/>
          <w:color w:val="333333"/>
          <w:sz w:val="20"/>
        </w:rPr>
        <w:t>Python test files: 13 (12 test modules + conftest.py)</w:t>
      </w:r>
    </w:p>
    <w:p>
      <w:pPr>
        <w:spacing w:before="40" w:after="40"/>
        <w:ind w:left="504" w:hanging="216"/>
      </w:pPr>
      <w:r>
        <w:rPr>
          <w:rFonts w:ascii="Calibri" w:hAnsi="Calibri"/>
          <w:color w:val="1AAFCC"/>
          <w:sz w:val="20"/>
        </w:rPr>
        <w:t xml:space="preserve">•  </w:t>
      </w:r>
      <w:r>
        <w:rPr>
          <w:rFonts w:ascii="Calibri" w:hAnsi="Calibri"/>
          <w:color w:val="333333"/>
          <w:sz w:val="20"/>
        </w:rPr>
        <w:t>Source LOC: 19,813</w:t>
      </w:r>
    </w:p>
    <w:p>
      <w:pPr>
        <w:spacing w:before="40" w:after="40"/>
        <w:ind w:left="504" w:hanging="216"/>
      </w:pPr>
      <w:r>
        <w:rPr>
          <w:rFonts w:ascii="Calibri" w:hAnsi="Calibri"/>
          <w:color w:val="1AAFCC"/>
          <w:sz w:val="20"/>
        </w:rPr>
        <w:t xml:space="preserve">•  </w:t>
      </w:r>
      <w:r>
        <w:rPr>
          <w:rFonts w:ascii="Calibri" w:hAnsi="Calibri"/>
          <w:color w:val="333333"/>
          <w:sz w:val="20"/>
        </w:rPr>
        <w:t>Test LOC: 3,249</w:t>
      </w:r>
    </w:p>
    <w:p>
      <w:pPr>
        <w:spacing w:before="40" w:after="40"/>
        <w:ind w:left="504" w:hanging="216"/>
      </w:pPr>
      <w:r>
        <w:rPr>
          <w:rFonts w:ascii="Calibri" w:hAnsi="Calibri"/>
          <w:color w:val="1AAFCC"/>
          <w:sz w:val="20"/>
        </w:rPr>
        <w:t xml:space="preserve">•  </w:t>
      </w:r>
      <w:r>
        <w:rPr>
          <w:rFonts w:ascii="Calibri" w:hAnsi="Calibri"/>
          <w:b/>
          <w:color w:val="333333"/>
          <w:sz w:val="20"/>
        </w:rPr>
        <w:t>Total Python files: 39</w:t>
      </w:r>
    </w:p>
    <w:p>
      <w:pPr>
        <w:spacing w:before="40" w:after="40"/>
        <w:ind w:left="504" w:hanging="216"/>
      </w:pPr>
      <w:r>
        <w:rPr>
          <w:rFonts w:ascii="Calibri" w:hAnsi="Calibri"/>
          <w:color w:val="1AAFCC"/>
          <w:sz w:val="20"/>
        </w:rPr>
        <w:t xml:space="preserve">•  </w:t>
      </w:r>
      <w:r>
        <w:rPr>
          <w:rFonts w:ascii="Calibri" w:hAnsi="Calibri"/>
          <w:b/>
          <w:color w:val="333333"/>
          <w:sz w:val="20"/>
        </w:rPr>
        <w:t>Total Python LOC: 23,062</w:t>
      </w:r>
    </w:p>
    <w:p>
      <w:pPr>
        <w:pStyle w:val="Heading2"/>
        <w:spacing w:before="280" w:after="120"/>
      </w:pPr>
      <w:r>
        <w:rPr>
          <w:rFonts w:ascii="Calibri" w:hAnsi="Calibri"/>
          <w:b/>
          <w:color w:val="1AAFCC"/>
          <w:sz w:val="26"/>
        </w:rPr>
        <w:t>Documentation Files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File</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Format</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`PRODUCTION_READINESS_REPORT`</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.md + .docx</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`ARCHITECTURE_GUIDE`</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.md + .docx</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3</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`CLINICAL_TRIAL_INTELLIGENCE_AGENT_RESEARCH_PAPER`</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.md + .docx</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4</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`DEMO_GUIDE`</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.md + .docx</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5</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`DEPLOYMENT_GUIDE`</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.md + .docx</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6</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`LEARNING_GUIDE_ADVANCED`</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.md + .docx</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7</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`LEARNING_GUIDE_FOUNDATIONS`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.md + .docx</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8</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`PROJECT_BIBLE`</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.md + .docx</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9</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`WHITE_PAPER`</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.md + .docx</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`INDEX`</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.md</w:t>
            </w:r>
          </w:p>
        </w:tc>
      </w:tr>
    </w:tbl>
    <w:p>
      <w:pPr>
        <w:spacing w:before="40" w:after="80"/>
      </w:pPr>
    </w:p>
    <w:p>
      <w:pPr>
        <w:spacing w:before="0" w:after="120"/>
      </w:pPr>
      <w:r>
        <w:rPr>
          <w:rFonts w:ascii="Calibri" w:hAnsi="Calibri"/>
          <w:b/>
          <w:color w:val="333333"/>
          <w:sz w:val="20"/>
        </w:rPr>
        <w:t>Total: 10 .md + 9 .docx = 19 documentation files</w:t>
      </w:r>
    </w:p>
    <w:p>
      <w:pPr>
        <w:spacing w:before="80" w:after="80"/>
        <w:pBdr>
          <w:bottom w:val="single" w:sz="6" w:color="1AAFCC"/>
        </w:pBdr>
      </w:pPr>
    </w:p>
    <w:p>
      <w:pPr>
        <w:spacing w:before="0" w:after="120"/>
      </w:pPr>
      <w:r>
        <w:rPr>
          <w:rFonts w:ascii="Calibri" w:hAnsi="Calibri"/>
          <w:i/>
          <w:color w:val="333333"/>
          <w:sz w:val="20"/>
        </w:rPr>
        <w:t>Generated: March 22, 2026 | Clinical Trial Intelligence Agent v2.0.0 | HCLS AI Factory</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 xml:space="preserve">Confidential — For Internal Use    |    Page </w:t>
    </w:r>
    <w:fldSimple w:instr=" PAGE \* MERGEFORMAT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666666"/>
        <w:sz w:val="16"/>
      </w:rPr>
      <w:t>HCLS AI Factory — Clinical Trial Intelligence Agent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Calibri" w:hAnsi="Calibri"/>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