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HCLS AI Factory — Gated Software: PRD</w:t>
      </w:r>
    </w:p>
    <w:p>
      <w:pPr>
        <w:pStyle w:val="Author"/>
      </w:pPr>
      <w:r>
        <w:t xml:space="preserve">Adam Jones</w:t>
      </w:r>
    </w:p>
    <w:p>
      <w:pPr>
        <w:pStyle w:val="Date"/>
      </w:pPr>
      <w:r>
        <w:t xml:space="preserve">2026-08-15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gated-software--prd"/>
    <w:p>
      <w:pPr>
        <w:pStyle w:val="Heading1"/>
      </w:pPr>
      <w:r>
        <w:t xml:space="preserve">Gated Software — PRD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Everything in the HCLS AI Factory that</w:t>
      </w:r>
      <w:r>
        <w:t xml:space="preserve"> </w:t>
      </w:r>
      <w:r>
        <w:rPr>
          <w:b/>
          <w:bCs/>
        </w:rPr>
        <w:t xml:space="preserve">cannot be installed without credentials,</w:t>
      </w:r>
      <w:r>
        <w:rPr>
          <w:b/>
          <w:bCs/>
        </w:rPr>
        <w:t xml:space="preserve"> </w:t>
      </w:r>
      <w:r>
        <w:rPr>
          <w:b/>
          <w:bCs/>
        </w:rPr>
        <w:t xml:space="preserve">a licence, or an accepted model licence</w:t>
      </w:r>
      <w:r>
        <w:t xml:space="preserve"> </w:t>
      </w:r>
      <w:r>
        <w:t xml:space="preserve">— what it is, what breaks without it, and what "done"</w:t>
      </w:r>
      <w:r>
        <w:t xml:space="preserve"> </w:t>
      </w:r>
      <w:r>
        <w:t xml:space="preserve">looks like. This is the document to work from during the final upgrade pass.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2026-08-15 ·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NVIDIA DGX Spark — GB10, 128 GB unified LPDDR5x, 20 Grace cores,</w:t>
      </w:r>
      <w:r>
        <w:t xml:space="preserve"> </w:t>
      </w:r>
      <w:r>
        <w:t xml:space="preserve">aarch64 ·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rPr>
          <w:rStyle w:val="VerbatimChar"/>
        </w:rPr>
        <w:t xml:space="preserve">GATED_SOFTWARE_BUILD_GUIDE.md</w:t>
      </w:r>
      <w:r>
        <w:t xml:space="preserve"> </w:t>
      </w:r>
      <w:r>
        <w:t xml:space="preserve">(step-by-step install)</w:t>
      </w:r>
    </w:p>
    <w:p>
      <w:r>
        <w:pict>
          <v:rect style="width:0;height:1.5pt" o:hralign="center" o:hrstd="t" o:hr="t"/>
        </w:pict>
      </w:r>
    </w:p>
    <w:bookmarkStart w:id="9" w:name="X6fc12668f8f6409f6e7a6cbcbc4702807576ff5"/>
    <w:p>
      <w:pPr>
        <w:pStyle w:val="Heading2"/>
      </w:pPr>
      <w:r>
        <w:t xml:space="preserve">1. Why this document exists</w:t>
      </w:r>
    </w:p>
    <w:p>
      <w:pPr>
        <w:pStyle w:val="FirstParagraph"/>
      </w:pPr>
      <w:r>
        <w:t xml:space="preserve">The platform's tests pass (</w:t>
      </w:r>
      <w:r>
        <w:rPr>
          <w:b/>
          <w:bCs/>
        </w:rPr>
        <w:t xml:space="preserve">8,402 green across 17 subjects</w:t>
      </w:r>
      <w:r>
        <w:t xml:space="preserve">) because they exercise logic, not</w:t>
      </w:r>
      <w:r>
        <w:t xml:space="preserve"> </w:t>
      </w:r>
      <w:r>
        <w:t xml:space="preserve">models. The moment a demo needs a real structure prediction, a real docking pose, a real</w:t>
      </w:r>
      <w:r>
        <w:t xml:space="preserve"> </w:t>
      </w:r>
      <w:r>
        <w:t xml:space="preserve">secondary-analysis run or a real generated molecule, it hits software that is</w:t>
      </w:r>
      <w:r>
        <w:t xml:space="preserve"> </w:t>
      </w:r>
      <w:r>
        <w:rPr>
          <w:b/>
          <w:bCs/>
        </w:rPr>
        <w:t xml:space="preserve">not on this box and</w:t>
      </w:r>
      <w:r>
        <w:rPr>
          <w:b/>
          <w:bCs/>
        </w:rPr>
        <w:t xml:space="preserve"> </w:t>
      </w:r>
      <w:r>
        <w:rPr>
          <w:b/>
          <w:bCs/>
        </w:rPr>
        <w:t xml:space="preserve">cannot be fetched anonymously</w:t>
      </w:r>
      <w:r>
        <w:t xml:space="preserve">.</w:t>
      </w:r>
    </w:p>
    <w:p>
      <w:pPr>
        <w:pStyle w:val="BodyText"/>
      </w:pPr>
      <w:r>
        <w:t xml:space="preserve">The single most consequential fact:</w:t>
      </w:r>
    </w:p>
    <w:p>
      <w:pPr>
        <w:pStyle w:val="SourceCode"/>
      </w:pPr>
      <w:r>
        <w:rPr>
          <w:rStyle w:val="VerbatimChar"/>
        </w:rPr>
        <w:t xml:space="preserve">torch 2.10.0+cpu        torch.cuda.is_available() = False</w:t>
      </w:r>
    </w:p>
    <w:p>
      <w:pPr>
        <w:pStyle w:val="FirstParagraph"/>
      </w:pPr>
      <w:r>
        <w:t xml:space="preserve">A CPU-only PyTorch on a machine whose entire premise is the GB10. Measured GPU utilisation across a</w:t>
      </w:r>
      <w:r>
        <w:t xml:space="preserve"> </w:t>
      </w:r>
      <w:r>
        <w:t xml:space="preserve">3-hour working session:</w:t>
      </w:r>
      <w:r>
        <w:t xml:space="preserve"> </w:t>
      </w:r>
      <w:r>
        <w:rPr>
          <w:b/>
          <w:bCs/>
        </w:rPr>
        <w:t xml:space="preserve">0%, 12.3–15.1 W — idle throughout.</w:t>
      </w:r>
    </w:p>
    <w:bookmarkEnd w:id="9"/>
    <w:bookmarkStart w:id="11" w:name="X00bee035d6aee80f1af9b80786a03e2f647d565"/>
    <w:p>
      <w:pPr>
        <w:pStyle w:val="Heading2"/>
      </w:pPr>
      <w:r>
        <w:t xml:space="preserve">2.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CUDA PyTorch</w:t>
            </w:r>
            <w:r>
              <w:t xml:space="preserve"> </w:t>
            </w:r>
            <w:r>
              <w:t xml:space="preserve">(aarch64 / sm_121)</w:t>
            </w:r>
          </w:p>
        </w:tc>
        <w:tc>
          <w:tcPr/>
          <w:p>
            <w:pPr>
              <w:pStyle w:val="Compact"/>
            </w:pPr>
            <w:r>
              <w:t xml:space="preserve">NVIDIA channel</w:t>
            </w:r>
          </w:p>
        </w:tc>
        <w:tc>
          <w:tcPr/>
          <w:p>
            <w:pPr>
              <w:pStyle w:val="Compact"/>
            </w:pPr>
            <w:r>
              <w:t xml:space="preserve">ESM-2, ESMFold, ProteinMPNN, LoRA, every local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Parabricks</w:t>
            </w:r>
          </w:p>
        </w:tc>
        <w:tc>
          <w:tcPr/>
          <w:p>
            <w:pPr>
              <w:pStyle w:val="Compact"/>
            </w:pPr>
            <w:r>
              <w:t xml:space="preserve">NGC, licensed container</w:t>
            </w:r>
          </w:p>
        </w:tc>
        <w:tc>
          <w:tcPr/>
          <w:p>
            <w:pPr>
              <w:pStyle w:val="Compact"/>
            </w:pPr>
            <w:r>
              <w:t xml:space="preserve">Secondary analysis — BWA-MEM2 + DeepVariant (</w:t>
            </w:r>
            <w:r>
              <w:rPr>
                <w:b/>
                <w:bCs/>
              </w:rPr>
              <w:t xml:space="preserve">94 code refs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BioNeMo MolMIM NIM</w:t>
            </w:r>
          </w:p>
        </w:tc>
        <w:tc>
          <w:tcPr/>
          <w:p>
            <w:pPr>
              <w:pStyle w:val="Compact"/>
            </w:pPr>
            <w:r>
              <w:t xml:space="preserve">NGC NIM registry</w:t>
            </w:r>
          </w:p>
        </w:tc>
        <w:tc>
          <w:tcPr/>
          <w:p>
            <w:pPr>
              <w:pStyle w:val="Compact"/>
            </w:pPr>
            <w:r>
              <w:t xml:space="preserve">Molecule generation (</w:t>
            </w:r>
            <w:r>
              <w:rPr>
                <w:b/>
                <w:bCs/>
              </w:rPr>
              <w:t xml:space="preserve">131 refs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BioNeMo DiffDock NIM</w:t>
            </w:r>
          </w:p>
        </w:tc>
        <w:tc>
          <w:tcPr/>
          <w:p>
            <w:pPr>
              <w:pStyle w:val="Compact"/>
            </w:pPr>
            <w:r>
              <w:t xml:space="preserve">NGC NIM registry</w:t>
            </w:r>
          </w:p>
        </w:tc>
        <w:tc>
          <w:tcPr/>
          <w:p>
            <w:pPr>
              <w:pStyle w:val="Compact"/>
            </w:pPr>
            <w:r>
              <w:t xml:space="preserve">Docking poses (</w:t>
            </w:r>
            <w:r>
              <w:rPr>
                <w:b/>
                <w:bCs/>
              </w:rPr>
              <w:t xml:space="preserve">121 refs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ESMFold weights</w:t>
            </w:r>
          </w:p>
        </w:tc>
        <w:tc>
          <w:tcPr/>
          <w:p>
            <w:pPr>
              <w:pStyle w:val="Compact"/>
            </w:pPr>
            <w:r>
              <w:t xml:space="preserve">HuggingFace licence acceptance</w:t>
            </w:r>
          </w:p>
        </w:tc>
        <w:tc>
          <w:tcPr/>
          <w:p>
            <w:pPr>
              <w:pStyle w:val="Compact"/>
            </w:pPr>
            <w:r>
              <w:t xml:space="preserve">Structure prediction</w:t>
            </w:r>
            <w:r>
              <w:t xml:space="preserve"> </w:t>
            </w:r>
            <w:r>
              <w:rPr>
                <w:rStyle w:val="VerbatimChar"/>
              </w:rPr>
              <w:t xml:space="preserve">:8570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Chai-1 co-folding</w:t>
            </w:r>
          </w:p>
        </w:tc>
        <w:tc>
          <w:tcPr/>
          <w:p>
            <w:pPr>
              <w:pStyle w:val="Compact"/>
            </w:pPr>
            <w:r>
              <w:t xml:space="preserve">Chai Discovery gated weights</w:t>
            </w:r>
          </w:p>
        </w:tc>
        <w:tc>
          <w:tcPr/>
          <w:p>
            <w:pPr>
              <w:pStyle w:val="Compact"/>
            </w:pPr>
            <w:r>
              <w:t xml:space="preserve">Co-folding; registry status</w:t>
            </w:r>
            <w:r>
              <w:t xml:space="preserve"> </w:t>
            </w:r>
            <w:r>
              <w:rPr>
                <w:rStyle w:val="VerbatimChar"/>
              </w:rP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</w:t>
            </w:r>
          </w:p>
        </w:tc>
        <w:tc>
          <w:tcPr/>
          <w:p>
            <w:pPr>
              <w:pStyle w:val="Compact"/>
            </w:pPr>
            <w:r>
              <w:t xml:space="preserve">RFdiffusion + DGL</w:t>
            </w:r>
          </w:p>
        </w:tc>
        <w:tc>
          <w:tcPr/>
          <w:p>
            <w:pPr>
              <w:pStyle w:val="Compact"/>
            </w:pPr>
            <w:r>
              <w:t xml:space="preserve">GitHub + gated weights;</w:t>
            </w:r>
            <w:r>
              <w:t xml:space="preserve"> </w:t>
            </w:r>
            <w:r>
              <w:rPr>
                <w:b/>
                <w:bCs/>
              </w:rPr>
              <w:t xml:space="preserve">needs G1</w:t>
            </w:r>
          </w:p>
        </w:tc>
        <w:tc>
          <w:tcPr/>
          <w:p>
            <w:pPr>
              <w:pStyle w:val="Compact"/>
            </w:pPr>
            <w:r>
              <w:t xml:space="preserve">De novo backbone design (vendored)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G8</w:t>
            </w:r>
          </w:p>
        </w:tc>
        <w:tc>
          <w:tcPr/>
          <w:p>
            <w:pPr>
              <w:pStyle w:val="Compact"/>
            </w:pPr>
            <w:r>
              <w:t xml:space="preserve">MHCflurry models</w:t>
            </w:r>
          </w:p>
        </w:tc>
        <w:tc>
          <w:tcPr/>
          <w:p>
            <w:pPr>
              <w:pStyle w:val="Compact"/>
            </w:pPr>
            <w:r>
              <w:t xml:space="preserve">PyPI + model download</w:t>
            </w:r>
          </w:p>
        </w:tc>
        <w:tc>
          <w:tcPr/>
          <w:p>
            <w:pPr>
              <w:pStyle w:val="Compact"/>
            </w:pPr>
            <w:r>
              <w:t xml:space="preserve">Immunogenicity</w:t>
            </w:r>
            <w:r>
              <w:t xml:space="preserve"> </w:t>
            </w:r>
            <w:r>
              <w:rPr>
                <w:rStyle w:val="VerbatimChar"/>
              </w:rPr>
              <w:t xml:space="preserve">:8577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planned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Start w:id="10" w:name="not-gated--simply-missing"/>
    <w:p>
      <w:pPr>
        <w:pStyle w:val="Heading3"/>
      </w:pPr>
      <w:r>
        <w:t xml:space="preserve">Not gated — simply missing</w:t>
      </w:r>
    </w:p>
    <w:p>
      <w:pPr>
        <w:pStyle w:val="FirstParagraph"/>
      </w:pPr>
      <w:r>
        <w:t xml:space="preserve">These need no credentials and should be installed first, because they unblock real work immediately:</w:t>
      </w:r>
    </w:p>
    <w:p>
      <w:pPr>
        <w:pStyle w:val="SourceCode"/>
      </w:pPr>
      <w:r>
        <w:rPr>
          <w:rStyle w:val="VerbatimChar"/>
        </w:rPr>
        <w:t xml:space="preserve">scanpy  anndata  pysam  cyvcf2  rdkit  nextflow</w:t>
      </w:r>
    </w:p>
    <w:p>
      <w:pPr>
        <w:pStyle w:val="FirstParagraph"/>
      </w:pPr>
      <w:r>
        <w:rPr>
          <w:rStyle w:val="VerbatimChar"/>
        </w:rPr>
        <w:t xml:space="preserve">nextflow</w:t>
      </w:r>
      <w:r>
        <w:t xml:space="preserve"> </w:t>
      </w:r>
      <w:r>
        <w:t xml:space="preserve">is the orchestrator named throughout the architecture and is</w:t>
      </w:r>
      <w:r>
        <w:t xml:space="preserve"> </w:t>
      </w:r>
      <w:r>
        <w:rPr>
          <w:b/>
          <w:bCs/>
        </w:rPr>
        <w:t xml:space="preserve">not installed</w:t>
      </w:r>
      <w:r>
        <w:t xml:space="preserve">.</w:t>
      </w:r>
    </w:p>
    <w:bookmarkEnd w:id="10"/>
    <w:bookmarkEnd w:id="11"/>
    <w:bookmarkStart w:id="12" w:name="X61632ee898908c6ac4a0f85739e7622953cab49"/>
    <w:p>
      <w:pPr>
        <w:pStyle w:val="Heading2"/>
      </w:pPr>
      <w:r>
        <w:t xml:space="preserve">3. What each gate actually blocks</w:t>
      </w:r>
    </w:p>
    <w:p>
      <w:pPr>
        <w:pStyle w:val="FirstParagraph"/>
      </w:pPr>
      <w:r>
        <w:rPr>
          <w:b/>
          <w:bCs/>
        </w:rPr>
        <w:t xml:space="preserve">G1 — CUDA PyTorch.</w:t>
      </w:r>
      <w:r>
        <w:t xml:space="preserve"> </w:t>
      </w:r>
      <w:r>
        <w:t xml:space="preserve">The keystone. Without it: ESM-2 embeddings run on Grace cores (slow but</w:t>
      </w:r>
      <w:r>
        <w:t xml:space="preserve"> </w:t>
      </w:r>
      <w:r>
        <w:t xml:space="preserve">functional), ESMFold is impractical, ProteinMPNN and RFdiffusion are non-functional, and no demo can</w:t>
      </w:r>
      <w:r>
        <w:t xml:space="preserve"> </w:t>
      </w:r>
      <w:r>
        <w:t xml:space="preserve">honestly claim GPU acceleration. It also blocks G7, which needs a CUDA build to compile DGL.</w:t>
      </w:r>
    </w:p>
    <w:p>
      <w:pPr>
        <w:pStyle w:val="BodyText"/>
      </w:pPr>
      <w:r>
        <w:rPr>
          <w:b/>
          <w:bCs/>
        </w:rPr>
        <w:t xml:space="preserve">G2 — Parabricks.</w:t>
      </w:r>
      <w:r>
        <w:t xml:space="preserve"> </w:t>
      </w:r>
      <w:r>
        <w:t xml:space="preserve">The "Patient DNA → drug candidates in under five hours" claim rests on</w:t>
      </w:r>
      <w:r>
        <w:t xml:space="preserve"> </w:t>
      </w:r>
      <w:r>
        <w:t xml:space="preserve">GPU-accelerated alignment and variant calling. Without it the genomics engine can serve</w:t>
      </w:r>
      <w:r>
        <w:t xml:space="preserve"> </w:t>
      </w:r>
      <w:r>
        <w:t xml:space="preserve">pre-computed results only, which must be labelled</w:t>
      </w:r>
      <w:r>
        <w:t xml:space="preserve"> </w:t>
      </w:r>
      <w:r>
        <w:rPr>
          <w:b/>
          <w:bCs/>
        </w:rPr>
        <w:t xml:space="preserve">REPRESENTATIVE</w:t>
      </w:r>
      <w:r>
        <w:t xml:space="preserve">, never LIVE.</w:t>
      </w:r>
    </w:p>
    <w:p>
      <w:pPr>
        <w:pStyle w:val="BodyText"/>
      </w:pPr>
      <w:r>
        <w:rPr>
          <w:b/>
          <w:bCs/>
        </w:rPr>
        <w:t xml:space="preserve">G3/G4 — MolMIM and DiffDock.</w:t>
      </w:r>
      <w:r>
        <w:t xml:space="preserve"> </w:t>
      </w:r>
      <w:r>
        <w:t xml:space="preserve">The therapeutic-discovery engine's two headline capabilities. With</w:t>
      </w:r>
      <w:r>
        <w:t xml:space="preserve"> </w:t>
      </w:r>
      <w:r>
        <w:t xml:space="preserve">252 combined code references, these are not peripheral. Without them the drug-discovery demo has no</w:t>
      </w:r>
      <w:r>
        <w:t xml:space="preserve"> </w:t>
      </w:r>
      <w:r>
        <w:t xml:space="preserve">honest content.</w:t>
      </w:r>
    </w:p>
    <w:p>
      <w:pPr>
        <w:pStyle w:val="BodyText"/>
      </w:pPr>
      <w:r>
        <w:rPr>
          <w:b/>
          <w:bCs/>
        </w:rPr>
        <w:t xml:space="preserve">G5 — ESMFold.</w:t>
      </w:r>
      <w:r>
        <w:t xml:space="preserve"> </w:t>
      </w:r>
      <w:r>
        <w:t xml:space="preserve">Structure prediction at</w:t>
      </w:r>
      <w:r>
        <w:t xml:space="preserve"> </w:t>
      </w:r>
      <w:r>
        <w:rPr>
          <w:rStyle w:val="VerbatimChar"/>
        </w:rPr>
        <w:t xml:space="preserve">:8570</w:t>
      </w:r>
      <w:r>
        <w:t xml:space="preserve">. Note the engine capability</w:t>
      </w:r>
      <w:r>
        <w:t xml:space="preserve"> </w:t>
      </w:r>
      <w:r>
        <w:rPr>
          <w:rStyle w:val="VerbatimChar"/>
        </w:rPr>
        <w:t xml:space="preserve">structural-biology-engine:8581</w:t>
      </w:r>
      <w:r>
        <w:t xml:space="preserve"> </w:t>
      </w:r>
      <w:r>
        <w:t xml:space="preserve">is now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  <w:bCs/>
        </w:rPr>
        <w:t xml:space="preserve">no process binds 8581</w:t>
      </w:r>
      <w:r>
        <w:t xml:space="preserve"> </w:t>
      </w:r>
      <w:r>
        <w:t xml:space="preserve">— the engine is</w:t>
      </w:r>
      <w:r>
        <w:t xml:space="preserve"> </w:t>
      </w:r>
      <w:r>
        <w:t xml:space="preserve">five separate services with no aggregator.</w:t>
      </w:r>
    </w:p>
    <w:p>
      <w:pPr>
        <w:pStyle w:val="BodyText"/>
      </w:pPr>
      <w:r>
        <w:rPr>
          <w:b/>
          <w:bCs/>
        </w:rPr>
        <w:t xml:space="preserve">G6 — Chai-1.</w:t>
      </w:r>
      <w:r>
        <w:t xml:space="preserve"> </w:t>
      </w:r>
      <w:r>
        <w:t xml:space="preserve">Already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in the registry. Correctly labelled; do not promote until</w:t>
      </w:r>
      <w:r>
        <w:t xml:space="preserve"> </w:t>
      </w:r>
      <w:r>
        <w:t xml:space="preserve">weights are in place.</w:t>
      </w:r>
    </w:p>
    <w:bookmarkEnd w:id="12"/>
    <w:bookmarkStart w:id="13" w:name="X25fc3813a80373a00bf15744faef428f0759cd8"/>
    <w:p>
      <w:pPr>
        <w:pStyle w:val="Heading2"/>
      </w:pPr>
      <w:r>
        <w:t xml:space="preserve">4.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GR-1</w:t>
            </w:r>
          </w:p>
        </w:tc>
        <w:tc>
          <w:tcPr/>
          <w:p>
            <w:pPr>
              <w:pStyle w:val="Compact"/>
            </w:pPr>
            <w:r>
              <w:t xml:space="preserve">NGC account with the correct entitlements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login nvcr.io</w:t>
            </w:r>
            <w:r>
              <w:t xml:space="preserve"> </w:t>
            </w:r>
            <w:r>
              <w:t xml:space="preserve">succeeds; Parabricks + BioNeMo images pull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GR-2</w:t>
            </w:r>
          </w:p>
        </w:tc>
        <w:tc>
          <w:tcPr/>
          <w:p>
            <w:pPr>
              <w:pStyle w:val="Compact"/>
            </w:pPr>
            <w:r>
              <w:t xml:space="preserve">CUDA PyTorch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torch.cuda.is_available()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 real workload shows &gt;0% GPU in</w:t>
            </w:r>
            <w:r>
              <w:t xml:space="preserve"> </w:t>
            </w:r>
            <w:r>
              <w:rPr>
                <w:rStyle w:val="VerbatimChar"/>
              </w:rPr>
              <w:t xml:space="preserve">nvidia-smi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GR-3</w:t>
            </w:r>
          </w:p>
        </w:tc>
        <w:tc>
          <w:tcPr/>
          <w:p>
            <w:pPr>
              <w:pStyle w:val="Compact"/>
            </w:pPr>
            <w:r>
              <w:t xml:space="preserve">Parabricks runs a real sample</w:t>
            </w:r>
          </w:p>
        </w:tc>
        <w:tc>
          <w:tcPr/>
          <w:p>
            <w:pPr>
              <w:pStyle w:val="Compact"/>
            </w:pPr>
            <w:r>
              <w:t xml:space="preserve">FASTQ → BAM → VCF completes on HG002 with recorded wall-clock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GR-4</w:t>
            </w:r>
          </w:p>
        </w:tc>
        <w:tc>
          <w:tcPr/>
          <w:p>
            <w:pPr>
              <w:pStyle w:val="Compact"/>
            </w:pPr>
            <w:r>
              <w:t xml:space="preserve">MolMIM + DiffDock serve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200 on both; one real generation and one real pose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GR-5</w:t>
            </w:r>
          </w:p>
        </w:tc>
        <w:tc>
          <w:tcPr/>
          <w:p>
            <w:pPr>
              <w:pStyle w:val="Compact"/>
            </w:pPr>
            <w:r>
              <w:t xml:space="preserve">ESMFold serves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:8570</w:t>
            </w:r>
            <w:r>
              <w:t xml:space="preserve"> </w:t>
            </w:r>
            <w:r>
              <w:t xml:space="preserve">returns a structure for a known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GR-6</w:t>
            </w:r>
          </w:p>
        </w:tc>
        <w:tc>
          <w:tcPr/>
          <w:p>
            <w:pPr>
              <w:pStyle w:val="Compact"/>
            </w:pPr>
            <w:r>
              <w:t xml:space="preserve">Registry reflects reality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capability answers a health probe; anything unmet stays</w:t>
            </w:r>
            <w:r>
              <w:t xml:space="preserve"> </w:t>
            </w:r>
            <w:r>
              <w:rPr>
                <w:rStyle w:val="VerbatimChar"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GR-7</w:t>
            </w:r>
          </w:p>
        </w:tc>
        <w:tc>
          <w:tcPr/>
          <w:p>
            <w:pPr>
              <w:pStyle w:val="Compact"/>
            </w:pPr>
            <w:r>
              <w:t xml:space="preserve">Demos labelled honestly</w:t>
            </w:r>
          </w:p>
        </w:tc>
        <w:tc>
          <w:tcPr/>
          <w:p>
            <w:pPr>
              <w:pStyle w:val="Compact"/>
            </w:pPr>
            <w:r>
              <w:t xml:space="preserve">each of the 17 marked LIVE / REPRESENTATIVE / BURST, matching what actually ran</w:t>
            </w:r>
          </w:p>
        </w:tc>
      </w:tr>
    </w:tbl>
    <w:p>
      <w:pPr>
        <w:pStyle w:val="BodyText"/>
      </w:pPr>
      <w:r>
        <w:rPr>
          <w:b/>
          <w:bCs/>
        </w:rPr>
        <w:t xml:space="preserve">GR-6 is the one that protects the project.</w:t>
      </w:r>
      <w:r>
        <w:t xml:space="preserve"> </w:t>
      </w:r>
      <w:r>
        <w:t xml:space="preserve">Two capabilities were found registered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while</w:t>
      </w:r>
      <w:r>
        <w:t xml:space="preserve"> </w:t>
      </w:r>
      <w:r>
        <w:t xml:space="preserve">unreachable (</w:t>
      </w:r>
      <w:r>
        <w:rPr>
          <w:rStyle w:val="VerbatimChar"/>
        </w:rPr>
        <w:t xml:space="preserve">singlecell-compute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structural-biology-engine</w:t>
      </w:r>
      <w:r>
        <w:t xml:space="preserve">). Installing gated software must not</w:t>
      </w:r>
      <w:r>
        <w:t xml:space="preserve"> </w:t>
      </w:r>
      <w:r>
        <w:t xml:space="preserve">become an excuse to mark things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ahead of evidence.</w:t>
      </w:r>
    </w:p>
    <w:bookmarkEnd w:id="13"/>
    <w:bookmarkStart w:id="14" w:name="Xfde5f056d36b9a8b113e1fd9a1ba24f2a6167da"/>
    <w:p>
      <w:pPr>
        <w:pStyle w:val="Heading2"/>
      </w:pPr>
      <w:r>
        <w:t xml:space="preserve">5. Verification — mandatory before any status is promoted</w:t>
      </w:r>
    </w:p>
    <w:p>
      <w:pPr>
        <w:pStyle w:val="SourceCode"/>
      </w:pPr>
      <w:r>
        <w:rPr>
          <w:rStyle w:val="CommentTok"/>
        </w:rPr>
        <w:t xml:space="preserve"># 1. the GPU is genuinely in use, not merely present</w:t>
      </w:r>
      <w:r>
        <w:br/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utilization.gpu,power.draw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</w:t>
      </w:r>
      <w:r>
        <w:br/>
      </w:r>
      <w:r>
        <w:rPr>
          <w:rStyle w:val="CommentTok"/>
        </w:rPr>
        <w:t xml:space="preserve"># run a real workload in parallel; utilisation must leave 0% and power must rise above ~15 W idle</w:t>
      </w:r>
      <w:r>
        <w:br/>
      </w:r>
      <w:r>
        <w:br/>
      </w:r>
      <w:r>
        <w:rPr>
          <w:rStyle w:val="CommentTok"/>
        </w:rPr>
        <w:t xml:space="preserve"># 2. every live capability answers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json, urllib.request</w:t>
      </w:r>
      <w:r>
        <w:br/>
      </w:r>
      <w:r>
        <w:rPr>
          <w:rStyle w:val="StringTok"/>
        </w:rPr>
        <w:t xml:space="preserve">for c in json.load(open("lib/hcls_common/capabilities.json"))["capabilities"]:</w:t>
      </w:r>
      <w:r>
        <w:br/>
      </w:r>
      <w:r>
        <w:rPr>
          <w:rStyle w:val="StringTok"/>
        </w:rPr>
        <w:t xml:space="preserve">    if c.get("status")!="live" or not c.get("endpoint"): continue</w:t>
      </w:r>
      <w:r>
        <w:br/>
      </w:r>
      <w:r>
        <w:rPr>
          <w:rStyle w:val="StringTok"/>
        </w:rPr>
        <w:t xml:space="preserve">    try: code=urllib.request.urlopen(f"http://{c['endpoint']}/health", timeout=3).status</w:t>
      </w:r>
      <w:r>
        <w:br/>
      </w:r>
      <w:r>
        <w:rPr>
          <w:rStyle w:val="StringTok"/>
        </w:rPr>
        <w:t xml:space="preserve">    except Exception as e: code=type(e).__name__</w:t>
      </w:r>
      <w:r>
        <w:br/>
      </w:r>
      <w:r>
        <w:rPr>
          <w:rStyle w:val="StringTok"/>
        </w:rPr>
        <w:t xml:space="preserve">    print(f"{c['id']:42s} {code}")</w:t>
      </w:r>
      <w:r>
        <w:br/>
      </w:r>
      <w:r>
        <w:rPr>
          <w:rStyle w:val="Operator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3. the platform still passes its own gate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scripts/run_all_tests.py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scripts/validate_registry.py</w:t>
      </w:r>
    </w:p>
    <w:bookmarkEnd w:id="14"/>
    <w:bookmarkStart w:id="15" w:name="Xf4d714abcb26335700ae035bc33791e14ab65fd"/>
    <w:p>
      <w:pPr>
        <w:pStyle w:val="Heading2"/>
      </w:pPr>
      <w:r>
        <w:t xml:space="preserve">6.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CUDA wheel for GB10 / sm_121 aarch64</w:t>
            </w:r>
          </w:p>
        </w:tc>
        <w:tc>
          <w:tcPr/>
          <w:p>
            <w:pPr>
              <w:pStyle w:val="Compact"/>
            </w:pPr>
            <w:r>
              <w:t xml:space="preserve">G1 fails; G7 unreachable</w:t>
            </w:r>
          </w:p>
        </w:tc>
        <w:tc>
          <w:tcPr/>
          <w:p>
            <w:pPr>
              <w:pStyle w:val="Compact"/>
            </w:pPr>
            <w:r>
              <w:t xml:space="preserve">Use NGC PyTorch</w:t>
            </w:r>
            <w:r>
              <w:t xml:space="preserve"> </w:t>
            </w:r>
            <w:r>
              <w:rPr>
                <w:b/>
                <w:bCs/>
              </w:rPr>
              <w:t xml:space="preserve">containers</w:t>
            </w:r>
            <w:r>
              <w:t xml:space="preserve">, which ship their own matched runtime, rather than pip wheels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Parabricks licence does not cover this box</w:t>
            </w:r>
          </w:p>
        </w:tc>
        <w:tc>
          <w:tcPr/>
          <w:p>
            <w:pPr>
              <w:pStyle w:val="Compact"/>
            </w:pPr>
            <w:r>
              <w:t xml:space="preserve">G2 blocked</w:t>
            </w:r>
          </w:p>
        </w:tc>
        <w:tc>
          <w:tcPr/>
          <w:p>
            <w:pPr>
              <w:pStyle w:val="Compact"/>
            </w:pPr>
            <w:r>
              <w:t xml:space="preserve">Confirm entitlement before planning demos around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NIM images are x86-only</w:t>
            </w:r>
          </w:p>
        </w:tc>
        <w:tc>
          <w:tcPr/>
          <w:p>
            <w:pPr>
              <w:pStyle w:val="Compact"/>
            </w:pPr>
            <w:r>
              <w:t xml:space="preserve">G3/G4 blocked locally</w:t>
            </w:r>
          </w:p>
        </w:tc>
        <w:tc>
          <w:tcPr/>
          <w:p>
            <w:pPr>
              <w:pStyle w:val="Compact"/>
            </w:pPr>
            <w:r>
              <w:t xml:space="preserve">Elastic burst to remote GPUs over the private mesh — and say "elastic burst", never "all on one box"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 install slips, demos ship anyway</w:t>
            </w:r>
          </w:p>
        </w:tc>
        <w:tc>
          <w:tcPr/>
          <w:p>
            <w:pPr>
              <w:pStyle w:val="Compact"/>
            </w:pPr>
            <w:r>
              <w:t xml:space="preserve">Honesty-gate breach</w:t>
            </w:r>
          </w:p>
        </w:tc>
        <w:tc>
          <w:tcPr/>
          <w:p>
            <w:pPr>
              <w:pStyle w:val="Compact"/>
            </w:pPr>
            <w:r>
              <w:t xml:space="preserve">GR-6/GR-7 — status follows evidence, not intent</w:t>
            </w:r>
          </w:p>
        </w:tc>
      </w:tr>
    </w:tbl>
    <w:bookmarkEnd w:id="15"/>
    <w:bookmarkStart w:id="16" w:name="X54a7399eda5dba0d002262ba877c70c8dd930c5"/>
    <w:p>
      <w:pPr>
        <w:pStyle w:val="Heading2"/>
      </w:pPr>
      <w:r>
        <w:t xml:space="preserve">7. Sequence</w:t>
      </w:r>
    </w:p>
    <w:p>
      <w:pPr>
        <w:pStyle w:val="SourceCode"/>
      </w:pPr>
      <w:r>
        <w:rPr>
          <w:rStyle w:val="VerbatimChar"/>
        </w:rPr>
        <w:t xml:space="preserve">ungated installs (scanpy, rdkit, pysam, cyvcf2, nextflow)   ← do this first, no credentials needed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GR-1 NGC entitlement ──► G1 CUDA torch ──► G5 ESMFold ──► G7 RFdiffusion/DGL</w:t>
      </w:r>
      <w:r>
        <w:br/>
      </w:r>
      <w:r>
        <w:rPr>
          <w:rStyle w:val="VerbatimChar"/>
        </w:rPr>
        <w:t xml:space="preserve">        │                      │</w:t>
      </w:r>
      <w:r>
        <w:br/>
      </w:r>
      <w:r>
        <w:rPr>
          <w:rStyle w:val="VerbatimChar"/>
        </w:rPr>
        <w:t xml:space="preserve">        └──► G2 Parabricks     └──► G3 MolMIM · G4 DiffDock ──► 17 demos</w:t>
      </w:r>
    </w:p>
    <w:bookmarkEnd w:id="16"/>
    <w:bookmarkStart w:id="17" w:name="X35fe6f683776846f32da561b7aa5a77e9d53835"/>
    <w:p>
      <w:pPr>
        <w:pStyle w:val="Heading2"/>
      </w:pPr>
      <w:r>
        <w:t xml:space="preserve">8. Open questions for Adam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the NGC account carry Parabricks and BioNeMo entitlements</w:t>
      </w:r>
      <w:r>
        <w:t xml:space="preserve">, or is a separate licence</w:t>
      </w:r>
      <w:r>
        <w:t xml:space="preserve"> </w:t>
      </w:r>
      <w:r>
        <w:t xml:space="preserve">needed?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or burst for the NIMs?</w:t>
      </w:r>
      <w:r>
        <w:t xml:space="preserve"> </w:t>
      </w:r>
      <w:r>
        <w:t xml:space="preserve">If MolMIM/DiffDock images are x86-only, the demos must say</w:t>
      </w:r>
      <w:r>
        <w:t xml:space="preserve"> </w:t>
      </w:r>
      <w:r>
        <w:t xml:space="preserve">"elastic burst" — this changes the narration of the drug-discovery 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Chai-1 weights</w:t>
      </w:r>
      <w:r>
        <w:t xml:space="preserve"> </w:t>
      </w:r>
      <w:r>
        <w:t xml:space="preserve">— has access been granted? It is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in the registry and should stay</w:t>
      </w:r>
      <w:r>
        <w:t xml:space="preserve"> </w:t>
      </w:r>
      <w:r>
        <w:t xml:space="preserve">there until it has.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HCLS AI Factory — Gated Software: PRD</dc:title>
  <dc:creator>Adam Jones</dc:creator>
  <cp:keywords/>
  <dcterms:created xsi:type="dcterms:W3CDTF">2026-08-16T03:25:33Z</dcterms:created>
  <dcterms:modified xsi:type="dcterms:W3CDTF">2026-08-16T03:25:33Z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2026-08-15</vt:lpwstr>
  </property>
</Properties>
</file>