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Single-Cell Intelligence Agent -- Demo Guide</w:t>
      </w:r>
    </w:p>
    <w:p>
      <w:r/>
      <w:r>
        <w:rPr>
          <w:b/>
        </w:rPr>
        <w:t>Version:</w:t>
      </w:r>
      <w:r>
        <w:t xml:space="preserve"> 1.0.0</w:t>
      </w:r>
    </w:p>
    <w:p>
      <w:r/>
      <w:r>
        <w:rPr>
          <w:b/>
        </w:rPr>
        <w:t>Date:</w:t>
      </w:r>
      <w:r>
        <w:t xml:space="preserve"> 2026-03-22</w:t>
      </w:r>
    </w:p>
    <w:p>
      <w:r/>
      <w:r>
        <w:rPr>
          <w:b/>
        </w:rPr>
        <w:t>Author:</w:t>
      </w:r>
      <w:r>
        <w:t xml:space="preserve"> Adam Jones</w:t>
      </w:r>
    </w:p>
    <w:p>
      <w:pPr>
        <w:pStyle w:val="Heading1"/>
      </w:pPr>
      <w:r>
        <w:t>Prerequisites</w:t>
      </w:r>
    </w:p>
    <w:p>
      <w:r>
        <w:t>Before running any demo, ensure the agent is deployed and healthy:</w:t>
      </w:r>
    </w:p>
    <w:p>
      <w:r>
        <w:t>curl -s http://localhost:8540/health | python -m json.tool</w:t>
      </w:r>
    </w:p>
    <w:p>
      <w:r>
        <w:t># Verify: "status": "healthy"</w:t>
      </w:r>
    </w:p>
    <w:p>
      <w:r>
        <w:t>Access the Streamlit UI at `http://localhost:8130` or use the API directly via `curl` or the Swagger UI at `http://localhost:8540/docs`.</w:t>
      </w:r>
    </w:p>
    <w:p>
      <w:pPr>
        <w:pStyle w:val="Heading1"/>
      </w:pPr>
      <w:r>
        <w:t>Demo 1: Cell Type Annotation</w:t>
      </w:r>
    </w:p>
    <w:p>
      <w:pPr>
        <w:pStyle w:val="Heading2"/>
      </w:pPr>
      <w:r>
        <w:t>Scenario</w:t>
      </w:r>
    </w:p>
    <w:p>
      <w:r>
        <w:t>A researcher has performed scRNA-seq on a PBMC sample from a melanoma patient and needs to identify the immune cell populations present.</w:t>
      </w:r>
    </w:p>
    <w:p>
      <w:pPr>
        <w:pStyle w:val="Heading2"/>
      </w:pPr>
      <w:r>
        <w:t>Streamlit UI</w:t>
      </w:r>
    </w:p>
    <w:p>
      <w:r>
        <w:t xml:space="preserve">1. Open the </w:t>
      </w:r>
      <w:r>
        <w:rPr>
          <w:b/>
        </w:rPr>
        <w:t>Chat</w:t>
      </w:r>
      <w:r>
        <w:t xml:space="preserve"> tab</w:t>
      </w:r>
    </w:p>
    <w:p>
      <w:r>
        <w:t>2. Enter the query:</w:t>
      </w:r>
    </w:p>
    <w:p>
      <w:r>
        <w:t>&gt; "I have a PBMC scRNA-seq dataset from a melanoma patient. The top clusters show these marker genes: Cluster 0: CD3D, CD3E, CD8A, GZMB, PRF1; Cluster 1: CD14, LYZ, S100A9, VCAN, FCN1; Cluster 2: CD19, MS4A1, CD79A, PAX5; Cluster 3: NCAM1, NKG7, GNLY, KLRD1; Cluster 4: FOXP3, IL2RA, CTLA4, CD4. What are these cell types and what is their clinical significance?"</w:t>
      </w:r>
    </w:p>
    <w:p>
      <w:r>
        <w:t>3. Review the response:</w:t>
      </w:r>
    </w:p>
    <w:p>
      <w:r>
        <w:t xml:space="preserve">   - Each cluster annotated with cell type and Cell Ontology ID</w:t>
      </w:r>
    </w:p>
    <w:p>
      <w:r>
        <w:t xml:space="preserve">   - Marker gene evidence for each annotation</w:t>
      </w:r>
    </w:p>
    <w:p>
      <w:r>
        <w:t xml:space="preserve">   - Clinical significance in melanoma context</w:t>
      </w:r>
    </w:p>
    <w:p>
      <w:pPr>
        <w:pStyle w:val="Heading2"/>
      </w:pPr>
      <w:r>
        <w:t>API Call</w:t>
      </w:r>
    </w:p>
    <w:p>
      <w:r>
        <w:t>curl -X POST http://localhost:8540/v1/sc/query \</w:t>
      </w:r>
    </w:p>
    <w:p>
      <w:r>
        <w:t xml:space="preserve">  -H "Content-Type: application/json" \</w:t>
      </w:r>
    </w:p>
    <w:p>
      <w:r>
        <w:t xml:space="preserve">  -H "X-API-Key: your-api-key" \</w:t>
      </w:r>
    </w:p>
    <w:p>
      <w:r>
        <w:t xml:space="preserve">  -d '{</w:t>
      </w:r>
    </w:p>
    <w:p>
      <w:r>
        <w:t xml:space="preserve">    "query": "Identify cell types from these PBMC cluster markers: CD3D/CD3E/CD8A/GZMB/PRF1, CD14/LYZ/S100A9, CD19/MS4A1/CD79A, NCAM1/NKG7/GNLY, FOXP3/IL2RA/CTLA4",</w:t>
      </w:r>
    </w:p>
    <w:p>
      <w:r>
        <w:t xml:space="preserve">    "tissue_type": "PBMC",</w:t>
      </w:r>
    </w:p>
    <w:p>
      <w:r>
        <w:t xml:space="preserve">    "disease_context": "melanoma",</w:t>
      </w:r>
    </w:p>
    <w:p>
      <w:r>
        <w:t xml:space="preserve">    "workflow_type": "cell_type_annotation"</w:t>
      </w:r>
    </w:p>
    <w:p>
      <w:r>
        <w:t xml:space="preserve">  }'</w:t>
      </w:r>
    </w:p>
    <w:p>
      <w:pPr>
        <w:pStyle w:val="Heading2"/>
      </w:pPr>
      <w:r>
        <w:t>Expected Output</w:t>
      </w:r>
    </w:p>
    <w:p>
      <w:r>
        <w:t>| Cluster | Cell Type | CL ID | Confidence | Key Markers |</w:t>
      </w:r>
    </w:p>
    <w:p>
      <w:r>
        <w:t>|---------|----------|-------|-----------|-------------|</w:t>
      </w:r>
    </w:p>
    <w:p>
      <w:r>
        <w:t>| 0 | CD8+ cytotoxic T cell | CL:0000625 | High | CD8A, GZMB, PRF1 |</w:t>
      </w:r>
    </w:p>
    <w:p>
      <w:r>
        <w:t>| 1 | Classical monocyte | CL:0000576 | High | CD14, LYZ, S100A9 |</w:t>
      </w:r>
    </w:p>
    <w:p>
      <w:r>
        <w:t>| 2 | B cell | CL:0000236 | High | CD19, MS4A1, CD79A |</w:t>
      </w:r>
    </w:p>
    <w:p>
      <w:r>
        <w:t>| 3 | Natural killer cell | CL:0000623 | High | NCAM1, NKG7, GNLY |</w:t>
      </w:r>
    </w:p>
    <w:p>
      <w:r>
        <w:t>| 4 | Regulatory T cell | CL:0000815 | High | FOXP3, IL2RA, CTLA4 |</w:t>
      </w:r>
    </w:p>
    <w:p>
      <w:pPr>
        <w:pStyle w:val="Heading2"/>
      </w:pPr>
      <w:r>
        <w:t>Talking Points</w:t>
      </w:r>
    </w:p>
    <w:p>
      <w:pPr>
        <w:pStyle w:val="ListBullet"/>
      </w:pPr>
      <w:r>
        <w:t>The agent maps marker gene signatures to canonical cell types using the 44-entry Cell Type Atlas</w:t>
      </w:r>
    </w:p>
    <w:p>
      <w:pPr>
        <w:pStyle w:val="ListBullet"/>
      </w:pPr>
      <w:r>
        <w:t>Cell Ontology (CL) identifiers enable interoperability with Human Cell Atlas references</w:t>
      </w:r>
    </w:p>
    <w:p>
      <w:pPr>
        <w:pStyle w:val="ListBullet"/>
      </w:pPr>
      <w:r>
        <w:t>Clinical significance contextualized to melanoma (e.g., Treg fraction relates to immunotherapy resistance)</w:t>
      </w:r>
    </w:p>
    <w:p>
      <w:pPr>
        <w:pStyle w:val="Heading1"/>
      </w:pPr>
      <w:r>
        <w:t>Demo 2: TME Profiling</w:t>
      </w:r>
    </w:p>
    <w:p>
      <w:pPr>
        <w:pStyle w:val="Heading2"/>
      </w:pPr>
      <w:r>
        <w:t>Scenario</w:t>
      </w:r>
    </w:p>
    <w:p>
      <w:r>
        <w:t>An oncologist wants to classify the tumor microenvironment of a lung adenocarcinoma biopsy to guide immunotherapy selection.</w:t>
      </w:r>
    </w:p>
    <w:p>
      <w:pPr>
        <w:pStyle w:val="Heading2"/>
      </w:pPr>
      <w:r>
        <w:t>Streamlit UI</w:t>
      </w:r>
    </w:p>
    <w:p>
      <w:r>
        <w:t xml:space="preserve">1. Open the </w:t>
      </w:r>
      <w:r>
        <w:rPr>
          <w:b/>
        </w:rPr>
        <w:t>TME Profiler</w:t>
      </w:r>
      <w:r>
        <w:t xml:space="preserve"> tab</w:t>
      </w:r>
    </w:p>
    <w:p>
      <w:r>
        <w:t>2. Enter cell type proportions:</w:t>
      </w:r>
    </w:p>
    <w:p>
      <w:r>
        <w:t xml:space="preserve">   - CD8_T: 0.18</w:t>
      </w:r>
    </w:p>
    <w:p>
      <w:r>
        <w:t xml:space="preserve">   - CD4_T: 0.12</w:t>
      </w:r>
    </w:p>
    <w:p>
      <w:r>
        <w:t xml:space="preserve">   - Treg: 0.04</w:t>
      </w:r>
    </w:p>
    <w:p>
      <w:r>
        <w:t xml:space="preserve">   - NK: 0.03</w:t>
      </w:r>
    </w:p>
    <w:p>
      <w:r>
        <w:t xml:space="preserve">   - B_cell: 0.05</w:t>
      </w:r>
    </w:p>
    <w:p>
      <w:r>
        <w:t xml:space="preserve">   - Macrophage_M1: 0.06</w:t>
      </w:r>
    </w:p>
    <w:p>
      <w:r>
        <w:t xml:space="preserve">   - Macrophage_M2: 0.08</w:t>
      </w:r>
    </w:p>
    <w:p>
      <w:r>
        <w:t xml:space="preserve">   - Fibroblast: 0.15</w:t>
      </w:r>
    </w:p>
    <w:p>
      <w:r>
        <w:t xml:space="preserve">   - Epithelial: 0.25</w:t>
      </w:r>
    </w:p>
    <w:p>
      <w:r>
        <w:t xml:space="preserve">   - Endothelial: 0.04</w:t>
      </w:r>
    </w:p>
    <w:p>
      <w:r>
        <w:t>3. Set PD-L1 TPS to 55 (optional)</w:t>
      </w:r>
    </w:p>
    <w:p>
      <w:r>
        <w:t xml:space="preserve">4. Click </w:t>
      </w:r>
      <w:r>
        <w:rPr>
          <w:b/>
        </w:rPr>
        <w:t>Classify TME</w:t>
      </w:r>
      <w:r/>
    </w:p>
    <w:p>
      <w:pPr>
        <w:pStyle w:val="Heading2"/>
      </w:pPr>
      <w:r>
        <w:t>API Call</w:t>
      </w:r>
    </w:p>
    <w:p>
      <w:r>
        <w:t>curl -X POST http://localhost:8540/v1/sc/tme-profile \</w:t>
      </w:r>
    </w:p>
    <w:p>
      <w:r>
        <w:t xml:space="preserve">  -H "Content-Type: application/json" \</w:t>
      </w:r>
    </w:p>
    <w:p>
      <w:r>
        <w:t xml:space="preserve">  -H "X-API-Key: your-api-key" \</w:t>
      </w:r>
    </w:p>
    <w:p>
      <w:r>
        <w:t xml:space="preserve">  -d '{</w:t>
      </w:r>
    </w:p>
    <w:p>
      <w:r>
        <w:t xml:space="preserve">    "cell_type_proportions": {</w:t>
      </w:r>
    </w:p>
    <w:p>
      <w:r>
        <w:t xml:space="preserve">      "CD8_T": 0.18, "CD4_T": 0.12, "Treg": 0.04,</w:t>
      </w:r>
    </w:p>
    <w:p>
      <w:r>
        <w:t xml:space="preserve">      "NK": 0.03, "B_cell": 0.05, "Macrophage_M1": 0.06,</w:t>
      </w:r>
    </w:p>
    <w:p>
      <w:r>
        <w:t xml:space="preserve">      "Macrophage_M2": 0.08, "Fibroblast": 0.15,</w:t>
      </w:r>
    </w:p>
    <w:p>
      <w:r>
        <w:t xml:space="preserve">      "Epithelial": 0.25, "Endothelial": 0.04</w:t>
      </w:r>
    </w:p>
    <w:p>
      <w:r>
        <w:t xml:space="preserve">    },</w:t>
      </w:r>
    </w:p>
    <w:p>
      <w:r>
        <w:t xml:space="preserve">    "gene_expression": {</w:t>
      </w:r>
    </w:p>
    <w:p>
      <w:r>
        <w:t xml:space="preserve">      "CD274": 2.5, "CTLA4": 1.8, "LAG3": 1.2,</w:t>
      </w:r>
    </w:p>
    <w:p>
      <w:r>
        <w:t xml:space="preserve">      "IDO1": 0.5, "TGFB1": 1.1</w:t>
      </w:r>
    </w:p>
    <w:p>
      <w:r>
        <w:t xml:space="preserve">    },</w:t>
      </w:r>
    </w:p>
    <w:p>
      <w:r>
        <w:t xml:space="preserve">    "pdl1_tps": 55,</w:t>
      </w:r>
    </w:p>
    <w:p>
      <w:r>
        <w:t xml:space="preserve">    "cancer_type": "lung_adenocarcinoma"</w:t>
      </w:r>
    </w:p>
    <w:p>
      <w:r>
        <w:t xml:space="preserve">  }'</w:t>
      </w:r>
    </w:p>
    <w:p>
      <w:pPr>
        <w:pStyle w:val="Heading2"/>
      </w:pPr>
      <w:r>
        <w:t>Expected Output</w:t>
      </w:r>
    </w:p>
    <w:p>
      <w:r>
        <w:t>{</w:t>
      </w:r>
    </w:p>
    <w:p>
      <w:r>
        <w:t xml:space="preserve">  "tme_class": "hot_inflamed",</w:t>
      </w:r>
    </w:p>
    <w:p>
      <w:r>
        <w:t xml:space="preserve">  "immune_score": 0.48,</w:t>
      </w:r>
    </w:p>
    <w:p>
      <w:r>
        <w:t xml:space="preserve">  "stromal_score": 0.15,</w:t>
      </w:r>
    </w:p>
    <w:p>
      <w:r>
        <w:t xml:space="preserve">  "pdl1_status": "high",</w:t>
      </w:r>
    </w:p>
    <w:p>
      <w:r>
        <w:t xml:space="preserve">  "treatment_recommendations": [</w:t>
      </w:r>
    </w:p>
    <w:p>
      <w:r>
        <w:t xml:space="preserve">    "Immune-hot TME: strong candidate for checkpoint inhibitor therapy (anti-PD-1/PD-L1)",</w:t>
      </w:r>
    </w:p>
    <w:p>
      <w:r>
        <w:t xml:space="preserve">    "PD-L1 TPS &gt;= 50%: consider first-line pembrolizumab monotherapy",</w:t>
      </w:r>
    </w:p>
    <w:p>
      <w:r>
        <w:t xml:space="preserve">    "LAG-3 co-expressed: consider relatlimab + nivolumab (Opdualag)"</w:t>
      </w:r>
    </w:p>
    <w:p>
      <w:r>
        <w:t xml:space="preserve">  ],</w:t>
      </w:r>
    </w:p>
    <w:p>
      <w:r>
        <w:t xml:space="preserve">  "evidence_level": "strong",</w:t>
      </w:r>
    </w:p>
    <w:p>
      <w:r>
        <w:t xml:space="preserve">  "severity": "informational"</w:t>
      </w:r>
    </w:p>
    <w:p>
      <w:r>
        <w:t>}</w:t>
      </w:r>
    </w:p>
    <w:p>
      <w:pPr>
        <w:pStyle w:val="Heading2"/>
      </w:pPr>
      <w:r>
        <w:t>Talking Points</w:t>
      </w:r>
    </w:p>
    <w:p>
      <w:pPr>
        <w:pStyle w:val="ListBullet"/>
      </w:pPr>
      <w:r>
        <w:t>Classification uses deterministic TME Classifier engine (not LLM)</w:t>
      </w:r>
    </w:p>
    <w:p>
      <w:pPr>
        <w:pStyle w:val="ListBullet"/>
      </w:pPr>
      <w:r>
        <w:t>PD-L1 TPS combined with scRNA-seq data provides stronger evidence than either alone</w:t>
      </w:r>
    </w:p>
    <w:p>
      <w:pPr>
        <w:pStyle w:val="ListBullet"/>
      </w:pPr>
      <w:r>
        <w:t>LAG-3 co-expression detected, enabling dual-checkpoint recommendation</w:t>
      </w:r>
    </w:p>
    <w:p>
      <w:pPr>
        <w:pStyle w:val="ListBullet"/>
      </w:pPr>
      <w:r>
        <w:t>Immune score of 0.48 exceeds the 0.25 threshold for hot-inflamed classification</w:t>
      </w:r>
    </w:p>
    <w:p>
      <w:pPr>
        <w:pStyle w:val="Heading1"/>
      </w:pPr>
      <w:r>
        <w:t>Demo 3: Drug Response Prediction</w:t>
      </w:r>
    </w:p>
    <w:p>
      <w:pPr>
        <w:pStyle w:val="Heading2"/>
      </w:pPr>
      <w:r>
        <w:t>Scenario</w:t>
      </w:r>
    </w:p>
    <w:p>
      <w:r>
        <w:t>A clinical team needs to understand which drugs a triple-negative breast cancer (TNBC) patient is likely to respond to, based on single-cell profiling.</w:t>
      </w:r>
    </w:p>
    <w:p>
      <w:pPr>
        <w:pStyle w:val="Heading2"/>
      </w:pPr>
      <w:r>
        <w:t>Streamlit UI</w:t>
      </w:r>
    </w:p>
    <w:p>
      <w:r>
        <w:t xml:space="preserve">1. Open the </w:t>
      </w:r>
      <w:r>
        <w:rPr>
          <w:b/>
        </w:rPr>
        <w:t>Chat</w:t>
      </w:r>
      <w:r>
        <w:t xml:space="preserve"> tab</w:t>
      </w:r>
    </w:p>
    <w:p>
      <w:r>
        <w:t>2. Enter the query:</w:t>
      </w:r>
    </w:p>
    <w:p>
      <w:r>
        <w:t>&gt; "A TNBC patient has scRNA-seq showing 40% tumor cells with high BRCA1 pathway activity, 15% exhausted CD8+ T cells, and 20% M2 macrophages. What drugs would you recommend and what resistance mechanisms should we watch for?"</w:t>
      </w:r>
    </w:p>
    <w:p>
      <w:pPr>
        <w:pStyle w:val="Heading2"/>
      </w:pPr>
      <w:r>
        <w:t>API Call</w:t>
      </w:r>
    </w:p>
    <w:p>
      <w:r>
        <w:t>curl -X POST http://localhost:8540/v1/sc/drug-response \</w:t>
      </w:r>
    </w:p>
    <w:p>
      <w:r>
        <w:t xml:space="preserve">  -H "Content-Type: application/json" \</w:t>
      </w:r>
    </w:p>
    <w:p>
      <w:r>
        <w:t xml:space="preserve">  -H "X-API-Key: your-api-key" \</w:t>
      </w:r>
    </w:p>
    <w:p>
      <w:r>
        <w:t xml:space="preserve">  -d '{</w:t>
      </w:r>
    </w:p>
    <w:p>
      <w:r>
        <w:t xml:space="preserve">    "query": "Drug response prediction for TNBC with BRCA1 activity, exhausted CD8+ T cells, and M2 macrophage infiltration",</w:t>
      </w:r>
    </w:p>
    <w:p>
      <w:r>
        <w:t xml:space="preserve">    "disease_context": "triple-negative breast cancer",</w:t>
      </w:r>
    </w:p>
    <w:p>
      <w:r>
        <w:t xml:space="preserve">    "cell_types_of_interest": ["tumor", "CD8_T_exhausted", "Macrophage_M2"],</w:t>
      </w:r>
    </w:p>
    <w:p>
      <w:r>
        <w:t xml:space="preserve">    "genes_of_interest": ["BRCA1", "PDCD1", "LAG3", "HAVCR2", "CD163"]</w:t>
      </w:r>
    </w:p>
    <w:p>
      <w:r>
        <w:t xml:space="preserve">  }'</w:t>
      </w:r>
    </w:p>
    <w:p>
      <w:pPr>
        <w:pStyle w:val="Heading2"/>
      </w:pPr>
      <w:r>
        <w:t>Expected Output Highlights</w:t>
      </w:r>
    </w:p>
    <w:p>
      <w:pPr>
        <w:pStyle w:val="ListBullet"/>
      </w:pPr>
      <w:r>
        <w:t>**PARP inhibitor (Olaparib):** High sensitivity predicted based on BRCA1 pathway activity; watch for BRCA1 reversion mutations in expanding subclones</w:t>
      </w:r>
    </w:p>
    <w:p>
      <w:pPr>
        <w:pStyle w:val="ListBullet"/>
      </w:pPr>
      <w:r>
        <w:t>**Checkpoint inhibitor (Atezolizumab):** Moderate sensitivity; exhausted T cells may benefit from anti-PD-L1 but M2 macrophage suppression limits efficacy</w:t>
      </w:r>
    </w:p>
    <w:p>
      <w:pPr>
        <w:pStyle w:val="ListBullet"/>
      </w:pPr>
      <w:r>
        <w:t>**CSF1R inhibitor combination:** Recommended to reprogram M2 macrophages and enhance checkpoint blockade</w:t>
      </w:r>
    </w:p>
    <w:p>
      <w:pPr>
        <w:pStyle w:val="Heading2"/>
      </w:pPr>
      <w:r>
        <w:t>Talking Points</w:t>
      </w:r>
    </w:p>
    <w:p>
      <w:pPr>
        <w:pStyle w:val="ListBullet"/>
      </w:pPr>
      <w:r>
        <w:t>Drug response prediction integrates cell type composition with drug mechanism databases</w:t>
      </w:r>
    </w:p>
    <w:p>
      <w:pPr>
        <w:pStyle w:val="ListBullet"/>
      </w:pPr>
      <w:r>
        <w:t>Resistance mechanisms identified at the subpopulation level</w:t>
      </w:r>
    </w:p>
    <w:p>
      <w:pPr>
        <w:pStyle w:val="ListBullet"/>
      </w:pPr>
      <w:r>
        <w:t>Combination strategies emerge from multi-compartment analysis</w:t>
      </w:r>
    </w:p>
    <w:p>
      <w:pPr>
        <w:pStyle w:val="Heading1"/>
      </w:pPr>
      <w:r>
        <w:t>Demo 4: CAR-T Target Validation</w:t>
      </w:r>
    </w:p>
    <w:p>
      <w:pPr>
        <w:pStyle w:val="Heading2"/>
      </w:pPr>
      <w:r>
        <w:t>Scenario</w:t>
      </w:r>
    </w:p>
    <w:p>
      <w:r>
        <w:t>A cell therapy team is evaluating CD19 as a target for CAR-T therapy in a B-cell lymphoma patient and wants to assess safety and efficacy.</w:t>
      </w:r>
    </w:p>
    <w:p>
      <w:pPr>
        <w:pStyle w:val="Heading2"/>
      </w:pPr>
      <w:r>
        <w:t>Streamlit UI</w:t>
      </w:r>
    </w:p>
    <w:p>
      <w:r>
        <w:t xml:space="preserve">1. Open the </w:t>
      </w:r>
      <w:r>
        <w:rPr>
          <w:b/>
        </w:rPr>
        <w:t>Workflows</w:t>
      </w:r>
      <w:r>
        <w:t xml:space="preserve"> tab</w:t>
      </w:r>
    </w:p>
    <w:p>
      <w:r>
        <w:t xml:space="preserve">2. Select </w:t>
      </w:r>
      <w:r>
        <w:rPr>
          <w:b/>
        </w:rPr>
        <w:t>CAR-T Target Validation</w:t>
      </w:r>
      <w:r/>
    </w:p>
    <w:p>
      <w:r>
        <w:t>3. Enter:</w:t>
      </w:r>
    </w:p>
    <w:p>
      <w:r>
        <w:t xml:space="preserve">   - Target gene: CD19</w:t>
      </w:r>
    </w:p>
    <w:p>
      <w:r>
        <w:t xml:space="preserve">   - Cancer type: B-cell lymphoma</w:t>
      </w:r>
    </w:p>
    <w:p>
      <w:pPr>
        <w:pStyle w:val="Heading2"/>
      </w:pPr>
      <w:r>
        <w:t>API Call</w:t>
      </w:r>
    </w:p>
    <w:p>
      <w:r>
        <w:t>curl -X POST http://localhost:8540/v1/sc/cart-validate \</w:t>
      </w:r>
    </w:p>
    <w:p>
      <w:r>
        <w:t xml:space="preserve">  -H "Content-Type: application/json" \</w:t>
      </w:r>
    </w:p>
    <w:p>
      <w:r>
        <w:t xml:space="preserve">  -H "X-API-Key: your-api-key" \</w:t>
      </w:r>
    </w:p>
    <w:p>
      <w:r>
        <w:t xml:space="preserve">  -d '{</w:t>
      </w:r>
    </w:p>
    <w:p>
      <w:r>
        <w:t xml:space="preserve">    "target_gene": "CD19",</w:t>
      </w:r>
    </w:p>
    <w:p>
      <w:r>
        <w:t xml:space="preserve">    "tumor_expression_values": [3.2, 4.1, 2.8, 3.5, 4.0, 3.8, 3.1, 4.2, 0.05, 0.02, 3.9, 4.1, 3.7, 3.3, 2.9, 4.0, 3.6, 3.8, 0.08, 4.1],</w:t>
      </w:r>
    </w:p>
    <w:p>
      <w:r>
        <w:t xml:space="preserve">    "normal_tissue_expression": {</w:t>
      </w:r>
    </w:p>
    <w:p>
      <w:r>
        <w:t xml:space="preserve">      "brain": 0.01, "heart": 0.02, "lung": 0.15,</w:t>
      </w:r>
    </w:p>
    <w:p>
      <w:r>
        <w:t xml:space="preserve">      "liver": 0.05, "kidney": 0.03, "pancreas": 0.01,</w:t>
      </w:r>
    </w:p>
    <w:p>
      <w:r>
        <w:t xml:space="preserve">      "bone_marrow": 1.8, "intestine": 0.08</w:t>
      </w:r>
    </w:p>
    <w:p>
      <w:r>
        <w:t xml:space="preserve">    },</w:t>
      </w:r>
    </w:p>
    <w:p>
      <w:r>
        <w:t xml:space="preserve">    "cancer_type": "B-cell lymphoma"</w:t>
      </w:r>
    </w:p>
    <w:p>
      <w:r>
        <w:t xml:space="preserve">  }'</w:t>
      </w:r>
    </w:p>
    <w:p>
      <w:pPr>
        <w:pStyle w:val="Heading2"/>
      </w:pPr>
      <w:r>
        <w:t>Expected Output</w:t>
      </w:r>
    </w:p>
    <w:p>
      <w:r>
        <w:t>{</w:t>
      </w:r>
    </w:p>
    <w:p>
      <w:r>
        <w:t xml:space="preserve">  "target_gene": "CD19",</w:t>
      </w:r>
    </w:p>
    <w:p>
      <w:r>
        <w:t xml:space="preserve">  "on_tumor_pct": 0.85,</w:t>
      </w:r>
    </w:p>
    <w:p>
      <w:r>
        <w:t xml:space="preserve">  "mean_tumor_expression": 3.14,</w:t>
      </w:r>
    </w:p>
    <w:p>
      <w:r>
        <w:t xml:space="preserve">  "off_tumor_hits": {</w:t>
      </w:r>
    </w:p>
    <w:p>
      <w:r>
        <w:t xml:space="preserve">    "bone_marrow": 1.8</w:t>
      </w:r>
    </w:p>
    <w:p>
      <w:r>
        <w:t xml:space="preserve">  },</w:t>
      </w:r>
    </w:p>
    <w:p>
      <w:r>
        <w:t xml:space="preserve">  "therapeutic_index": 1.74,</w:t>
      </w:r>
    </w:p>
    <w:p>
      <w:r>
        <w:t xml:space="preserve">  "safety_assessment": "moderate_risk",</w:t>
      </w:r>
    </w:p>
    <w:p>
      <w:r>
        <w:t xml:space="preserve">  "safety_detail": "Low-level expression in: bone_marrow. Monitor for on-target off-tumour toxicity",</w:t>
      </w:r>
    </w:p>
    <w:p>
      <w:r>
        <w:t xml:space="preserve">  "efficacy_assessment": "adequate",</w:t>
      </w:r>
    </w:p>
    <w:p>
      <w:r>
        <w:t xml:space="preserve">  "overall_verdict": "CONDITIONAL",</w:t>
      </w:r>
    </w:p>
    <w:p>
      <w:r>
        <w:t xml:space="preserve">  "recommendations": [</w:t>
      </w:r>
    </w:p>
    <w:p>
      <w:r>
        <w:t xml:space="preserve">    "CD19: viable with risk mitigation. Consider dose escalation protocol and enhanced monitoring",</w:t>
      </w:r>
    </w:p>
    <w:p>
      <w:r>
        <w:t xml:space="preserve">    "Incorporate safety switch (iCasp9 or EGFRt) in CAR design",</w:t>
      </w:r>
    </w:p>
    <w:p>
      <w:r>
        <w:t xml:space="preserve">    "Consider tandem or dual-target CAR to improve coverage"</w:t>
      </w:r>
    </w:p>
    <w:p>
      <w:r>
        <w:t xml:space="preserve">  ]</w:t>
      </w:r>
    </w:p>
    <w:p>
      <w:r>
        <w:t>}</w:t>
      </w:r>
    </w:p>
    <w:p>
      <w:pPr>
        <w:pStyle w:val="Heading2"/>
      </w:pPr>
      <w:r>
        <w:t>Talking Points</w:t>
      </w:r>
    </w:p>
    <w:p>
      <w:pPr>
        <w:pStyle w:val="ListBullet"/>
      </w:pPr>
      <w:r>
        <w:t>85% on-tumor coverage is adequate but 15% antigen-negative cells pose escape risk</w:t>
      </w:r>
    </w:p>
    <w:p>
      <w:pPr>
        <w:pStyle w:val="ListBullet"/>
      </w:pPr>
      <w:r>
        <w:t>Bone marrow expression (1.8) creates on-target off-tumor toxicity concern (expected: B cell aplasia)</w:t>
      </w:r>
    </w:p>
    <w:p>
      <w:pPr>
        <w:pStyle w:val="ListBullet"/>
      </w:pPr>
      <w:r>
        <w:t>Therapeutic index of 1.74 is below the 3.0 "acceptable" threshold</w:t>
      </w:r>
    </w:p>
    <w:p>
      <w:pPr>
        <w:pStyle w:val="ListBullet"/>
      </w:pPr>
      <w:r>
        <w:t>Safety switch (iCasp9) recommended as a mitigation strategy</w:t>
      </w:r>
    </w:p>
    <w:p>
      <w:pPr>
        <w:pStyle w:val="ListBullet"/>
      </w:pPr>
      <w:r>
        <w:t>This matches the known clinical profile of CD19 CAR-T (B cell aplasia is an accepted on-target toxicity)</w:t>
      </w:r>
    </w:p>
    <w:p>
      <w:pPr>
        <w:pStyle w:val="Heading1"/>
      </w:pPr>
      <w:r>
        <w:t>Demo 5: Spatial Analysis</w:t>
      </w:r>
    </w:p>
    <w:p>
      <w:pPr>
        <w:pStyle w:val="Heading2"/>
      </w:pPr>
      <w:r>
        <w:t>Scenario</w:t>
      </w:r>
    </w:p>
    <w:p>
      <w:r>
        <w:t>A researcher has Visium spatial transcriptomics data from a colorectal cancer biopsy and wants to identify tissue architecture patterns.</w:t>
      </w:r>
    </w:p>
    <w:p>
      <w:pPr>
        <w:pStyle w:val="Heading2"/>
      </w:pPr>
      <w:r>
        <w:t>Streamlit UI</w:t>
      </w:r>
    </w:p>
    <w:p>
      <w:r>
        <w:t xml:space="preserve">1. Open the </w:t>
      </w:r>
      <w:r>
        <w:rPr>
          <w:b/>
        </w:rPr>
        <w:t>Chat</w:t>
      </w:r>
      <w:r>
        <w:t xml:space="preserve"> tab</w:t>
      </w:r>
    </w:p>
    <w:p>
      <w:r>
        <w:t>2. Enter the query:</w:t>
      </w:r>
    </w:p>
    <w:p>
      <w:r>
        <w:t>&gt; "In our Visium spatial transcriptomics data from a colorectal cancer sample, we see three distinct spatial niches: (1) an immune-rich region at the tumor invasive margin with high CD8A, GZMB, and CXCL9 expression; (2) a central tumor core with high MKI67, TOP2A, and low immune markers; (3) a fibrotic stroma with COL1A1, FAP, and TGFB1. What is the clinical significance of these spatial patterns?"</w:t>
      </w:r>
    </w:p>
    <w:p>
      <w:pPr>
        <w:pStyle w:val="Heading2"/>
      </w:pPr>
      <w:r>
        <w:t>API Call</w:t>
      </w:r>
    </w:p>
    <w:p>
      <w:r>
        <w:t>curl -X POST http://localhost:8540/v1/sc/spatial-niche \</w:t>
      </w:r>
    </w:p>
    <w:p>
      <w:r>
        <w:t xml:space="preserve">  -H "Content-Type: application/json" \</w:t>
      </w:r>
    </w:p>
    <w:p>
      <w:r>
        <w:t xml:space="preserve">  -H "X-API-Key: your-api-key" \</w:t>
      </w:r>
    </w:p>
    <w:p>
      <w:r>
        <w:t xml:space="preserve">  -d '{</w:t>
      </w:r>
    </w:p>
    <w:p>
      <w:r>
        <w:t xml:space="preserve">    "query": "Spatial niche analysis of colorectal cancer with immune margin, proliferative core, and fibrotic stroma",</w:t>
      </w:r>
    </w:p>
    <w:p>
      <w:r>
        <w:t xml:space="preserve">    "tissue_type": "colorectal",</w:t>
      </w:r>
    </w:p>
    <w:p>
      <w:r>
        <w:t xml:space="preserve">    "disease_context": "colorectal cancer",</w:t>
      </w:r>
    </w:p>
    <w:p>
      <w:r>
        <w:t xml:space="preserve">    "spatial_platform": "visium",</w:t>
      </w:r>
    </w:p>
    <w:p>
      <w:r>
        <w:t xml:space="preserve">    "genes_of_interest": ["CD8A", "GZMB", "CXCL9", "MKI67", "TOP2A", "COL1A1", "FAP", "TGFB1"]</w:t>
      </w:r>
    </w:p>
    <w:p>
      <w:r>
        <w:t xml:space="preserve">  }'</w:t>
      </w:r>
    </w:p>
    <w:p>
      <w:pPr>
        <w:pStyle w:val="Heading2"/>
      </w:pPr>
      <w:r>
        <w:t>Expected Output Highlights</w:t>
      </w:r>
    </w:p>
    <w:p>
      <w:pPr>
        <w:pStyle w:val="ListBullet"/>
      </w:pPr>
      <w:r>
        <w:t>**Niche 1 (Immune margin):** Tertiary lymphoid structure-like organization; positive prognostic indicator; suggests immune-excluded TME with potential for anti-TGFb to enable infiltration</w:t>
      </w:r>
    </w:p>
    <w:p>
      <w:pPr>
        <w:pStyle w:val="ListBullet"/>
      </w:pPr>
      <w:r>
        <w:t>**Niche 2 (Proliferative core):** High cycling tumor with no immune infiltrate; cold desert phenotype in this region</w:t>
      </w:r>
    </w:p>
    <w:p>
      <w:pPr>
        <w:pStyle w:val="ListBullet"/>
      </w:pPr>
      <w:r>
        <w:t>**Niche 3 (Fibrotic stroma):** CAF-rich barrier with TGFb signaling; primary mechanism of immune exclusion</w:t>
      </w:r>
    </w:p>
    <w:p>
      <w:pPr>
        <w:pStyle w:val="Heading2"/>
      </w:pPr>
      <w:r>
        <w:t>Talking Points</w:t>
      </w:r>
    </w:p>
    <w:p>
      <w:pPr>
        <w:pStyle w:val="ListBullet"/>
      </w:pPr>
      <w:r>
        <w:t>Spatial context reveals that this tumor is EXCLUDED (not COLD) -- immune cells are present but confined to the margin</w:t>
      </w:r>
    </w:p>
    <w:p>
      <w:pPr>
        <w:pStyle w:val="ListBullet"/>
      </w:pPr>
      <w:r>
        <w:t>The fibrotic stroma (FAP+, TGFb1+) physically excludes T cells from the tumor core</w:t>
      </w:r>
    </w:p>
    <w:p>
      <w:pPr>
        <w:pStyle w:val="ListBullet"/>
      </w:pPr>
      <w:r>
        <w:t>Anti-TGFb combination (e.g., bintrafusp alfa) could enable T cell infiltration</w:t>
      </w:r>
    </w:p>
    <w:p>
      <w:pPr>
        <w:pStyle w:val="ListBullet"/>
      </w:pPr>
      <w:r>
        <w:t>This spatial architecture is invisible in dissociated scRNA-seq and bulk sequencing</w:t>
      </w:r>
    </w:p>
    <w:p>
      <w:pPr>
        <w:pStyle w:val="Heading1"/>
      </w:pPr>
      <w:r>
        <w:t>Demo Flow Recommendations</w:t>
      </w:r>
    </w:p>
    <w:p>
      <w:pPr>
        <w:pStyle w:val="Heading2"/>
      </w:pPr>
      <w:r>
        <w:t>5-Minute Quick Demo</w:t>
      </w:r>
    </w:p>
    <w:p>
      <w:r>
        <w:t>Run Demo 2 (TME Profiling) via the Streamlit TME Profiler tab. It is the most visual and clinically impactful demonstration.</w:t>
      </w:r>
    </w:p>
    <w:p>
      <w:pPr>
        <w:pStyle w:val="Heading2"/>
      </w:pPr>
      <w:r>
        <w:t>15-Minute Executive Demo</w:t>
      </w:r>
    </w:p>
    <w:p>
      <w:r>
        <w:t>1. Demo 1 (Cell Type Annotation) -- 3 minutes</w:t>
      </w:r>
    </w:p>
    <w:p>
      <w:r>
        <w:t>2. Demo 2 (TME Profiling) -- 5 minutes</w:t>
      </w:r>
    </w:p>
    <w:p>
      <w:r>
        <w:t>3. Demo 4 (CAR-T Validation) -- 5 minutes</w:t>
      </w:r>
    </w:p>
    <w:p>
      <w:r>
        <w:t>4. Health dashboard overview -- 2 minutes</w:t>
      </w:r>
    </w:p>
    <w:p>
      <w:pPr>
        <w:pStyle w:val="Heading2"/>
      </w:pPr>
      <w:r>
        <w:t>30-Minute Technical Deep Dive</w:t>
      </w:r>
    </w:p>
    <w:p>
      <w:r>
        <w:t>Run all 5 demos sequentially, with discussion of:</w:t>
      </w:r>
    </w:p>
    <w:p>
      <w:pPr>
        <w:pStyle w:val="ListBullet"/>
      </w:pPr>
      <w:r>
        <w:t>Multi-collection RAG architecture</w:t>
      </w:r>
    </w:p>
    <w:p>
      <w:pPr>
        <w:pStyle w:val="ListBullet"/>
      </w:pPr>
      <w:r>
        <w:t>Decision support engine determinism</w:t>
      </w:r>
    </w:p>
    <w:p>
      <w:pPr>
        <w:pStyle w:val="ListBullet"/>
      </w:pPr>
      <w:r>
        <w:t>Cross-agent integration points</w:t>
      </w:r>
    </w:p>
    <w:p>
      <w:pPr>
        <w:pStyle w:val="ListBullet"/>
      </w:pPr>
      <w:r>
        <w:t>GPU acceleration roadmap</w:t>
      </w:r>
    </w:p>
    <w:p>
      <w:pPr>
        <w:pStyle w:val="Heading2"/>
      </w:pPr>
      <w:r>
        <w:t>Post-Demo API Exploration</w:t>
      </w:r>
    </w:p>
    <w:p>
      <w:r>
        <w:t>Direct attendees to `http://localhost:8540/docs` for interactive Swagger documentation where they can construct custom queries against any of the 25 API endpoints.</w:t>
      </w:r>
    </w:p>
    <w:p>
      <w:pPr>
        <w:pStyle w:val="Heading1"/>
      </w:pPr>
      <w:r>
        <w:t>Troubleshooting Demo Issues</w:t>
      </w:r>
    </w:p>
    <w:p>
      <w:r>
        <w:t>| Issue | Fix |</w:t>
      </w:r>
    </w:p>
    <w:p>
      <w:r>
        <w:t>|-------|-----|</w:t>
      </w:r>
    </w:p>
    <w:p>
      <w:r>
        <w:t>| "degraded" health | Wait 30s for Milvus startup; run `docker compose ps` |</w:t>
      </w:r>
    </w:p>
    <w:p>
      <w:r>
        <w:t>| Empty search results | Run `docker compose run sc-setup` to seed data |</w:t>
      </w:r>
    </w:p>
    <w:p>
      <w:r>
        <w:t>| LLM timeout | Check ANTHROPIC_API_KEY; Claude API may be rate-limited |</w:t>
      </w:r>
    </w:p>
    <w:p>
      <w:r>
        <w:t>| Streamlit not loading | Check port 8130 is not blocked; try `docker compose restart sc-streamlit` |</w:t>
      </w:r>
    </w:p>
    <w:p>
      <w:r>
        <w:t>| Slow first query | Normal -- first query loads embedding model and Milvus collections into memory |</w:t>
      </w:r>
    </w:p>
    <w:p>
      <w:r>
        <w:t>*HCLS AI Factory -- Single-Cell Intelligence Agent Demo Guide v1.0.0*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