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Production Readiness Report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Status:</w:t>
      </w:r>
      <w:r>
        <w:t xml:space="preserve"> Production Ready (Conditional)</w:t>
      </w:r>
    </w:p>
    <w:p>
      <w:r/>
      <w:r>
        <w:rPr>
          <w:b/>
        </w:rPr>
        <w:t>Classification:</w:t>
      </w:r>
      <w:r>
        <w:t xml:space="preserve"> Internal Engineering Document</w:t>
      </w:r>
    </w:p>
    <w:p>
      <w:pPr>
        <w:pStyle w:val="Heading1"/>
      </w:pPr>
      <w:r>
        <w:t>Table of Contents</w:t>
      </w:r>
    </w:p>
    <w:p>
      <w:r>
        <w:t>1. [Executive Summary](#1-executive-summary)</w:t>
      </w:r>
    </w:p>
    <w:p>
      <w:r>
        <w:t>2. [System Overview](#2-system-overview)</w:t>
      </w:r>
    </w:p>
    <w:p>
      <w:r>
        <w:t>3. [Architecture Assessment](#3-architecture-assessment)</w:t>
      </w:r>
    </w:p>
    <w:p>
      <w:r>
        <w:t>4. [Milvus Collection Infrastructure](#4-milvus-collection-infrastructure)</w:t>
      </w:r>
    </w:p>
    <w:p>
      <w:r>
        <w:t>5. [Knowledge Base Inventory](#5-knowledge-base-inventory)</w:t>
      </w:r>
    </w:p>
    <w:p>
      <w:r>
        <w:t>6. [Workflow Engine Assessment](#6-workflow-engine-assessment)</w:t>
      </w:r>
    </w:p>
    <w:p>
      <w:r>
        <w:t>7. [Decision Support Engine Assessment](#7-decision-support-engine-assessment)</w:t>
      </w:r>
    </w:p>
    <w:p>
      <w:r>
        <w:t>8. [Data Model Completeness](#8-data-model-completeness)</w:t>
      </w:r>
    </w:p>
    <w:p>
      <w:r>
        <w:t>9. [API Surface Assessment](#9-api-surface-assessment)</w:t>
      </w:r>
    </w:p>
    <w:p>
      <w:r>
        <w:t>10. [Authentication and Security](#10-authentication-and-security)</w:t>
      </w:r>
    </w:p>
    <w:p>
      <w:r>
        <w:t>11. [Embedding Pipeline](#11-embedding-pipeline)</w:t>
      </w:r>
    </w:p>
    <w:p>
      <w:r>
        <w:t>12. [LLM Integration](#12-llm-integration)</w:t>
      </w:r>
    </w:p>
    <w:p>
      <w:r>
        <w:t>13. [GPU Acceleration Readiness](#13-gpu-acceleration-readiness)</w:t>
      </w:r>
    </w:p>
    <w:p>
      <w:r>
        <w:t>14. [Docker and Container Infrastructure](#14-docker-and-container-infrastructure)</w:t>
      </w:r>
    </w:p>
    <w:p>
      <w:r>
        <w:t>15. [Seed Data and Ingest Pipeline](#15-seed-data-and-ingest-pipeline)</w:t>
      </w:r>
    </w:p>
    <w:p>
      <w:r>
        <w:t>16. [Cross-Agent Integration](#16-cross-agent-integration)</w:t>
      </w:r>
    </w:p>
    <w:p>
      <w:r>
        <w:t>17. [Test Coverage Analysis](#17-test-coverage-analysis)</w:t>
      </w:r>
    </w:p>
    <w:p>
      <w:r>
        <w:t>18. [Performance Benchmarks](#18-performance-benchmarks)</w:t>
      </w:r>
    </w:p>
    <w:p>
      <w:r>
        <w:t>19. [Monitoring and Observability](#19-monitoring-and-observability)</w:t>
      </w:r>
    </w:p>
    <w:p>
      <w:r>
        <w:t>20. [Configuration Management](#20-configuration-management)</w:t>
      </w:r>
    </w:p>
    <w:p>
      <w:r>
        <w:t>21. [Error Handling and Resilience](#21-error-handling-and-resilience)</w:t>
      </w:r>
    </w:p>
    <w:p>
      <w:r>
        <w:t>22. [Streamlit UI Assessment](#22-streamlit-ui-assessment)</w:t>
      </w:r>
    </w:p>
    <w:p>
      <w:r>
        <w:t>23. [Known Issues and Technical Debt](#23-known-issues-and-technical-debt)</w:t>
      </w:r>
    </w:p>
    <w:p>
      <w:r>
        <w:t>24. [Risk Register](#24-risk-register)</w:t>
      </w:r>
    </w:p>
    <w:p>
      <w:r>
        <w:t>25. [Go/No-Go Recommendation](#25-gono-go-recommendation)</w:t>
      </w:r>
    </w:p>
    <w:p>
      <w:r/>
      <w:r>
        <w:rPr>
          <w:b/>
        </w:rPr>
        <w:t>Appendices</w:t>
      </w:r>
      <w:r/>
    </w:p>
    <w:p>
      <w:pPr>
        <w:pStyle w:val="ListBullet"/>
      </w:pPr>
      <w:r>
        <w:t>[Appendix A: Complete Cell Type Atlas (44 entries)](#appendix-a-complete-cell-type-atlas-44-entries)</w:t>
      </w:r>
    </w:p>
    <w:p>
      <w:pPr>
        <w:pStyle w:val="ListBullet"/>
      </w:pPr>
      <w:r>
        <w:t>[Appendix B: Complete Drug Sensitivity Database (30 drugs)](#appendix-b-complete-drug-sensitivity-database-30-drugs)</w:t>
      </w:r>
    </w:p>
    <w:p>
      <w:pPr>
        <w:pStyle w:val="ListBullet"/>
      </w:pPr>
      <w:r>
        <w:t>[Appendix C: Complete Marker Gene Database (75 markers)](#appendix-c-complete-marker-gene-database-75-markers)</w:t>
      </w:r>
    </w:p>
    <w:p>
      <w:pPr>
        <w:pStyle w:val="ListBullet"/>
      </w:pPr>
      <w:r>
        <w:t>[Appendix D: Complete Immune Signatures (10)](#appendix-d-complete-immune-signatures-10)</w:t>
      </w:r>
    </w:p>
    <w:p>
      <w:pPr>
        <w:pStyle w:val="ListBullet"/>
      </w:pPr>
      <w:r>
        <w:t>[Appendix E: Complete Ligand-Receptor Pairs (25)](#appendix-e-complete-ligand-receptor-pairs-25)</w:t>
      </w:r>
    </w:p>
    <w:p>
      <w:pPr>
        <w:pStyle w:val="ListBullet"/>
      </w:pPr>
      <w:r>
        <w:t>[Appendix F: Cancer TME Atlas (12 cancer types)](#appendix-f-cancer-tme-atlas-12-cancer-types)</w:t>
      </w:r>
    </w:p>
    <w:p>
      <w:pPr>
        <w:pStyle w:val="ListBullet"/>
      </w:pPr>
      <w:r>
        <w:t>[Appendix G: All 36 Agent Conditions](#appendix-g-all-36-agent-conditions)</w:t>
      </w:r>
    </w:p>
    <w:p>
      <w:pPr>
        <w:pStyle w:val="ListBullet"/>
      </w:pPr>
      <w:r>
        <w:t>[Appendix H: All 31 Agent Cell Types](#appendix-h-all-31-agent-cell-types)</w:t>
      </w:r>
    </w:p>
    <w:p>
      <w:pPr>
        <w:pStyle w:val="ListBullet"/>
      </w:pPr>
      <w:r>
        <w:t>[Appendix I: All 23 Agent Biomarkers](#appendix-i-all-23-agent-biomarkers)</w:t>
      </w:r>
    </w:p>
    <w:p>
      <w:pPr>
        <w:pStyle w:val="ListBullet"/>
      </w:pPr>
      <w:r>
        <w:t>[Appendix J: All 10 Workflows with Demo Status](#appendix-j-all-10-workflows-with-demo-status)</w:t>
      </w:r>
    </w:p>
    <w:p>
      <w:pPr>
        <w:pStyle w:val="ListBullet"/>
      </w:pPr>
      <w:r>
        <w:t>[Appendix K: All API Endpoints](#appendix-k-all-api-endpoints)</w:t>
      </w:r>
    </w:p>
    <w:p>
      <w:pPr>
        <w:pStyle w:val="ListBullet"/>
      </w:pPr>
      <w:r>
        <w:t>[Appendix L: Query Expansion Detail](#appendix-l-query-expansion-detail)</w:t>
      </w:r>
    </w:p>
    <w:p>
      <w:pPr>
        <w:pStyle w:val="ListBullet"/>
      </w:pPr>
      <w:r>
        <w:t>[Appendix M: Issues Found and Fixed (15 items)](#appendix-m-issues-found-and-fixed-15-items)</w:t>
      </w:r>
    </w:p>
    <w:p>
      <w:pPr>
        <w:pStyle w:val="ListBullet"/>
      </w:pPr>
      <w:r>
        <w:t>[Appendix N: Source File Inventory](#appendix-n-source-file-inventory)</w:t>
      </w:r>
    </w:p>
    <w:p>
      <w:pPr>
        <w:pStyle w:val="Heading1"/>
      </w:pPr>
      <w:r>
        <w:t>1. Executive Summary</w:t>
      </w:r>
    </w:p>
    <w:p>
      <w:r>
        <w:t>The Single-Cell Intelligence Agent is the twelfth intelligence agent in the HCLS AI Factory platform. It provides RAG-powered clinical decision support for single-cell transcriptomics, spatial biology, tumor microenvironment profiling, drug response prediction, and CAR-T target validation.</w:t>
      </w:r>
    </w:p>
    <w:p>
      <w:r/>
      <w:r>
        <w:rPr>
          <w:b/>
        </w:rPr>
        <w:t>Key metrics at a glance:</w:t>
      </w:r>
      <w:r/>
    </w:p>
    <w:p>
      <w:r>
        <w:rPr>
          <w:sz w:val="18"/>
        </w:rPr>
        <w:t>| Metric | Value |</w:t>
      </w:r>
    </w:p>
    <w:p>
      <w:r>
        <w:rPr>
          <w:sz w:val="18"/>
        </w:rPr>
        <w:t>|--------|-------|</w:t>
      </w:r>
    </w:p>
    <w:p>
      <w:r>
        <w:rPr>
          <w:sz w:val="18"/>
        </w:rPr>
        <w:t>| Milvus collections | 12 (11 domain-specific + 1 shared genomic) |</w:t>
      </w:r>
    </w:p>
    <w:p>
      <w:r>
        <w:rPr>
          <w:sz w:val="18"/>
        </w:rPr>
        <w:t>| Analysis workflows | 10 (+ 1 general) |</w:t>
      </w:r>
    </w:p>
    <w:p>
      <w:r>
        <w:rPr>
          <w:sz w:val="18"/>
        </w:rPr>
        <w:t>| Decision support engines | 4 |</w:t>
      </w:r>
    </w:p>
    <w:p>
      <w:r>
        <w:rPr>
          <w:sz w:val="18"/>
        </w:rPr>
        <w:t>| Cell types in knowledge base | 44 |</w:t>
      </w:r>
    </w:p>
    <w:p>
      <w:r>
        <w:rPr>
          <w:sz w:val="18"/>
        </w:rPr>
        <w:t>| Drugs modeled | 30 |</w:t>
      </w:r>
    </w:p>
    <w:p>
      <w:r>
        <w:rPr>
          <w:sz w:val="18"/>
        </w:rPr>
        <w:t>| Marker genes | 75 |</w:t>
      </w:r>
    </w:p>
    <w:p>
      <w:r>
        <w:rPr>
          <w:sz w:val="18"/>
        </w:rPr>
        <w:t>| Immune signatures | 10 |</w:t>
      </w:r>
    </w:p>
    <w:p>
      <w:r>
        <w:rPr>
          <w:sz w:val="18"/>
        </w:rPr>
        <w:t>| Ligand-receptor pairs | 25 |</w:t>
      </w:r>
    </w:p>
    <w:p>
      <w:r>
        <w:rPr>
          <w:sz w:val="18"/>
        </w:rPr>
        <w:t>| Cancer TME atlas profiles | 12 |</w:t>
      </w:r>
    </w:p>
    <w:p>
      <w:r>
        <w:rPr>
          <w:sz w:val="18"/>
        </w:rPr>
        <w:t>| Clinical conditions | 36 |</w:t>
      </w:r>
    </w:p>
    <w:p>
      <w:r>
        <w:rPr>
          <w:sz w:val="18"/>
        </w:rPr>
        <w:t>| Agent cell type aliases | 232 |</w:t>
      </w:r>
    </w:p>
    <w:p>
      <w:r>
        <w:rPr>
          <w:sz w:val="18"/>
        </w:rPr>
        <w:t>| CellxGene seed records | 49 |</w:t>
      </w:r>
    </w:p>
    <w:p>
      <w:r>
        <w:rPr>
          <w:sz w:val="18"/>
        </w:rPr>
        <w:t>| Marker seed records | 75 |</w:t>
      </w:r>
    </w:p>
    <w:p>
      <w:r>
        <w:rPr>
          <w:sz w:val="18"/>
        </w:rPr>
        <w:t>| TME seed records | 20 |</w:t>
      </w:r>
    </w:p>
    <w:p>
      <w:r>
        <w:rPr>
          <w:sz w:val="18"/>
        </w:rPr>
        <w:t>| Biomarkers | 23 |</w:t>
      </w:r>
    </w:p>
    <w:p>
      <w:r>
        <w:rPr>
          <w:sz w:val="18"/>
        </w:rPr>
        <w:t>| Spatial interaction maps | 14 |</w:t>
      </w:r>
    </w:p>
    <w:p>
      <w:r>
        <w:rPr>
          <w:sz w:val="18"/>
        </w:rPr>
        <w:t>| Test files | 12 |</w:t>
      </w:r>
    </w:p>
    <w:p>
      <w:r>
        <w:rPr>
          <w:sz w:val="18"/>
        </w:rPr>
        <w:t>| Total test lines | 1,760 (185 test cases estimated) |</w:t>
      </w:r>
    </w:p>
    <w:p>
      <w:r>
        <w:rPr>
          <w:sz w:val="18"/>
        </w:rPr>
        <w:t>| Source code lines | 14,560 |</w:t>
      </w:r>
    </w:p>
    <w:p>
      <w:r>
        <w:rPr>
          <w:sz w:val="18"/>
        </w:rPr>
        <w:t>| API port | 8540 |</w:t>
      </w:r>
    </w:p>
    <w:p>
      <w:r>
        <w:rPr>
          <w:sz w:val="18"/>
        </w:rPr>
        <w:t>| Streamlit port | 8130 |</w:t>
      </w:r>
    </w:p>
    <w:p>
      <w:r/>
      <w:r>
        <w:rPr>
          <w:b/>
        </w:rPr>
        <w:t>Verdict:</w:t>
      </w:r>
      <w:r>
        <w:t xml:space="preserve"> PRODUCTION READY (Conditional) -- the agent is architecturally sound and feature-complete for the documented use cases. Conditions for full production clearance are listed in Section 25.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Purpose</w:t>
      </w:r>
    </w:p>
    <w:p>
      <w:r>
        <w:t>The Single-Cell Intelligence Agent resolves single-cell transcriptomics data into clinically actionable insights. It addresses the "resolution gap" in precision medicine by operating at individual-cell granularity rather than bulk-tissue averages.</w:t>
      </w:r>
    </w:p>
    <w:p>
      <w:pPr>
        <w:pStyle w:val="Heading2"/>
      </w:pPr>
      <w:r>
        <w:t>2.2 Capabilities</w:t>
      </w:r>
    </w:p>
    <w:p>
      <w:pPr>
        <w:pStyle w:val="ListBullet"/>
      </w:pPr>
      <w:r>
        <w:t>**Cell type annotation** with Cell Ontology mapping, marker-based scoring, and LLM-augmented consensus</w:t>
      </w:r>
    </w:p>
    <w:p>
      <w:pPr>
        <w:pStyle w:val="ListBullet"/>
      </w:pPr>
      <w:r>
        <w:t>**Tumor microenvironment classification** into four immunophenotypes (hot-inflamed, cold-desert, excluded, immunosuppressive) with treatment recommendations</w:t>
      </w:r>
    </w:p>
    <w:p>
      <w:pPr>
        <w:pStyle w:val="ListBullet"/>
      </w:pPr>
      <w:r>
        <w:t>**Drug response prediction** at cellular resolution using GDSC/DepMap signatures</w:t>
      </w:r>
    </w:p>
    <w:p>
      <w:pPr>
        <w:pStyle w:val="ListBullet"/>
      </w:pPr>
      <w:r>
        <w:t>**Subclonal architecture detection** with escape risk scoring and timeline estimation</w:t>
      </w:r>
    </w:p>
    <w:p>
      <w:pPr>
        <w:pStyle w:val="ListBullet"/>
      </w:pPr>
      <w:r>
        <w:t>**Spatial transcriptomics analysis** across Visium, MERFISH, Xenium, and CODEX platforms</w:t>
      </w:r>
    </w:p>
    <w:p>
      <w:pPr>
        <w:pStyle w:val="ListBullet"/>
      </w:pPr>
      <w:r>
        <w:t>**Trajectory inference** for differentiation, activation, exhaustion, EMT, and stemness</w:t>
      </w:r>
    </w:p>
    <w:p>
      <w:pPr>
        <w:pStyle w:val="ListBullet"/>
      </w:pPr>
      <w:r>
        <w:t>**Ligand-receptor interaction mapping** with CellPhoneDB/NicheNet-style analysis</w:t>
      </w:r>
    </w:p>
    <w:p>
      <w:pPr>
        <w:pStyle w:val="ListBullet"/>
      </w:pPr>
      <w:r>
        <w:t>**Biomarker discovery** with cell-type specificity scoring and clinical correlation</w:t>
      </w:r>
    </w:p>
    <w:p>
      <w:pPr>
        <w:pStyle w:val="ListBullet"/>
      </w:pPr>
      <w:r>
        <w:t>**CAR-T target validation** with on-tumor/off-tumor safety profiling</w:t>
      </w:r>
    </w:p>
    <w:p>
      <w:pPr>
        <w:pStyle w:val="ListBullet"/>
      </w:pPr>
      <w:r>
        <w:t>**Treatment monitoring** through longitudinal clonal dynamics tracking</w:t>
      </w:r>
    </w:p>
    <w:p>
      <w:pPr>
        <w:pStyle w:val="Heading2"/>
      </w:pPr>
      <w:r>
        <w:t>2.3 Integration Points</w:t>
      </w:r>
    </w:p>
    <w:p>
      <w:r>
        <w:t>The agent integrates with four peer agents via REST API:</w:t>
      </w:r>
    </w:p>
    <w:p>
      <w:pPr>
        <w:pStyle w:val="ListBullet"/>
      </w:pPr>
      <w:r>
        <w:t>Genomics Agent (port 8527) -- variant-level evidence</w:t>
      </w:r>
    </w:p>
    <w:p>
      <w:pPr>
        <w:pStyle w:val="ListBullet"/>
      </w:pPr>
      <w:r>
        <w:t>Biomarker Agent (port 8529) -- cross-modal biomarker correlation</w:t>
      </w:r>
    </w:p>
    <w:p>
      <w:pPr>
        <w:pStyle w:val="ListBullet"/>
      </w:pPr>
      <w:r>
        <w:t>Oncology Agent (port 8528) -- therapy line recommendations</w:t>
      </w:r>
    </w:p>
    <w:p>
      <w:pPr>
        <w:pStyle w:val="ListBullet"/>
      </w:pPr>
      <w:r>
        <w:t>Clinical Trial Agent (port 8538) -- trial matching for novel targets</w:t>
      </w:r>
    </w:p>
    <w:p>
      <w:pPr>
        <w:pStyle w:val="Heading1"/>
      </w:pPr>
      <w:r>
        <w:t>3. Architecture Assessment</w:t>
      </w:r>
    </w:p>
    <w:p>
      <w:pPr>
        <w:pStyle w:val="Heading2"/>
      </w:pPr>
      <w:r>
        <w:t>3.1 Component Architecture</w:t>
      </w:r>
    </w:p>
    <w:p>
      <w:r>
        <w:rPr>
          <w:rFonts w:ascii="Courier New" w:hAnsi="Courier New"/>
          <w:sz w:val="16"/>
        </w:rPr>
        <w:t>Streamlit UI (8130)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>FastAPI REST API (8540)</w:t>
      </w:r>
    </w:p>
    <w:p>
      <w:r>
        <w:rPr>
          <w:rFonts w:ascii="Courier New" w:hAnsi="Courier New"/>
          <w:sz w:val="16"/>
        </w:rPr>
        <w:t xml:space="preserve">     |</w:t>
      </w:r>
    </w:p>
    <w:p>
      <w:r>
        <w:rPr>
          <w:rFonts w:ascii="Courier New" w:hAnsi="Courier New"/>
          <w:sz w:val="16"/>
        </w:rPr>
        <w:t>+----+----+--------+--------+</w:t>
      </w:r>
    </w:p>
    <w:p>
      <w:r>
        <w:rPr>
          <w:rFonts w:ascii="Courier New" w:hAnsi="Courier New"/>
          <w:sz w:val="16"/>
        </w:rPr>
        <w:t>|         |        |        |</w:t>
      </w:r>
    </w:p>
    <w:p>
      <w:r>
        <w:rPr>
          <w:rFonts w:ascii="Courier New" w:hAnsi="Courier New"/>
          <w:sz w:val="16"/>
        </w:rPr>
        <w:t>RAG     Workflow  Decision  Knowledge</w:t>
      </w:r>
    </w:p>
    <w:p>
      <w:r>
        <w:rPr>
          <w:rFonts w:ascii="Courier New" w:hAnsi="Courier New"/>
          <w:sz w:val="16"/>
        </w:rPr>
        <w:t>Engine   Engine   Support   Base</w:t>
      </w:r>
    </w:p>
    <w:p>
      <w:r>
        <w:rPr>
          <w:rFonts w:ascii="Courier New" w:hAnsi="Courier New"/>
          <w:sz w:val="16"/>
        </w:rPr>
        <w:t xml:space="preserve">     |         |        |</w:t>
      </w:r>
    </w:p>
    <w:p>
      <w:r>
        <w:rPr>
          <w:rFonts w:ascii="Courier New" w:hAnsi="Courier New"/>
          <w:sz w:val="16"/>
        </w:rPr>
        <w:t xml:space="preserve">     +----+----+</w:t>
      </w:r>
    </w:p>
    <w:p>
      <w:r>
        <w:rPr>
          <w:rFonts w:ascii="Courier New" w:hAnsi="Courier New"/>
          <w:sz w:val="16"/>
        </w:rPr>
        <w:t xml:space="preserve">          |</w:t>
      </w:r>
    </w:p>
    <w:p>
      <w:r>
        <w:rPr>
          <w:rFonts w:ascii="Courier New" w:hAnsi="Courier New"/>
          <w:sz w:val="16"/>
        </w:rPr>
        <w:t xml:space="preserve">     Milvus Vector DB (19530)</w:t>
      </w:r>
    </w:p>
    <w:p>
      <w:r>
        <w:rPr>
          <w:rFonts w:ascii="Courier New" w:hAnsi="Courier New"/>
          <w:sz w:val="16"/>
        </w:rPr>
        <w:t xml:space="preserve">          |</w:t>
      </w:r>
    </w:p>
    <w:p>
      <w:r>
        <w:rPr>
          <w:rFonts w:ascii="Courier New" w:hAnsi="Courier New"/>
          <w:sz w:val="16"/>
        </w:rPr>
        <w:t xml:space="preserve">     +----+----+</w:t>
      </w:r>
    </w:p>
    <w:p>
      <w:r>
        <w:rPr>
          <w:rFonts w:ascii="Courier New" w:hAnsi="Courier New"/>
          <w:sz w:val="16"/>
        </w:rPr>
        <w:t xml:space="preserve">     |         |</w:t>
      </w:r>
    </w:p>
    <w:p>
      <w:r>
        <w:rPr>
          <w:rFonts w:ascii="Courier New" w:hAnsi="Courier New"/>
          <w:sz w:val="16"/>
        </w:rPr>
        <w:t xml:space="preserve">   etcd      MinIO</w:t>
      </w:r>
    </w:p>
    <w:p>
      <w:pPr>
        <w:pStyle w:val="Heading2"/>
      </w:pPr>
      <w:r>
        <w:t>3.2 Module Inventory</w:t>
      </w:r>
    </w:p>
    <w:p>
      <w:r>
        <w:rPr>
          <w:sz w:val="18"/>
        </w:rPr>
        <w:t>| Module | File | Lines | Purpose |</w:t>
      </w:r>
    </w:p>
    <w:p>
      <w:r>
        <w:rPr>
          <w:sz w:val="18"/>
        </w:rPr>
        <w:t>|--------|------|-------|---------|</w:t>
      </w:r>
    </w:p>
    <w:p>
      <w:r>
        <w:rPr>
          <w:sz w:val="18"/>
        </w:rPr>
        <w:t>| Agent | `src/agent.py` | 2,090 | Autonomous reasoning, system prompt, enums, workflow dispatch |</w:t>
      </w:r>
    </w:p>
    <w:p>
      <w:r>
        <w:rPr>
          <w:sz w:val="18"/>
        </w:rPr>
        <w:t>| Models | `src/models.py` | 820 | Pydantic data models (15 model classes, 12 enums) |</w:t>
      </w:r>
    </w:p>
    <w:p>
      <w:r>
        <w:rPr>
          <w:sz w:val="18"/>
        </w:rPr>
        <w:t>| Collections | `src/collections.py` | 1,210 | 12 Milvus collection schemas with field definitions |</w:t>
      </w:r>
    </w:p>
    <w:p>
      <w:r>
        <w:rPr>
          <w:sz w:val="18"/>
        </w:rPr>
        <w:t>| RAG Engine | `src/rag_engine.py` | 1,490 | Multi-collection search, conversation memory, LLM synthesis |</w:t>
      </w:r>
    </w:p>
    <w:p>
      <w:r>
        <w:rPr>
          <w:sz w:val="18"/>
        </w:rPr>
        <w:t>| Clinical Workflows | `src/clinical_workflows.py` | 1,792 | 10 analysis workflows with BaseSCWorkflow pattern |</w:t>
      </w:r>
    </w:p>
    <w:p>
      <w:r>
        <w:rPr>
          <w:sz w:val="18"/>
        </w:rPr>
        <w:t>| Decision Support | `src/decision_support.py` | 886 | 4 clinical engines (TME, subclonal, target, deconvolution) |</w:t>
      </w:r>
    </w:p>
    <w:p>
      <w:r>
        <w:rPr>
          <w:sz w:val="18"/>
        </w:rPr>
        <w:t>| Knowledge | `src/knowledge.py` | 1,816 | Domain knowledge base (cell types, drugs, markers, TME profiles) |</w:t>
      </w:r>
    </w:p>
    <w:p>
      <w:r>
        <w:rPr>
          <w:sz w:val="18"/>
        </w:rPr>
        <w:t>| Query Expansion | `src/query_expansion.py` | 893 | Synonym expansion for cell types, genes, diseases |</w:t>
      </w:r>
    </w:p>
    <w:p>
      <w:r>
        <w:rPr>
          <w:sz w:val="18"/>
        </w:rPr>
        <w:t>| Cross-Modal | `src/cross_modal.py` | 392 | Inter-agent communication layer |</w:t>
      </w:r>
    </w:p>
    <w:p>
      <w:r>
        <w:rPr>
          <w:sz w:val="18"/>
        </w:rPr>
        <w:t>| Metrics | `src/metrics.py` | 476 | Prometheus metrics collection |</w:t>
      </w:r>
    </w:p>
    <w:p>
      <w:r>
        <w:rPr>
          <w:sz w:val="18"/>
        </w:rPr>
        <w:t>| Export | `src/export.py` | 588 | Report generation (PDF/DOCX/JSON) |</w:t>
      </w:r>
    </w:p>
    <w:p>
      <w:r>
        <w:rPr>
          <w:sz w:val="18"/>
        </w:rPr>
        <w:t>| Scheduler | `src/scheduler.py` | 496 | APScheduler-based ingest scheduling |</w:t>
      </w:r>
    </w:p>
    <w:p>
      <w:r>
        <w:rPr>
          <w:sz w:val="18"/>
        </w:rPr>
        <w:t>| Settings | `config/settings.py` | 197 | Pydantic BaseSettings with validation |</w:t>
      </w:r>
    </w:p>
    <w:p>
      <w:r>
        <w:rPr>
          <w:sz w:val="18"/>
        </w:rPr>
        <w:t>| API Main | `api/main.py` | 615 | FastAPI application factory with middleware |</w:t>
      </w:r>
    </w:p>
    <w:p>
      <w:r>
        <w:rPr>
          <w:sz w:val="18"/>
        </w:rPr>
        <w:t>| Routes | `api/routes/` | ~800 | Versioned clinical, report, and event routes |</w:t>
      </w:r>
    </w:p>
    <w:p>
      <w:r>
        <w:rPr>
          <w:sz w:val="18"/>
        </w:rPr>
        <w:t>| UI | `app/sc_ui.py` | ~600 | 5-tab Streamlit interface |</w:t>
      </w:r>
    </w:p>
    <w:p>
      <w:r>
        <w:rPr>
          <w:sz w:val="18"/>
        </w:rPr>
        <w:t>| Ingest | `src/ingest/` | ~1,611 | CellxGene, marker, and TME parsers |</w:t>
      </w:r>
    </w:p>
    <w:p>
      <w:pPr>
        <w:pStyle w:val="Heading2"/>
      </w:pPr>
      <w:r>
        <w:t>3.3 Architectural Strengths</w:t>
      </w:r>
    </w:p>
    <w:p>
      <w:pPr>
        <w:pStyle w:val="ListBullet"/>
      </w:pPr>
      <w:r>
        <w:t>Clean separation between RAG engine, workflow engine, and decision support</w:t>
      </w:r>
    </w:p>
    <w:p>
      <w:pPr>
        <w:pStyle w:val="ListBullet"/>
      </w:pPr>
      <w:r>
        <w:t>Consistent Pydantic model validation across all data boundaries</w:t>
      </w:r>
    </w:p>
    <w:p>
      <w:pPr>
        <w:pStyle w:val="ListBullet"/>
      </w:pPr>
      <w:r>
        <w:t>Graceful degradation when dependencies (Milvus, LLM, embedder) are unavailable</w:t>
      </w:r>
    </w:p>
    <w:p>
      <w:pPr>
        <w:pStyle w:val="ListBullet"/>
      </w:pPr>
      <w:r>
        <w:t>Thread-safe metrics collection with lock-protected counters</w:t>
      </w:r>
    </w:p>
    <w:p>
      <w:pPr>
        <w:pStyle w:val="ListBullet"/>
      </w:pPr>
      <w:r>
        <w:t>Conversation persistence with 24-hour TTL and disk-backed storage</w:t>
      </w:r>
    </w:p>
    <w:p>
      <w:pPr>
        <w:pStyle w:val="Heading2"/>
      </w:pPr>
      <w:r>
        <w:t>3.4 Architectural Concerns</w:t>
      </w:r>
    </w:p>
    <w:p>
      <w:pPr>
        <w:pStyle w:val="ListBullet"/>
      </w:pPr>
      <w:r>
        <w:t>Dual `SCWorkflowType` enum definitions (one in `models.py`, one in `agent.py`) -- values slightly diverge</w:t>
      </w:r>
    </w:p>
    <w:p>
      <w:pPr>
        <w:pStyle w:val="ListBullet"/>
      </w:pPr>
      <w:r>
        <w:t>RAG engine imports from `agent.py` rather than `models.py` for some types</w:t>
      </w:r>
    </w:p>
    <w:p>
      <w:pPr>
        <w:pStyle w:val="ListBullet"/>
      </w:pPr>
      <w:r>
        <w:t>No circuit breaker pattern for cross-agent REST calls</w:t>
      </w:r>
    </w:p>
    <w:p>
      <w:pPr>
        <w:pStyle w:val="Heading1"/>
      </w:pPr>
      <w:r>
        <w:t>4. Milvus Collection Infrastructure</w:t>
      </w:r>
    </w:p>
    <w:p>
      <w:pPr>
        <w:pStyle w:val="Heading2"/>
      </w:pPr>
      <w:r>
        <w:t>4.1 Collection Inventory</w:t>
      </w:r>
    </w:p>
    <w:p>
      <w:r>
        <w:rPr>
          <w:sz w:val="18"/>
        </w:rPr>
        <w:t>| # | Collection | Fields | Est. Records | Search Weight | Purpose |</w:t>
      </w:r>
    </w:p>
    <w:p>
      <w:r>
        <w:rPr>
          <w:sz w:val="18"/>
        </w:rPr>
        <w:t>|---|-----------|--------|-------------|--------------|---------|</w:t>
      </w:r>
    </w:p>
    <w:p>
      <w:r>
        <w:rPr>
          <w:sz w:val="18"/>
        </w:rPr>
        <w:t>| 1 | `sc_cell_types` | 9 | 5,000 | 0.14 | Cell type annotations with CL ontology IDs |</w:t>
      </w:r>
    </w:p>
    <w:p>
      <w:r>
        <w:rPr>
          <w:sz w:val="18"/>
        </w:rPr>
        <w:t>| 2 | `sc_markers` | 9 | 50,000 | 0.12 | Gene markers with specificity scores |</w:t>
      </w:r>
    </w:p>
    <w:p>
      <w:r>
        <w:rPr>
          <w:sz w:val="18"/>
        </w:rPr>
        <w:t>| 3 | `sc_spatial` | 9 | 10,000 | 0.10 | Spatial transcriptomics niches |</w:t>
      </w:r>
    </w:p>
    <w:p>
      <w:r>
        <w:rPr>
          <w:sz w:val="18"/>
        </w:rPr>
        <w:t>| 4 | `sc_tme` | 9 | 8,000 | 0.10 | Tumor microenvironment profiles |</w:t>
      </w:r>
    </w:p>
    <w:p>
      <w:r>
        <w:rPr>
          <w:sz w:val="18"/>
        </w:rPr>
        <w:t>| 5 | `sc_drug_response` | 9 | 25,000 | 0.09 | Drug sensitivity predictions |</w:t>
      </w:r>
    </w:p>
    <w:p>
      <w:r>
        <w:rPr>
          <w:sz w:val="18"/>
        </w:rPr>
        <w:t>| 6 | `sc_literature` | 9 | 50,000 | 0.08 | Published scRNA-seq literature |</w:t>
      </w:r>
    </w:p>
    <w:p>
      <w:r>
        <w:rPr>
          <w:sz w:val="18"/>
        </w:rPr>
        <w:t>| 7 | `sc_methods` | 9 | 2,000 | 0.07 | Analytical tools and pipelines |</w:t>
      </w:r>
    </w:p>
    <w:p>
      <w:r>
        <w:rPr>
          <w:sz w:val="18"/>
        </w:rPr>
        <w:t>| 8 | `sc_datasets` | 10 | 15,000 | 0.06 | Reference atlases (CellxGene, HCA) |</w:t>
      </w:r>
    </w:p>
    <w:p>
      <w:r>
        <w:rPr>
          <w:sz w:val="18"/>
        </w:rPr>
        <w:t>| 9 | `sc_trajectories` | 9 | 8,000 | 0.07 | Pseudotime and trajectory data |</w:t>
      </w:r>
    </w:p>
    <w:p>
      <w:r>
        <w:rPr>
          <w:sz w:val="18"/>
        </w:rPr>
        <w:t>| 10 | `sc_pathways` | 7 | 20,000 | 0.07 | Signaling/metabolic pathways |</w:t>
      </w:r>
    </w:p>
    <w:p>
      <w:r>
        <w:rPr>
          <w:sz w:val="18"/>
        </w:rPr>
        <w:t>| 11 | `sc_clinical` | 9 | 12,000 | 0.07 | Clinical biomarker correlations |</w:t>
      </w:r>
    </w:p>
    <w:p>
      <w:r>
        <w:rPr>
          <w:sz w:val="18"/>
        </w:rPr>
        <w:t>| 12 | `genomic_evidence` | 6 | 3,560,000 | 0.03 | Shared genomic variants (read-only) |</w:t>
      </w:r>
    </w:p>
    <w:p>
      <w:r>
        <w:rPr>
          <w:sz w:val="18"/>
        </w:rPr>
        <w:t>| | **Total** | | **3,765,000** | **1.00** | |</w:t>
      </w:r>
    </w:p>
    <w:p>
      <w:pPr>
        <w:pStyle w:val="Heading2"/>
      </w:pPr>
      <w:r>
        <w:t>4.2 Index Configuration</w:t>
      </w:r>
    </w:p>
    <w:p>
      <w:r>
        <w:t>All collections use identical index parameters:</w:t>
      </w:r>
    </w:p>
    <w:p>
      <w:r>
        <w:rPr>
          <w:sz w:val="18"/>
        </w:rPr>
        <w:t>| Parameter | Value |</w:t>
      </w:r>
    </w:p>
    <w:p>
      <w:r>
        <w:rPr>
          <w:sz w:val="18"/>
        </w:rPr>
        <w:t>|-----------|-------|</w:t>
      </w:r>
    </w:p>
    <w:p>
      <w:r>
        <w:rPr>
          <w:sz w:val="18"/>
        </w:rPr>
        <w:t>| Embedding dimension | 384 (BGE-small-en-v1.5) |</w:t>
      </w:r>
    </w:p>
    <w:p>
      <w:r>
        <w:rPr>
          <w:sz w:val="18"/>
        </w:rPr>
        <w:t>| Index type | IVF_FLAT |</w:t>
      </w:r>
    </w:p>
    <w:p>
      <w:r>
        <w:rPr>
          <w:sz w:val="18"/>
        </w:rPr>
        <w:t>| Metric type | COSINE |</w:t>
      </w:r>
    </w:p>
    <w:p>
      <w:r>
        <w:rPr>
          <w:sz w:val="18"/>
        </w:rPr>
        <w:t>| nlist | 128 |</w:t>
      </w:r>
    </w:p>
    <w:p>
      <w:r>
        <w:rPr>
          <w:sz w:val="18"/>
        </w:rPr>
        <w:t>| Primary key | INT64, auto_id |</w:t>
      </w:r>
    </w:p>
    <w:p>
      <w:pPr>
        <w:pStyle w:val="Heading2"/>
      </w:pPr>
      <w:r>
        <w:t>4.3 Workflow-Specific Weight Profiles</w:t>
      </w:r>
    </w:p>
    <w:p>
      <w:r>
        <w:t>The system defines 11 weight profiles, one per workflow type. Each profile redistributes the 1.0 total weight across all 12 collections to prioritize domain-relevant collections. Example:</w:t>
      </w:r>
    </w:p>
    <w:p>
      <w:r>
        <w:rPr>
          <w:sz w:val="18"/>
        </w:rPr>
        <w:t>| Workflow | Primary Collection | Primary Weight | Secondary | Secondary Weight |</w:t>
      </w:r>
    </w:p>
    <w:p>
      <w:r>
        <w:rPr>
          <w:sz w:val="18"/>
        </w:rPr>
        <w:t>|----------|-------------------|----------------|-----------|-----------------|</w:t>
      </w:r>
    </w:p>
    <w:p>
      <w:r>
        <w:rPr>
          <w:sz w:val="18"/>
        </w:rPr>
        <w:t>| Cell Type Annotation | sc_cell_types | 0.25 | sc_markers | 0.22 |</w:t>
      </w:r>
    </w:p>
    <w:p>
      <w:r>
        <w:rPr>
          <w:sz w:val="18"/>
        </w:rPr>
        <w:t>| TME Profiling | sc_tme | 0.25 | sc_cell_types | 0.15 |</w:t>
      </w:r>
    </w:p>
    <w:p>
      <w:r>
        <w:rPr>
          <w:sz w:val="18"/>
        </w:rPr>
        <w:t>| Drug Response | sc_drug_response | 0.25 | sc_tme | 0.12 |</w:t>
      </w:r>
    </w:p>
    <w:p>
      <w:r>
        <w:rPr>
          <w:sz w:val="18"/>
        </w:rPr>
        <w:t>| Spatial Niche | sc_spatial | 0.28 | sc_cell_types | 0.12 |</w:t>
      </w:r>
    </w:p>
    <w:p>
      <w:r>
        <w:rPr>
          <w:sz w:val="18"/>
        </w:rPr>
        <w:t>| CAR-T Validation | sc_markers | 0.18 | sc_cell_types | 0.15 |</w:t>
      </w:r>
    </w:p>
    <w:p>
      <w:r>
        <w:rPr>
          <w:sz w:val="18"/>
        </w:rPr>
        <w:t>| Biomarker Discovery | sc_markers | 0.20 | sc_clinical | 0.18 |</w:t>
      </w:r>
    </w:p>
    <w:p>
      <w:pPr>
        <w:pStyle w:val="Heading2"/>
      </w:pPr>
      <w:r>
        <w:t>4.4 Collection Schema Quality</w:t>
      </w:r>
    </w:p>
    <w:p>
      <w:pPr>
        <w:pStyle w:val="ListBullet"/>
      </w:pPr>
      <w:r>
        <w:t>All collections follow consistent naming conventions (`sc_` prefix)</w:t>
      </w:r>
    </w:p>
    <w:p>
      <w:pPr>
        <w:pStyle w:val="ListBullet"/>
      </w:pPr>
      <w:r>
        <w:t>All include auto-incrementing INT64 primary keys</w:t>
      </w:r>
    </w:p>
    <w:p>
      <w:pPr>
        <w:pStyle w:val="ListBullet"/>
      </w:pPr>
      <w:r>
        <w:t>All embed the standard 384-dim FLOAT_VECTOR field</w:t>
      </w:r>
    </w:p>
    <w:p>
      <w:pPr>
        <w:pStyle w:val="ListBullet"/>
      </w:pPr>
      <w:r>
        <w:t>VARCHAR max_length is appropriately sized per field (32-8192)</w:t>
      </w:r>
    </w:p>
    <w:p>
      <w:pPr>
        <w:pStyle w:val="ListBullet"/>
      </w:pPr>
      <w:r>
        <w:t>All descriptions are populated and meaningful</w:t>
      </w:r>
    </w:p>
    <w:p>
      <w:r/>
      <w:r>
        <w:rPr>
          <w:b/>
        </w:rPr>
        <w:t>Assessment:</w:t>
      </w:r>
      <w:r>
        <w:t xml:space="preserve"> PASS -- collection infrastructure is well-designed and production-ready.</w:t>
      </w:r>
    </w:p>
    <w:p>
      <w:pPr>
        <w:pStyle w:val="Heading1"/>
      </w:pPr>
      <w:r>
        <w:t>5. Knowledge Base Inventory</w:t>
      </w:r>
    </w:p>
    <w:p>
      <w:pPr>
        <w:pStyle w:val="Heading2"/>
      </w:pPr>
      <w:r>
        <w:t>5.1 Cell Type Atlas</w:t>
      </w:r>
    </w:p>
    <w:p>
      <w:r>
        <w:t xml:space="preserve">The knowledge base contains </w:t>
      </w:r>
      <w:r>
        <w:rPr>
          <w:b/>
        </w:rPr>
        <w:t>44 cell types</w:t>
      </w:r>
      <w:r>
        <w:t xml:space="preserve"> organized across immune, stromal, epithelial, neural, and specialized compartments:</w:t>
      </w:r>
    </w:p>
    <w:p>
      <w:r>
        <w:rPr>
          <w:sz w:val="18"/>
        </w:rPr>
        <w:t>| Compartment | Cell Types | Count |</w:t>
      </w:r>
    </w:p>
    <w:p>
      <w:r>
        <w:rPr>
          <w:sz w:val="18"/>
        </w:rPr>
        <w:t>|-------------|-----------|-------|</w:t>
      </w:r>
    </w:p>
    <w:p>
      <w:r>
        <w:rPr>
          <w:sz w:val="18"/>
        </w:rPr>
        <w:t>| T lymphocytes | T_cell, CD8_T, CD4_T, Treg, gamma_delta_T | 5 |</w:t>
      </w:r>
    </w:p>
    <w:p>
      <w:r>
        <w:rPr>
          <w:sz w:val="18"/>
        </w:rPr>
        <w:t>| B lymphocytes | B_cell, Plasma | 2 |</w:t>
      </w:r>
    </w:p>
    <w:p>
      <w:r>
        <w:rPr>
          <w:sz w:val="18"/>
        </w:rPr>
        <w:t>| Innate lymphoid | NK | 1 |</w:t>
      </w:r>
    </w:p>
    <w:p>
      <w:r>
        <w:rPr>
          <w:sz w:val="18"/>
        </w:rPr>
        <w:t>| Myeloid | Monocyte, Macrophage, DC, pDC, Neutrophil, Mast_cell, Basophil, Eosinophil | 8 |</w:t>
      </w:r>
    </w:p>
    <w:p>
      <w:r>
        <w:rPr>
          <w:sz w:val="18"/>
        </w:rPr>
        <w:t>| Stromal | Fibroblast, Endothelial, Pericyte, Smooth_muscle, Adipocyte | 5 |</w:t>
      </w:r>
    </w:p>
    <w:p>
      <w:r>
        <w:rPr>
          <w:sz w:val="18"/>
        </w:rPr>
        <w:t>| Epithelial | Epithelial, Hepatocyte, Podocyte | 3 |</w:t>
      </w:r>
    </w:p>
    <w:p>
      <w:r>
        <w:rPr>
          <w:sz w:val="18"/>
        </w:rPr>
        <w:t>| Neural | Neuron, Astrocyte, Oligodendrocyte, Microglia | 4 |</w:t>
      </w:r>
    </w:p>
    <w:p>
      <w:r>
        <w:rPr>
          <w:sz w:val="18"/>
        </w:rPr>
        <w:t>| Cardiac | Cardiomyocyte | 1 |</w:t>
      </w:r>
    </w:p>
    <w:p>
      <w:r>
        <w:rPr>
          <w:sz w:val="18"/>
        </w:rPr>
        <w:t>| Stem/Progenitor | HSC, Erythroid_progenitor, Megakaryocyte | 3 |</w:t>
      </w:r>
    </w:p>
    <w:p>
      <w:r>
        <w:rPr>
          <w:sz w:val="18"/>
        </w:rPr>
        <w:t>| Cancer-specific | Cancer_stem_cell, Cycling_tumor, Senescent_tumor | 3 |</w:t>
      </w:r>
    </w:p>
    <w:p>
      <w:r>
        <w:rPr>
          <w:sz w:val="18"/>
        </w:rPr>
        <w:t>| Specialized | Melanocyte, Schwann_cell, Mesothelial, Satellite_cell | 4 |</w:t>
      </w:r>
    </w:p>
    <w:p>
      <w:r>
        <w:rPr>
          <w:sz w:val="18"/>
        </w:rPr>
        <w:t>| Other | MDSC, ILC, Platelet, RBC, Doublet | 5 |</w:t>
      </w:r>
    </w:p>
    <w:p>
      <w:r>
        <w:rPr>
          <w:sz w:val="18"/>
        </w:rPr>
        <w:t>| **Total** | | **44** |</w:t>
      </w:r>
    </w:p>
    <w:p>
      <w:r>
        <w:t>Each cell type entry includes:</w:t>
      </w:r>
    </w:p>
    <w:p>
      <w:pPr>
        <w:pStyle w:val="ListBullet"/>
      </w:pPr>
      <w:r>
        <w:t>Canonical marker genes (5 per type)</w:t>
      </w:r>
    </w:p>
    <w:p>
      <w:pPr>
        <w:pStyle w:val="ListBullet"/>
      </w:pPr>
      <w:r>
        <w:t>Cell Ontology (CL) identifier</w:t>
      </w:r>
    </w:p>
    <w:p>
      <w:pPr>
        <w:pStyle w:val="ListBullet"/>
      </w:pPr>
      <w:r>
        <w:t>Tissue distribution</w:t>
      </w:r>
    </w:p>
    <w:p>
      <w:pPr>
        <w:pStyle w:val="ListBullet"/>
      </w:pPr>
      <w:r>
        <w:t>Subtypes list</w:t>
      </w:r>
    </w:p>
    <w:p>
      <w:pPr>
        <w:pStyle w:val="ListBullet"/>
      </w:pPr>
      <w:r>
        <w:t>Description</w:t>
      </w:r>
    </w:p>
    <w:p>
      <w:pPr>
        <w:pStyle w:val="Heading2"/>
      </w:pPr>
      <w:r>
        <w:t>5.2 Drug Database</w:t>
      </w:r>
    </w:p>
    <w:p>
      <w:r/>
      <w:r>
        <w:rPr>
          <w:b/>
        </w:rPr>
        <w:t>30 drugs</w:t>
      </w:r>
      <w:r>
        <w:t xml:space="preserve"> across 10 drug classes:</w:t>
      </w:r>
    </w:p>
    <w:p>
      <w:r>
        <w:rPr>
          <w:sz w:val="18"/>
        </w:rPr>
        <w:t>| Drug Class | Drugs | Count |</w:t>
      </w:r>
    </w:p>
    <w:p>
      <w:r>
        <w:rPr>
          <w:sz w:val="18"/>
        </w:rPr>
        <w:t>|-----------|-------|-------|</w:t>
      </w:r>
    </w:p>
    <w:p>
      <w:r>
        <w:rPr>
          <w:sz w:val="18"/>
        </w:rPr>
        <w:t>| Checkpoint inhibitors | Pembrolizumab, Nivolumab, Atezolizumab, Durvalumab, Ipilimumab | 5 |</w:t>
      </w:r>
    </w:p>
    <w:p>
      <w:r>
        <w:rPr>
          <w:sz w:val="18"/>
        </w:rPr>
        <w:t>| Tyrosine kinase inhibitors | Osimertinib, Sunitinib, Imatinib, Erlotinib | 4 |</w:t>
      </w:r>
    </w:p>
    <w:p>
      <w:r>
        <w:rPr>
          <w:sz w:val="18"/>
        </w:rPr>
        <w:t>| Targeted therapy | Olaparib, Trastuzumab, Venetoclax, Ibrutinib | 4 |</w:t>
      </w:r>
    </w:p>
    <w:p>
      <w:r>
        <w:rPr>
          <w:sz w:val="18"/>
        </w:rPr>
        <w:t>| Chemotherapy | Cisplatin, Doxorubicin, Paclitaxel, Gemcitabine, Temozolomide | 5 |</w:t>
      </w:r>
    </w:p>
    <w:p>
      <w:r>
        <w:rPr>
          <w:sz w:val="18"/>
        </w:rPr>
        <w:t>| Immunomodulators | Lenalidomide, Thalidomide | 2 |</w:t>
      </w:r>
    </w:p>
    <w:p>
      <w:r>
        <w:rPr>
          <w:sz w:val="18"/>
        </w:rPr>
        <w:t>| Cell therapy | Tisagenlecleucel, Axicabtagene ciloleucel, Brexucabtagene | 3 |</w:t>
      </w:r>
    </w:p>
    <w:p>
      <w:r>
        <w:rPr>
          <w:sz w:val="18"/>
        </w:rPr>
        <w:t>| Bispecifics | Blinatumomab, Teclistamab | 2 |</w:t>
      </w:r>
    </w:p>
    <w:p>
      <w:r>
        <w:rPr>
          <w:sz w:val="18"/>
        </w:rPr>
        <w:t>| ADCs | Trastuzumab deruxtecan, Enfortumab vedotin | 2 |</w:t>
      </w:r>
    </w:p>
    <w:p>
      <w:r>
        <w:rPr>
          <w:sz w:val="18"/>
        </w:rPr>
        <w:t>| Epigenetic | Azacitidine, Decitabine | 2 |</w:t>
      </w:r>
    </w:p>
    <w:p>
      <w:r>
        <w:rPr>
          <w:sz w:val="18"/>
        </w:rPr>
        <w:t>| Radiopharmaceutical | Lutetium-177 PSMA | 1 |</w:t>
      </w:r>
    </w:p>
    <w:p>
      <w:pPr>
        <w:pStyle w:val="Heading2"/>
      </w:pPr>
      <w:r>
        <w:t>5.3 Marker Genes</w:t>
      </w:r>
    </w:p>
    <w:p>
      <w:r/>
      <w:r>
        <w:rPr>
          <w:b/>
        </w:rPr>
        <w:t>75 marker genes</w:t>
      </w:r>
      <w:r>
        <w:t xml:space="preserve"> spanning all 44 cell types. Each gene includes:</w:t>
      </w:r>
    </w:p>
    <w:p>
      <w:pPr>
        <w:pStyle w:val="ListBullet"/>
      </w:pPr>
      <w:r>
        <w:t>Gene symbol and Ensembl ID (where available)</w:t>
      </w:r>
    </w:p>
    <w:p>
      <w:pPr>
        <w:pStyle w:val="ListBullet"/>
      </w:pPr>
      <w:r>
        <w:t>Associated cell type</w:t>
      </w:r>
    </w:p>
    <w:p>
      <w:pPr>
        <w:pStyle w:val="ListBullet"/>
      </w:pPr>
      <w:r>
        <w:t>Specificity score (0-1)</w:t>
      </w:r>
    </w:p>
    <w:p>
      <w:pPr>
        <w:pStyle w:val="ListBullet"/>
      </w:pPr>
      <w:r>
        <w:t>Surface protein flag</w:t>
      </w:r>
    </w:p>
    <w:p>
      <w:pPr>
        <w:pStyle w:val="ListBullet"/>
      </w:pPr>
      <w:r>
        <w:t>Evidence text</w:t>
      </w:r>
    </w:p>
    <w:p>
      <w:pPr>
        <w:pStyle w:val="Heading2"/>
      </w:pPr>
      <w:r>
        <w:t>5.4 Immune Signatures</w:t>
      </w:r>
    </w:p>
    <w:p>
      <w:r/>
      <w:r>
        <w:rPr>
          <w:b/>
        </w:rPr>
        <w:t>10 curated immune signatures:</w:t>
      </w:r>
      <w:r/>
    </w:p>
    <w:p>
      <w:r>
        <w:t>1. Cytotoxic T cell activation</w:t>
      </w:r>
    </w:p>
    <w:p>
      <w:r>
        <w:t>2. T cell exhaustion</w:t>
      </w:r>
    </w:p>
    <w:p>
      <w:r>
        <w:t>3. Treg suppressive program</w:t>
      </w:r>
    </w:p>
    <w:p>
      <w:r>
        <w:t>4. M1 macrophage polarization</w:t>
      </w:r>
    </w:p>
    <w:p>
      <w:r>
        <w:t>5. M2 macrophage polarization</w:t>
      </w:r>
    </w:p>
    <w:p>
      <w:r>
        <w:t>6. Interferon-gamma response</w:t>
      </w:r>
    </w:p>
    <w:p>
      <w:r>
        <w:t>7. Type I interferon response</w:t>
      </w:r>
    </w:p>
    <w:p>
      <w:r>
        <w:t>8. Antigen presentation</w:t>
      </w:r>
    </w:p>
    <w:p>
      <w:r>
        <w:t>9. NK cell cytotoxicity</w:t>
      </w:r>
    </w:p>
    <w:p>
      <w:r>
        <w:t>10. B cell activation/germinal center</w:t>
      </w:r>
    </w:p>
    <w:p>
      <w:pPr>
        <w:pStyle w:val="Heading2"/>
      </w:pPr>
      <w:r>
        <w:t>5.5 Ligand-Receptor Pairs</w:t>
      </w:r>
    </w:p>
    <w:p>
      <w:r/>
      <w:r>
        <w:rPr>
          <w:b/>
        </w:rPr>
        <w:t>25 curated ligand-receptor interaction pairs</w:t>
      </w:r>
      <w:r>
        <w:t xml:space="preserve"> covering:</w:t>
      </w:r>
    </w:p>
    <w:p>
      <w:pPr>
        <w:pStyle w:val="ListBullet"/>
      </w:pPr>
      <w:r>
        <w:t>Checkpoint interactions (PD-L1/PD-1, CTLA-4/CD80)</w:t>
      </w:r>
    </w:p>
    <w:p>
      <w:pPr>
        <w:pStyle w:val="ListBullet"/>
      </w:pPr>
      <w:r>
        <w:t>Growth factor signaling (EGF/EGFR, HGF/MET)</w:t>
      </w:r>
    </w:p>
    <w:p>
      <w:pPr>
        <w:pStyle w:val="ListBullet"/>
      </w:pPr>
      <w:r>
        <w:t>Chemokine axes (CXCL12/CXCR4, CCL2/CCR2)</w:t>
      </w:r>
    </w:p>
    <w:p>
      <w:pPr>
        <w:pStyle w:val="ListBullet"/>
      </w:pPr>
      <w:r>
        <w:t>Notch signaling (DLL1/NOTCH1)</w:t>
      </w:r>
    </w:p>
    <w:p>
      <w:pPr>
        <w:pStyle w:val="ListBullet"/>
      </w:pPr>
      <w:r>
        <w:t>Wnt signaling (WNT5A/FZD5)</w:t>
      </w:r>
    </w:p>
    <w:p>
      <w:pPr>
        <w:pStyle w:val="ListBullet"/>
      </w:pPr>
      <w:r>
        <w:t>Hedgehog signaling (SHH/PTCH1)</w:t>
      </w:r>
    </w:p>
    <w:p>
      <w:pPr>
        <w:pStyle w:val="Heading2"/>
      </w:pPr>
      <w:r>
        <w:t>5.6 Cancer TME Atlas</w:t>
      </w:r>
    </w:p>
    <w:p>
      <w:r/>
      <w:r>
        <w:rPr>
          <w:b/>
        </w:rPr>
        <w:t>12 cancer type-specific TME profiles:</w:t>
      </w:r>
      <w:r/>
    </w:p>
    <w:p>
      <w:r>
        <w:rPr>
          <w:sz w:val="18"/>
        </w:rPr>
        <w:t>| Cancer Type | Typical TME Class | Key Features |</w:t>
      </w:r>
    </w:p>
    <w:p>
      <w:r>
        <w:rPr>
          <w:sz w:val="18"/>
        </w:rPr>
        <w:t>|------------|------------------|--------------|</w:t>
      </w:r>
    </w:p>
    <w:p>
      <w:r>
        <w:rPr>
          <w:sz w:val="18"/>
        </w:rPr>
        <w:t>| Melanoma | Hot inflamed | High CD8+ T, high PD-L1, checkpoint responsive |</w:t>
      </w:r>
    </w:p>
    <w:p>
      <w:r>
        <w:rPr>
          <w:sz w:val="18"/>
        </w:rPr>
        <w:t>| NSCLC | Variable | Smoking-associated neoantigen load, spatial heterogeneity |</w:t>
      </w:r>
    </w:p>
    <w:p>
      <w:r>
        <w:rPr>
          <w:sz w:val="18"/>
        </w:rPr>
        <w:t>| Breast (TNBC) | Hot/excluded | Stromal barrier, TIL-dependent prognosis |</w:t>
      </w:r>
    </w:p>
    <w:p>
      <w:r>
        <w:rPr>
          <w:sz w:val="18"/>
        </w:rPr>
        <w:t>| Colorectal (MSI-H) | Hot inflamed | High TMB, Lynch syndrome association |</w:t>
      </w:r>
    </w:p>
    <w:p>
      <w:r>
        <w:rPr>
          <w:sz w:val="18"/>
        </w:rPr>
        <w:t>| Colorectal (MSS) | Cold desert | Low immune infiltrate, Wnt-driven |</w:t>
      </w:r>
    </w:p>
    <w:p>
      <w:r>
        <w:rPr>
          <w:sz w:val="18"/>
        </w:rPr>
        <w:t>| Pancreatic | Immunosuppressive | Dense stroma, M2 macrophage dominant |</w:t>
      </w:r>
    </w:p>
    <w:p>
      <w:r>
        <w:rPr>
          <w:sz w:val="18"/>
        </w:rPr>
        <w:t>| Glioblastoma | Cold/suppressive | BBB exclusion, microglia-dominated |</w:t>
      </w:r>
    </w:p>
    <w:p>
      <w:r>
        <w:rPr>
          <w:sz w:val="18"/>
        </w:rPr>
        <w:t>| Renal cell | Excluded | High angiogenesis, anti-VEGF responsive |</w:t>
      </w:r>
    </w:p>
    <w:p>
      <w:r>
        <w:rPr>
          <w:sz w:val="18"/>
        </w:rPr>
        <w:t>| Ovarian | Excluded | Ascites microenvironment, CD8 prognostic |</w:t>
      </w:r>
    </w:p>
    <w:p>
      <w:r>
        <w:rPr>
          <w:sz w:val="18"/>
        </w:rPr>
        <w:t>| Hepatocellular | Variable | Viral vs. non-viral etiology affects TME |</w:t>
      </w:r>
    </w:p>
    <w:p>
      <w:r>
        <w:rPr>
          <w:sz w:val="18"/>
        </w:rPr>
        <w:t>| Head and neck | Hot inflamed | HPV+/HPV- dichotomy |</w:t>
      </w:r>
    </w:p>
    <w:p>
      <w:r>
        <w:rPr>
          <w:sz w:val="18"/>
        </w:rPr>
        <w:t>| Bladder | Variable | TMB-dependent, checkpoint responsive |</w:t>
      </w:r>
    </w:p>
    <w:p>
      <w:pPr>
        <w:pStyle w:val="Heading2"/>
      </w:pPr>
      <w:r>
        <w:t>5.7 Agent Knowledge Statistics</w:t>
      </w:r>
    </w:p>
    <w:p>
      <w:r>
        <w:rPr>
          <w:sz w:val="18"/>
        </w:rPr>
        <w:t>| Category | Count |</w:t>
      </w:r>
    </w:p>
    <w:p>
      <w:r>
        <w:rPr>
          <w:sz w:val="18"/>
        </w:rPr>
        <w:t>|----------|-------|</w:t>
      </w:r>
    </w:p>
    <w:p>
      <w:r>
        <w:rPr>
          <w:sz w:val="18"/>
        </w:rPr>
        <w:t>| Cell types (detailed) | 44 |</w:t>
      </w:r>
    </w:p>
    <w:p>
      <w:r>
        <w:rPr>
          <w:sz w:val="18"/>
        </w:rPr>
        <w:t>| Cell type aliases | 232 |</w:t>
      </w:r>
    </w:p>
    <w:p>
      <w:r>
        <w:rPr>
          <w:sz w:val="18"/>
        </w:rPr>
        <w:t>| Biomarker genes | 23 |</w:t>
      </w:r>
    </w:p>
    <w:p>
      <w:r>
        <w:rPr>
          <w:sz w:val="18"/>
        </w:rPr>
        <w:t>| Spatial interaction maps | 14 |</w:t>
      </w:r>
    </w:p>
    <w:p>
      <w:r>
        <w:rPr>
          <w:sz w:val="18"/>
        </w:rPr>
        <w:t>| Conditions/diseases | 36 |</w:t>
      </w:r>
    </w:p>
    <w:p>
      <w:r>
        <w:rPr>
          <w:sz w:val="18"/>
        </w:rPr>
        <w:t>| Agent-defined cell types | 31 |</w:t>
      </w:r>
    </w:p>
    <w:p>
      <w:r>
        <w:rPr>
          <w:sz w:val="18"/>
        </w:rPr>
        <w:t>| CellxGene seed records | 49 |</w:t>
      </w:r>
    </w:p>
    <w:p>
      <w:r>
        <w:rPr>
          <w:sz w:val="18"/>
        </w:rPr>
        <w:t>| Marker seed records | 75 |</w:t>
      </w:r>
    </w:p>
    <w:p>
      <w:r>
        <w:rPr>
          <w:sz w:val="18"/>
        </w:rPr>
        <w:t>| TME seed records | 20 |</w:t>
      </w:r>
    </w:p>
    <w:p>
      <w:r/>
      <w:r>
        <w:rPr>
          <w:b/>
        </w:rPr>
        <w:t>Assessment:</w:t>
      </w:r>
      <w:r>
        <w:t xml:space="preserve"> PASS -- knowledge base is comprehensive and covers the major cell types, drugs, and cancer types encountered in clinical single-cell studies.</w:t>
      </w:r>
    </w:p>
    <w:p>
      <w:pPr>
        <w:pStyle w:val="Heading1"/>
      </w:pPr>
      <w:r>
        <w:t>6. Workflow Engine Assessment</w:t>
      </w:r>
    </w:p>
    <w:p>
      <w:pPr>
        <w:pStyle w:val="Heading2"/>
      </w:pPr>
      <w:r>
        <w:t>6.1 Workflow Inventory</w:t>
      </w:r>
    </w:p>
    <w:p>
      <w:r>
        <w:rPr>
          <w:sz w:val="18"/>
        </w:rPr>
        <w:t>| # | Workflow | Input | Output Model | Clinical Value |</w:t>
      </w:r>
    </w:p>
    <w:p>
      <w:r>
        <w:rPr>
          <w:sz w:val="18"/>
        </w:rPr>
        <w:t>|---|---------|-------|-------------|---------------|</w:t>
      </w:r>
    </w:p>
    <w:p>
      <w:r>
        <w:rPr>
          <w:sz w:val="18"/>
        </w:rPr>
        <w:t>| 1 | Cell Type Annotation | Cluster markers, reference | `CellTypeAnnotation` | Cell identity at CL ontology level |</w:t>
      </w:r>
    </w:p>
    <w:p>
      <w:r>
        <w:rPr>
          <w:sz w:val="18"/>
        </w:rPr>
        <w:t>| 2 | TME Profiling | Cell proportions, checkpoints | `TMEProfile` | Immunotherapy response prediction |</w:t>
      </w:r>
    </w:p>
    <w:p>
      <w:r>
        <w:rPr>
          <w:sz w:val="18"/>
        </w:rPr>
        <w:t>| 3 | Drug Response | Cell signatures, drug name | `DrugResponsePrediction` | Sensitivity/resistance at cell level |</w:t>
      </w:r>
    </w:p>
    <w:p>
      <w:r>
        <w:rPr>
          <w:sz w:val="18"/>
        </w:rPr>
        <w:t>| 4 | Subclonal Architecture | Clone frequencies, CNV | `SubclonalResult` | Escape risk and timeline |</w:t>
      </w:r>
    </w:p>
    <w:p>
      <w:r>
        <w:rPr>
          <w:sz w:val="18"/>
        </w:rPr>
        <w:t>| 5 | Spatial Niche | Spatial coordinates, genes | `SpatialNiche` | Tissue architecture mapping |</w:t>
      </w:r>
    </w:p>
    <w:p>
      <w:r>
        <w:rPr>
          <w:sz w:val="18"/>
        </w:rPr>
        <w:t>| 6 | Trajectory Analysis | Pseudotime, driver genes | `TrajectoryResult` | Differentiation path identification |</w:t>
      </w:r>
    </w:p>
    <w:p>
      <w:r>
        <w:rPr>
          <w:sz w:val="18"/>
        </w:rPr>
        <w:t>| 7 | Ligand-Receptor | L-R pairs, cell types | `LigandReceptorInteraction` | Cell communication networks |</w:t>
      </w:r>
    </w:p>
    <w:p>
      <w:r>
        <w:rPr>
          <w:sz w:val="18"/>
        </w:rPr>
        <w:t>| 8 | Biomarker Discovery | DE results, clinical data | `BiomarkerCandidate` | Diagnostic/prognostic markers |</w:t>
      </w:r>
    </w:p>
    <w:p>
      <w:r>
        <w:rPr>
          <w:sz w:val="18"/>
        </w:rPr>
        <w:t>| 9 | CAR-T Validation | Target expression, safety | `CARTTargetValidation` | On-tumor/off-tumor profiling |</w:t>
      </w:r>
    </w:p>
    <w:p>
      <w:r>
        <w:rPr>
          <w:sz w:val="18"/>
        </w:rPr>
        <w:t>| 10 | Treatment Monitoring | Longitudinal samples | `TreatmentResponse` | Resistance tracking |</w:t>
      </w:r>
    </w:p>
    <w:p>
      <w:pPr>
        <w:pStyle w:val="Heading2"/>
      </w:pPr>
      <w:r>
        <w:t>6.2 Workflow Architecture</w:t>
      </w:r>
    </w:p>
    <w:p>
      <w:r>
        <w:t>All workflows implement the `BaseSCWorkflow` abstract base class:</w:t>
      </w:r>
    </w:p>
    <w:p>
      <w:r>
        <w:rPr>
          <w:rFonts w:ascii="Courier New" w:hAnsi="Courier New"/>
          <w:sz w:val="16"/>
        </w:rPr>
        <w:t>class BaseSCWorkflow(ABC):</w:t>
      </w:r>
    </w:p>
    <w:p>
      <w:r>
        <w:rPr>
          <w:rFonts w:ascii="Courier New" w:hAnsi="Courier New"/>
          <w:sz w:val="16"/>
        </w:rPr>
        <w:t xml:space="preserve">    def preprocess(self, query, context) -&gt; dict</w:t>
      </w:r>
    </w:p>
    <w:p>
      <w:r>
        <w:rPr>
          <w:rFonts w:ascii="Courier New" w:hAnsi="Courier New"/>
          <w:sz w:val="16"/>
        </w:rPr>
        <w:t xml:space="preserve">    def execute(self, preprocessed) -&gt; WorkflowResult</w:t>
      </w:r>
    </w:p>
    <w:p>
      <w:r>
        <w:rPr>
          <w:rFonts w:ascii="Courier New" w:hAnsi="Courier New"/>
          <w:sz w:val="16"/>
        </w:rPr>
        <w:t xml:space="preserve">    def postprocess(self, result) -&gt; WorkflowResult</w:t>
      </w:r>
    </w:p>
    <w:p>
      <w:r>
        <w:t>The `WorkflowEngine` class provides unified dispatch via `execute(workflow_type, data)`.</w:t>
      </w:r>
    </w:p>
    <w:p>
      <w:pPr>
        <w:pStyle w:val="Heading2"/>
      </w:pPr>
      <w:r>
        <w:t>6.3 Workflow Quality Assessment</w:t>
      </w:r>
    </w:p>
    <w:p>
      <w:r>
        <w:rPr>
          <w:sz w:val="18"/>
        </w:rPr>
        <w:t>| Criterion | Status | Notes |</w:t>
      </w:r>
    </w:p>
    <w:p>
      <w:r>
        <w:rPr>
          <w:sz w:val="18"/>
        </w:rPr>
        <w:t>|-----------|--------|-------|</w:t>
      </w:r>
    </w:p>
    <w:p>
      <w:r>
        <w:rPr>
          <w:sz w:val="18"/>
        </w:rPr>
        <w:t>| All 10 workflows implemented | PASS | Each has preprocess/execute/postprocess |</w:t>
      </w:r>
    </w:p>
    <w:p>
      <w:r>
        <w:rPr>
          <w:sz w:val="18"/>
        </w:rPr>
        <w:t>| Structured output models | PASS | All return typed Pydantic models |</w:t>
      </w:r>
    </w:p>
    <w:p>
      <w:r>
        <w:rPr>
          <w:sz w:val="18"/>
        </w:rPr>
        <w:t>| Error handling | PASS | Graceful fallback to LLM when engine unavailable |</w:t>
      </w:r>
    </w:p>
    <w:p>
      <w:r>
        <w:rPr>
          <w:sz w:val="18"/>
        </w:rPr>
        <w:t>| Weight profile per workflow | PASS | 11 weight profiles in collections.py |</w:t>
      </w:r>
    </w:p>
    <w:p>
      <w:r>
        <w:rPr>
          <w:sz w:val="18"/>
        </w:rPr>
        <w:t>| Clinical recommendations | PASS | Treatment recs generated for TME, drug, CAR-T |</w:t>
      </w:r>
    </w:p>
    <w:p>
      <w:r/>
      <w:r>
        <w:rPr>
          <w:b/>
        </w:rPr>
        <w:t>Assessment:</w:t>
      </w:r>
      <w:r>
        <w:t xml:space="preserve"> PASS.</w:t>
      </w:r>
    </w:p>
    <w:p>
      <w:pPr>
        <w:pStyle w:val="Heading1"/>
      </w:pPr>
      <w:r>
        <w:t>7. Decision Support Engine Assessment</w:t>
      </w:r>
    </w:p>
    <w:p>
      <w:pPr>
        <w:pStyle w:val="Heading2"/>
      </w:pPr>
      <w:r>
        <w:t>7.1 Engine Inventory</w:t>
      </w:r>
    </w:p>
    <w:p>
      <w:r>
        <w:rPr>
          <w:sz w:val="18"/>
        </w:rPr>
        <w:t>| # | Engine | Input | Output | Clinical Application |</w:t>
      </w:r>
    </w:p>
    <w:p>
      <w:r>
        <w:rPr>
          <w:sz w:val="18"/>
        </w:rPr>
        <w:t>|---|--------|-------|--------|---------------------|</w:t>
      </w:r>
    </w:p>
    <w:p>
      <w:r>
        <w:rPr>
          <w:sz w:val="18"/>
        </w:rPr>
        <w:t>| 1 | TMEClassifier | Cell proportions, gene expression, PD-L1 TPS | TME class + treatment recs | Immunotherapy selection |</w:t>
      </w:r>
    </w:p>
    <w:p>
      <w:r>
        <w:rPr>
          <w:sz w:val="18"/>
        </w:rPr>
        <w:t>| 2 | SubclonalRiskScorer | Clone data, target antigen | Risk level + timeline | CAR-T escape monitoring |</w:t>
      </w:r>
    </w:p>
    <w:p>
      <w:r>
        <w:rPr>
          <w:sz w:val="18"/>
        </w:rPr>
        <w:t>| 3 | TargetExpressionValidator | Tumor/normal expression | Safety verdict + TI | CAR-T/ADC target selection |</w:t>
      </w:r>
    </w:p>
    <w:p>
      <w:r>
        <w:rPr>
          <w:sz w:val="18"/>
        </w:rPr>
        <w:t>| 4 | CellularDeconvolutionEngine | Bulk expression | Cell type proportions | Bulk-to-single-cell inference |</w:t>
      </w:r>
    </w:p>
    <w:p>
      <w:pPr>
        <w:pStyle w:val="Heading2"/>
      </w:pPr>
      <w:r>
        <w:t>7.2 TMEClassifier Detail</w:t>
      </w:r>
    </w:p>
    <w:p>
      <w:r/>
      <w:r>
        <w:rPr>
          <w:b/>
        </w:rPr>
        <w:t>Classification logic:</w:t>
      </w:r>
      <w:r/>
    </w:p>
    <w:p>
      <w:pPr>
        <w:pStyle w:val="ListBullet"/>
      </w:pPr>
      <w:r>
        <w:t>Uses CD8+ T cell percentage, total immune score, suppressive fraction, stromal fraction</w:t>
      </w:r>
    </w:p>
    <w:p>
      <w:pPr>
        <w:pStyle w:val="ListBullet"/>
      </w:pPr>
      <w:r>
        <w:t>Spatial context override: "absent" forces COLD_DESERT, "margin" forces EXCLUDED</w:t>
      </w:r>
    </w:p>
    <w:p>
      <w:pPr>
        <w:pStyle w:val="ListBullet"/>
      </w:pPr>
      <w:r>
        <w:t>Score thresholds: CD8 &gt;= 15% AND immune &gt;= 25% for HOT_INFLAMED</w:t>
      </w:r>
    </w:p>
    <w:p>
      <w:pPr>
        <w:pStyle w:val="ListBullet"/>
      </w:pPr>
      <w:r>
        <w:t>Checkpoint scoring: 6 checkpoint genes (CD274, PDCD1LG2, CTLA4, LAG3, HAVCR2, TIGIT)</w:t>
      </w:r>
    </w:p>
    <w:p>
      <w:pPr>
        <w:pStyle w:val="ListBullet"/>
      </w:pPr>
      <w:r>
        <w:t>Suppressive scoring: 6 immunosuppressive genes (IDO1, TGFB1, IL10, VEGFA, ARG1, NOS2)</w:t>
      </w:r>
    </w:p>
    <w:p>
      <w:pPr>
        <w:pStyle w:val="ListBullet"/>
      </w:pPr>
      <w:r>
        <w:t>Generates treatment recommendations per TME class (checkpoint inhibitors, priming strategies, stromal barrier targeting, Treg depletion)</w:t>
      </w:r>
    </w:p>
    <w:p>
      <w:r/>
      <w:r>
        <w:rPr>
          <w:b/>
        </w:rPr>
        <w:t>Evidence levels:</w:t>
      </w:r>
      <w:r>
        <w:t xml:space="preserve"> STRONG (spatial + PD-L1 TPS), MODERATE (one available), LIMITED (neither)</w:t>
      </w:r>
    </w:p>
    <w:p>
      <w:pPr>
        <w:pStyle w:val="Heading2"/>
      </w:pPr>
      <w:r>
        <w:t>7.3 SubclonalRiskScorer Detail</w:t>
      </w:r>
    </w:p>
    <w:p>
      <w:r/>
      <w:r>
        <w:rPr>
          <w:b/>
        </w:rPr>
        <w:t>Risk scoring per clone:</w:t>
      </w:r>
      <w:r/>
    </w:p>
    <w:p>
      <w:pPr>
        <w:pStyle w:val="ListBullet"/>
      </w:pPr>
      <w:r>
        <w:t>Antigen-negative (expression &lt; 0.1): +0.4</w:t>
      </w:r>
    </w:p>
    <w:p>
      <w:pPr>
        <w:pStyle w:val="ListBullet"/>
      </w:pPr>
      <w:r>
        <w:t>Expanding clone: +0.2</w:t>
      </w:r>
    </w:p>
    <w:p>
      <w:pPr>
        <w:pStyle w:val="ListBullet"/>
      </w:pPr>
      <w:r>
        <w:t>Proliferation index contribution: up to +0.2</w:t>
      </w:r>
    </w:p>
    <w:p>
      <w:pPr>
        <w:pStyle w:val="ListBullet"/>
      </w:pPr>
      <w:r>
        <w:t>Resistance genes: +0.05 per gene (max +0.2)</w:t>
      </w:r>
    </w:p>
    <w:p>
      <w:r/>
      <w:r>
        <w:rPr>
          <w:b/>
        </w:rPr>
        <w:t>Overall risk:</w:t>
      </w:r>
      <w:r/>
    </w:p>
    <w:p>
      <w:pPr>
        <w:pStyle w:val="ListBullet"/>
      </w:pPr>
      <w:r>
        <w:t>HIGH: antigen-negative fraction &gt; 10%</w:t>
      </w:r>
    </w:p>
    <w:p>
      <w:pPr>
        <w:pStyle w:val="ListBullet"/>
      </w:pPr>
      <w:r>
        <w:t>MEDIUM: antigen-negative &gt; 3% or any HIGH-risk clone</w:t>
      </w:r>
    </w:p>
    <w:p>
      <w:pPr>
        <w:pStyle w:val="ListBullet"/>
      </w:pPr>
      <w:r>
        <w:t>LOW: all others</w:t>
      </w:r>
    </w:p>
    <w:p>
      <w:r/>
      <w:r>
        <w:rPr>
          <w:b/>
        </w:rPr>
        <w:t>Timeline estimation:</w:t>
      </w:r>
      <w:r>
        <w:t xml:space="preserve"> Exponential growth model -- `t = Td * log2(0.5 / neg_fraction)`</w:t>
      </w:r>
    </w:p>
    <w:p>
      <w:pPr>
        <w:pStyle w:val="Heading2"/>
      </w:pPr>
      <w:r>
        <w:t>7.4 TargetExpressionValidator Detail</w:t>
      </w:r>
    </w:p>
    <w:p>
      <w:r/>
      <w:r>
        <w:rPr>
          <w:b/>
        </w:rPr>
        <w:t>Checks:</w:t>
      </w:r>
      <w:r/>
    </w:p>
    <w:p>
      <w:pPr>
        <w:pStyle w:val="ListBullet"/>
      </w:pPr>
      <w:r>
        <w:t>On-tumor coverage: percentage of tumor cells expressing target &gt; threshold</w:t>
      </w:r>
    </w:p>
    <w:p>
      <w:pPr>
        <w:pStyle w:val="ListBullet"/>
      </w:pPr>
      <w:r>
        <w:t>Off-tumor safety: expression in 8 vital organs (brain, heart, lung, liver, kidney, pancreas, bone_marrow, intestine)</w:t>
      </w:r>
    </w:p>
    <w:p>
      <w:pPr>
        <w:pStyle w:val="ListBullet"/>
      </w:pPr>
      <w:r>
        <w:t>Therapeutic index: mean_on_tumor / (max_off_tumor + 0.01)</w:t>
      </w:r>
    </w:p>
    <w:p>
      <w:pPr>
        <w:pStyle w:val="ListBullet"/>
      </w:pPr>
      <w:r>
        <w:t>Verdicts: FAVORABLE, CONDITIONAL, UNFAVORABLE</w:t>
      </w:r>
    </w:p>
    <w:p>
      <w:r/>
      <w:r>
        <w:rPr>
          <w:b/>
        </w:rPr>
        <w:t>Thresholds:</w:t>
      </w:r>
      <w:r/>
    </w:p>
    <w:p>
      <w:pPr>
        <w:pStyle w:val="ListBullet"/>
      </w:pPr>
      <w:r>
        <w:t>TI &gt;= 10.0: favorable</w:t>
      </w:r>
    </w:p>
    <w:p>
      <w:pPr>
        <w:pStyle w:val="ListBullet"/>
      </w:pPr>
      <w:r>
        <w:t>TI &gt;= 3.0: acceptable</w:t>
      </w:r>
    </w:p>
    <w:p>
      <w:pPr>
        <w:pStyle w:val="ListBullet"/>
      </w:pPr>
      <w:r>
        <w:t>TI &lt; 3.0: unfavorable</w:t>
      </w:r>
    </w:p>
    <w:p>
      <w:pPr>
        <w:pStyle w:val="ListBullet"/>
      </w:pPr>
      <w:r>
        <w:t>Tumor coverage &gt;= 90%: excellent; &gt;= 70%: adequate; &gt;= 50%: marginal; &lt; 50%: insufficient</w:t>
      </w:r>
    </w:p>
    <w:p>
      <w:pPr>
        <w:pStyle w:val="Heading2"/>
      </w:pPr>
      <w:r>
        <w:t>7.5 CellularDeconvolutionEngine Detail</w:t>
      </w:r>
    </w:p>
    <w:p>
      <w:r/>
      <w:r>
        <w:rPr>
          <w:b/>
        </w:rPr>
        <w:t>Method:</w:t>
      </w:r>
      <w:r>
        <w:t xml:space="preserve"> Simplified NNLS (iterative proportional fitting)</w:t>
      </w:r>
    </w:p>
    <w:p>
      <w:pPr>
        <w:pStyle w:val="ListBullet"/>
      </w:pPr>
      <w:r>
        <w:t>10 reference cell types in default signature matrix</w:t>
      </w:r>
    </w:p>
    <w:p>
      <w:pPr>
        <w:pStyle w:val="ListBullet"/>
      </w:pPr>
      <w:r>
        <w:t>8 marker genes per cell type (80 total reference genes)</w:t>
      </w:r>
    </w:p>
    <w:p>
      <w:pPr>
        <w:pStyle w:val="ListBullet"/>
      </w:pPr>
      <w:r>
        <w:t>Convergence threshold: 1e-4, max 100 iterations</w:t>
      </w:r>
    </w:p>
    <w:p>
      <w:pPr>
        <w:pStyle w:val="ListBullet"/>
      </w:pPr>
      <w:r>
        <w:t>Quality metric: R-squared goodness of fit</w:t>
      </w:r>
    </w:p>
    <w:p>
      <w:pPr>
        <w:pStyle w:val="ListBullet"/>
      </w:pPr>
      <w:r>
        <w:t>Minimum gene overlap: 5 genes required</w:t>
      </w:r>
    </w:p>
    <w:p>
      <w:r/>
      <w:r>
        <w:rPr>
          <w:b/>
        </w:rPr>
        <w:t>Assessment:</w:t>
      </w:r>
      <w:r>
        <w:t xml:space="preserve"> PASS -- all four engines are well-implemented with clear clinical logic. The deconvolution engine uses a simplified approach appropriate for real-time API response; production use for publication-grade deconvolution should integrate CIBERSORTx or MuSiC.</w:t>
      </w:r>
    </w:p>
    <w:p>
      <w:pPr>
        <w:pStyle w:val="Heading1"/>
      </w:pPr>
      <w:r>
        <w:t>8. Data Model Completeness</w:t>
      </w:r>
    </w:p>
    <w:p>
      <w:pPr>
        <w:pStyle w:val="Heading2"/>
      </w:pPr>
      <w:r>
        <w:t>8.1 Enum Coverage</w:t>
      </w:r>
    </w:p>
    <w:p>
      <w:r>
        <w:rPr>
          <w:sz w:val="18"/>
        </w:rPr>
        <w:t>| Enum | Values | Used In |</w:t>
      </w:r>
    </w:p>
    <w:p>
      <w:r>
        <w:rPr>
          <w:sz w:val="18"/>
        </w:rPr>
        <w:t>|------|--------|---------|</w:t>
      </w:r>
    </w:p>
    <w:p>
      <w:r>
        <w:rPr>
          <w:sz w:val="18"/>
        </w:rPr>
        <w:t>| SCWorkflowType | 11 | Query routing, weight selection |</w:t>
      </w:r>
    </w:p>
    <w:p>
      <w:r>
        <w:rPr>
          <w:sz w:val="18"/>
        </w:rPr>
        <w:t>| TMEClass | 4 | TME classification output |</w:t>
      </w:r>
    </w:p>
    <w:p>
      <w:r>
        <w:rPr>
          <w:sz w:val="18"/>
        </w:rPr>
        <w:t>| CellTypeConfidence | 3 | Annotation quality scoring |</w:t>
      </w:r>
    </w:p>
    <w:p>
      <w:r>
        <w:rPr>
          <w:sz w:val="18"/>
        </w:rPr>
        <w:t>| SpatialPlatform | 4 | Spatial data tagging |</w:t>
      </w:r>
    </w:p>
    <w:p>
      <w:r>
        <w:rPr>
          <w:sz w:val="18"/>
        </w:rPr>
        <w:t>| ResistanceRisk | 3 | Drug/CAR-T escape assessment |</w:t>
      </w:r>
    </w:p>
    <w:p>
      <w:r>
        <w:rPr>
          <w:sz w:val="18"/>
        </w:rPr>
        <w:t>| SeverityLevel | 5 | Clinical finding severity |</w:t>
      </w:r>
    </w:p>
    <w:p>
      <w:r>
        <w:rPr>
          <w:sz w:val="18"/>
        </w:rPr>
        <w:t>| EvidenceLevel | 5 | Evidence quality grading |</w:t>
      </w:r>
    </w:p>
    <w:p>
      <w:r>
        <w:rPr>
          <w:sz w:val="18"/>
        </w:rPr>
        <w:t>| TrajectoryType | 6 | Trajectory categorization |</w:t>
      </w:r>
    </w:p>
    <w:p>
      <w:r>
        <w:rPr>
          <w:sz w:val="18"/>
        </w:rPr>
        <w:t>| AssayType | 6 | Assay modality tagging |</w:t>
      </w:r>
    </w:p>
    <w:p>
      <w:r>
        <w:rPr>
          <w:sz w:val="18"/>
        </w:rPr>
        <w:t>| NormalizationMethod | 4 | Pipeline configuration |</w:t>
      </w:r>
    </w:p>
    <w:p>
      <w:r>
        <w:rPr>
          <w:sz w:val="18"/>
        </w:rPr>
        <w:t>| ClusteringMethod | 4 | Algorithm selection |</w:t>
      </w:r>
    </w:p>
    <w:p>
      <w:r>
        <w:rPr>
          <w:sz w:val="18"/>
        </w:rPr>
        <w:t>| AnalysisModality | 11 | Modality tracking (agent.py) |</w:t>
      </w:r>
    </w:p>
    <w:p>
      <w:pPr>
        <w:pStyle w:val="Heading2"/>
      </w:pPr>
      <w:r>
        <w:t>8.2 Pydantic Model Coverage</w:t>
      </w:r>
    </w:p>
    <w:p>
      <w:r>
        <w:rPr>
          <w:sz w:val="18"/>
        </w:rPr>
        <w:t>| Model | Fields | Validation | Purpose |</w:t>
      </w:r>
    </w:p>
    <w:p>
      <w:r>
        <w:rPr>
          <w:sz w:val="18"/>
        </w:rPr>
        <w:t>|-------|--------|-----------|---------|</w:t>
      </w:r>
    </w:p>
    <w:p>
      <w:r>
        <w:rPr>
          <w:sz w:val="18"/>
        </w:rPr>
        <w:t>| SCQuery | 12 | max_length, ge/le, enum | Input query specification |</w:t>
      </w:r>
    </w:p>
    <w:p>
      <w:r>
        <w:rPr>
          <w:sz w:val="18"/>
        </w:rPr>
        <w:t>| SCSearchResult | 5 | ge/le on score | Search hit container |</w:t>
      </w:r>
    </w:p>
    <w:p>
      <w:r>
        <w:rPr>
          <w:sz w:val="18"/>
        </w:rPr>
        <w:t>| CellTypeAnnotation | 10 | ge/le, confidence enum | Annotation output |</w:t>
      </w:r>
    </w:p>
    <w:p>
      <w:r>
        <w:rPr>
          <w:sz w:val="18"/>
        </w:rPr>
        <w:t>| TMEProfile | 10 | ge/le, enum defaults | TME classification output |</w:t>
      </w:r>
    </w:p>
    <w:p>
      <w:r>
        <w:rPr>
          <w:sz w:val="18"/>
        </w:rPr>
        <w:t>| DrugResponsePrediction | 10 | ge/le, enum | Drug sensitivity output |</w:t>
      </w:r>
    </w:p>
    <w:p>
      <w:r>
        <w:rPr>
          <w:sz w:val="18"/>
        </w:rPr>
        <w:t>| SubclonalResult | 9 | ge constraints | Clone analysis output |</w:t>
      </w:r>
    </w:p>
    <w:p>
      <w:r>
        <w:rPr>
          <w:sz w:val="18"/>
        </w:rPr>
        <w:t>| SpatialNiche | 9 | ge/le | Spatial niche output |</w:t>
      </w:r>
    </w:p>
    <w:p>
      <w:r>
        <w:rPr>
          <w:sz w:val="18"/>
        </w:rPr>
        <w:t>| TrajectoryResult | 10 | ge constraints | Trajectory output |</w:t>
      </w:r>
    </w:p>
    <w:p>
      <w:r>
        <w:rPr>
          <w:sz w:val="18"/>
        </w:rPr>
        <w:t>| LigandReceptorInteraction | 10 | ge/le | Cell communication output |</w:t>
      </w:r>
    </w:p>
    <w:p>
      <w:r>
        <w:rPr>
          <w:sz w:val="18"/>
        </w:rPr>
        <w:t>| BiomarkerCandidate | 10 | ge/le, bool flags | Biomarker output |</w:t>
      </w:r>
    </w:p>
    <w:p>
      <w:r>
        <w:rPr>
          <w:sz w:val="18"/>
        </w:rPr>
        <w:t>| CARTTargetValidation | 10 | ge/le, enum | CAR-T safety output |</w:t>
      </w:r>
    </w:p>
    <w:p>
      <w:r>
        <w:rPr>
          <w:sz w:val="18"/>
        </w:rPr>
        <w:t>| TreatmentResponse | 9 | ge/le | Longitudinal monitoring output |</w:t>
      </w:r>
    </w:p>
    <w:p>
      <w:r>
        <w:rPr>
          <w:sz w:val="18"/>
        </w:rPr>
        <w:t>| WorkflowResult | 11 | enum, Optional | Aggregate workflow container |</w:t>
      </w:r>
    </w:p>
    <w:p>
      <w:r>
        <w:rPr>
          <w:sz w:val="18"/>
        </w:rPr>
        <w:t>| SCResponse | 9 | ge/le | Top-level API response |</w:t>
      </w:r>
    </w:p>
    <w:p>
      <w:r>
        <w:rPr>
          <w:sz w:val="18"/>
        </w:rPr>
        <w:t>| SearchPlan | 6 | dataclass | Search strategy container |</w:t>
      </w:r>
    </w:p>
    <w:p>
      <w:r/>
      <w:r>
        <w:rPr>
          <w:b/>
        </w:rPr>
        <w:t>Assessment:</w:t>
      </w:r>
      <w:r>
        <w:t xml:space="preserve"> PASS -- models are comprehensive with appropriate validation constraints.</w:t>
      </w:r>
    </w:p>
    <w:p>
      <w:pPr>
        <w:pStyle w:val="Heading1"/>
      </w:pPr>
      <w:r>
        <w:t>9. API Surface Assessment</w:t>
      </w:r>
    </w:p>
    <w:p>
      <w:pPr>
        <w:pStyle w:val="Heading2"/>
      </w:pPr>
      <w:r>
        <w:t>9.1 Endpoint Inventory</w:t>
      </w:r>
    </w:p>
    <w:p>
      <w:r>
        <w:rPr>
          <w:sz w:val="18"/>
        </w:rPr>
        <w:t>| Method | Path | Auth | Purpose |</w:t>
      </w:r>
    </w:p>
    <w:p>
      <w:r>
        <w:rPr>
          <w:sz w:val="18"/>
        </w:rPr>
        <w:t>|--------|------|------|---------|</w:t>
      </w:r>
    </w:p>
    <w:p>
      <w:r>
        <w:rPr>
          <w:sz w:val="18"/>
        </w:rPr>
        <w:t>| GET | `/health` | No | Service health with component status |</w:t>
      </w:r>
    </w:p>
    <w:p>
      <w:r>
        <w:rPr>
          <w:sz w:val="18"/>
        </w:rPr>
        <w:t>| GET | `/collections` | Yes | Collection names and counts |</w:t>
      </w:r>
    </w:p>
    <w:p>
      <w:r>
        <w:rPr>
          <w:sz w:val="18"/>
        </w:rPr>
        <w:t>| GET | `/workflows` | Yes | Available workflow definitions |</w:t>
      </w:r>
    </w:p>
    <w:p>
      <w:r>
        <w:rPr>
          <w:sz w:val="18"/>
        </w:rPr>
        <w:t>| GET | `/metrics` | No | Prometheus-compatible metrics |</w:t>
      </w:r>
    </w:p>
    <w:p>
      <w:r>
        <w:rPr>
          <w:sz w:val="18"/>
        </w:rPr>
        <w:t>| POST | `/v1/sc/query` | Yes | RAG Q&amp;A query |</w:t>
      </w:r>
    </w:p>
    <w:p>
      <w:r>
        <w:rPr>
          <w:sz w:val="18"/>
        </w:rPr>
        <w:t>| POST | `/v1/sc/search` | Yes | Multi-collection vector search |</w:t>
      </w:r>
    </w:p>
    <w:p>
      <w:r>
        <w:rPr>
          <w:sz w:val="18"/>
        </w:rPr>
        <w:t>| POST | `/v1/sc/annotate` | Yes | Cell type annotation |</w:t>
      </w:r>
    </w:p>
    <w:p>
      <w:r>
        <w:rPr>
          <w:sz w:val="18"/>
        </w:rPr>
        <w:t>| POST | `/v1/sc/tme-profile` | Yes | TME profiling |</w:t>
      </w:r>
    </w:p>
    <w:p>
      <w:r>
        <w:rPr>
          <w:sz w:val="18"/>
        </w:rPr>
        <w:t>| POST | `/v1/sc/drug-response` | Yes | Drug response prediction |</w:t>
      </w:r>
    </w:p>
    <w:p>
      <w:r>
        <w:rPr>
          <w:sz w:val="18"/>
        </w:rPr>
        <w:t>| POST | `/v1/sc/subclonal` | Yes | Subclonal architecture |</w:t>
      </w:r>
    </w:p>
    <w:p>
      <w:r>
        <w:rPr>
          <w:sz w:val="18"/>
        </w:rPr>
        <w:t>| POST | `/v1/sc/spatial-niche` | Yes | Spatial niche mapping |</w:t>
      </w:r>
    </w:p>
    <w:p>
      <w:r>
        <w:rPr>
          <w:sz w:val="18"/>
        </w:rPr>
        <w:t>| POST | `/v1/sc/trajectory` | Yes | Trajectory inference |</w:t>
      </w:r>
    </w:p>
    <w:p>
      <w:r>
        <w:rPr>
          <w:sz w:val="18"/>
        </w:rPr>
        <w:t>| POST | `/v1/sc/ligand-receptor` | Yes | L-R interaction analysis |</w:t>
      </w:r>
    </w:p>
    <w:p>
      <w:r>
        <w:rPr>
          <w:sz w:val="18"/>
        </w:rPr>
        <w:t>| POST | `/v1/sc/biomarker` | Yes | Biomarker discovery |</w:t>
      </w:r>
    </w:p>
    <w:p>
      <w:r>
        <w:rPr>
          <w:sz w:val="18"/>
        </w:rPr>
        <w:t>| POST | `/v1/sc/cart-validate` | Yes | CAR-T target validation |</w:t>
      </w:r>
    </w:p>
    <w:p>
      <w:r>
        <w:rPr>
          <w:sz w:val="18"/>
        </w:rPr>
        <w:t>| POST | `/v1/sc/treatment-monitor` | Yes | Treatment monitoring |</w:t>
      </w:r>
    </w:p>
    <w:p>
      <w:r>
        <w:rPr>
          <w:sz w:val="18"/>
        </w:rPr>
        <w:t>| POST | `/v1/sc/workflow/{type}` | Yes | Generic workflow dispatch |</w:t>
      </w:r>
    </w:p>
    <w:p>
      <w:r>
        <w:rPr>
          <w:sz w:val="18"/>
        </w:rPr>
        <w:t>| GET | `/v1/sc/cell-types` | Yes | Cell type catalogue |</w:t>
      </w:r>
    </w:p>
    <w:p>
      <w:r>
        <w:rPr>
          <w:sz w:val="18"/>
        </w:rPr>
        <w:t>| GET | `/v1/sc/markers` | Yes | Marker gene reference |</w:t>
      </w:r>
    </w:p>
    <w:p>
      <w:r>
        <w:rPr>
          <w:sz w:val="18"/>
        </w:rPr>
        <w:t>| GET | `/v1/sc/tme-classes` | Yes | TME classification reference |</w:t>
      </w:r>
    </w:p>
    <w:p>
      <w:r>
        <w:rPr>
          <w:sz w:val="18"/>
        </w:rPr>
        <w:t>| GET | `/v1/sc/spatial-platforms` | Yes | Spatial platform reference |</w:t>
      </w:r>
    </w:p>
    <w:p>
      <w:r>
        <w:rPr>
          <w:sz w:val="18"/>
        </w:rPr>
        <w:t>| GET | `/v1/sc/knowledge-version` | Yes | Knowledge base version metadata |</w:t>
      </w:r>
    </w:p>
    <w:p>
      <w:r>
        <w:rPr>
          <w:sz w:val="18"/>
        </w:rPr>
        <w:t>| POST | `/v1/reports/generate` | Yes | Report generation |</w:t>
      </w:r>
    </w:p>
    <w:p>
      <w:r>
        <w:rPr>
          <w:sz w:val="18"/>
        </w:rPr>
        <w:t>| GET | `/v1/reports/formats` | Yes | Supported export formats |</w:t>
      </w:r>
    </w:p>
    <w:p>
      <w:r>
        <w:rPr>
          <w:sz w:val="18"/>
        </w:rPr>
        <w:t>| GET | `/v1/events/stream` | Yes | SSE event stream |</w:t>
      </w:r>
    </w:p>
    <w:p>
      <w:r/>
      <w:r>
        <w:rPr>
          <w:b/>
        </w:rPr>
        <w:t>Total endpoints:</w:t>
      </w:r>
      <w:r>
        <w:t xml:space="preserve"> 25</w:t>
      </w:r>
    </w:p>
    <w:p>
      <w:pPr>
        <w:pStyle w:val="Heading2"/>
      </w:pPr>
      <w:r>
        <w:t>9.2 Middleware Stack</w:t>
      </w:r>
    </w:p>
    <w:p>
      <w:r>
        <w:rPr>
          <w:sz w:val="18"/>
        </w:rPr>
        <w:t>| Layer | Purpose | Config |</w:t>
      </w:r>
    </w:p>
    <w:p>
      <w:r>
        <w:rPr>
          <w:sz w:val="18"/>
        </w:rPr>
        <w:t>|-------|---------|--------|</w:t>
      </w:r>
    </w:p>
    <w:p>
      <w:r>
        <w:rPr>
          <w:sz w:val="18"/>
        </w:rPr>
        <w:t>| API key authentication | X-API-Key header validation | `settings.API_KEY` |</w:t>
      </w:r>
    </w:p>
    <w:p>
      <w:r>
        <w:rPr>
          <w:sz w:val="18"/>
        </w:rPr>
        <w:t>| Request size limiting | Reject bodies &gt; configured MB | `settings.MAX_REQUEST_SIZE_MB` (10 MB) |</w:t>
      </w:r>
    </w:p>
    <w:p>
      <w:r>
        <w:rPr>
          <w:sz w:val="18"/>
        </w:rPr>
        <w:t>| Rate limiting | IP-based, in-memory | 100 req/60s window |</w:t>
      </w:r>
    </w:p>
    <w:p>
      <w:r>
        <w:rPr>
          <w:sz w:val="18"/>
        </w:rPr>
        <w:t>| Metrics counting | Thread-safe request/error counters | Always active |</w:t>
      </w:r>
    </w:p>
    <w:p>
      <w:r>
        <w:rPr>
          <w:sz w:val="18"/>
        </w:rPr>
        <w:t>| CORS | Configured origins | `settings.CORS_ORIGINS` |</w:t>
      </w:r>
    </w:p>
    <w:p>
      <w:pPr>
        <w:pStyle w:val="Heading2"/>
      </w:pPr>
      <w:r>
        <w:t>9.3 API Quality Assessment</w:t>
      </w:r>
    </w:p>
    <w:p>
      <w:r>
        <w:rPr>
          <w:sz w:val="18"/>
        </w:rPr>
        <w:t>| Criterion | Status | Notes |</w:t>
      </w:r>
    </w:p>
    <w:p>
      <w:r>
        <w:rPr>
          <w:sz w:val="18"/>
        </w:rPr>
        <w:t>|-----------|--------|-------|</w:t>
      </w:r>
    </w:p>
    <w:p>
      <w:r>
        <w:rPr>
          <w:sz w:val="18"/>
        </w:rPr>
        <w:t>| OpenAPI/Swagger docs | PASS | FastAPI auto-generates at /docs |</w:t>
      </w:r>
    </w:p>
    <w:p>
      <w:r>
        <w:rPr>
          <w:sz w:val="18"/>
        </w:rPr>
        <w:t>| Input validation | PASS | Pydantic models on all POST endpoints |</w:t>
      </w:r>
    </w:p>
    <w:p>
      <w:r>
        <w:rPr>
          <w:sz w:val="18"/>
        </w:rPr>
        <w:t>| Error handling | PASS | Custom exception handlers return JSON |</w:t>
      </w:r>
    </w:p>
    <w:p>
      <w:r>
        <w:rPr>
          <w:sz w:val="18"/>
        </w:rPr>
        <w:t>| Health check | PASS | Component-level status reporting |</w:t>
      </w:r>
    </w:p>
    <w:p>
      <w:r>
        <w:rPr>
          <w:sz w:val="18"/>
        </w:rPr>
        <w:t>| Versioned routes | PASS | `/v1/` prefix on all domain routes |</w:t>
      </w:r>
    </w:p>
    <w:p>
      <w:r>
        <w:rPr>
          <w:sz w:val="18"/>
        </w:rPr>
        <w:t>| CORS configured | PASS | Non-wildcard origins |</w:t>
      </w:r>
    </w:p>
    <w:p>
      <w:r/>
      <w:r>
        <w:rPr>
          <w:b/>
        </w:rPr>
        <w:t>Assessment:</w:t>
      </w:r>
      <w:r>
        <w:t xml:space="preserve"> PASS.</w:t>
      </w:r>
    </w:p>
    <w:p>
      <w:pPr>
        <w:pStyle w:val="Heading1"/>
      </w:pPr>
      <w:r>
        <w:t>10. Authentication and Security</w:t>
      </w:r>
    </w:p>
    <w:p>
      <w:pPr>
        <w:pStyle w:val="Heading2"/>
      </w:pPr>
      <w:r>
        <w:t>10.1 Authentication</w:t>
      </w:r>
    </w:p>
    <w:p>
      <w:pPr>
        <w:pStyle w:val="ListBullet"/>
      </w:pPr>
      <w:r>
        <w:t>**Mechanism:** API key via `X-API-Key` header or `api_key` query parameter</w:t>
      </w:r>
    </w:p>
    <w:p>
      <w:pPr>
        <w:pStyle w:val="ListBullet"/>
      </w:pPr>
      <w:r>
        <w:t>**Configuration:** `settings.API_KEY` (empty string disables auth)</w:t>
      </w:r>
    </w:p>
    <w:p>
      <w:pPr>
        <w:pStyle w:val="ListBullet"/>
      </w:pPr>
      <w:r>
        <w:t>**Skip paths:** `/health`, `/healthz`, `/metrics` bypass auth</w:t>
      </w:r>
    </w:p>
    <w:p>
      <w:pPr>
        <w:pStyle w:val="ListBullet"/>
      </w:pPr>
      <w:r>
        <w:t>**Storage:** Environment variable `SC_API_KEY`</w:t>
      </w:r>
    </w:p>
    <w:p>
      <w:pPr>
        <w:pStyle w:val="Heading2"/>
      </w:pPr>
      <w:r>
        <w:t>10.2 Security Measures</w:t>
      </w:r>
    </w:p>
    <w:p>
      <w:r>
        <w:rPr>
          <w:sz w:val="18"/>
        </w:rPr>
        <w:t>| Measure | Status | Notes |</w:t>
      </w:r>
    </w:p>
    <w:p>
      <w:r>
        <w:rPr>
          <w:sz w:val="18"/>
        </w:rPr>
        <w:t>|---------|--------|-------|</w:t>
      </w:r>
    </w:p>
    <w:p>
      <w:r>
        <w:rPr>
          <w:sz w:val="18"/>
        </w:rPr>
        <w:t>| API key authentication | IMPLEMENTED | Optional, header-based |</w:t>
      </w:r>
    </w:p>
    <w:p>
      <w:r>
        <w:rPr>
          <w:sz w:val="18"/>
        </w:rPr>
        <w:t>| Request size limiting | IMPLEMENTED | 10 MB default |</w:t>
      </w:r>
    </w:p>
    <w:p>
      <w:r>
        <w:rPr>
          <w:sz w:val="18"/>
        </w:rPr>
        <w:t>| Rate limiting | IMPLEMENTED | 100/min per IP |</w:t>
      </w:r>
    </w:p>
    <w:p>
      <w:r>
        <w:rPr>
          <w:sz w:val="18"/>
        </w:rPr>
        <w:t>| CORS restrictions | IMPLEMENTED | Configured origins only |</w:t>
      </w:r>
    </w:p>
    <w:p>
      <w:r>
        <w:rPr>
          <w:sz w:val="18"/>
        </w:rPr>
        <w:t>| SQL injection prevention | N/A | No SQL database |</w:t>
      </w:r>
    </w:p>
    <w:p>
      <w:r>
        <w:rPr>
          <w:sz w:val="18"/>
        </w:rPr>
        <w:t>| Non-root container user | IMPLEMENTED | `scuser` in Dockerfile |</w:t>
      </w:r>
    </w:p>
    <w:p>
      <w:r>
        <w:rPr>
          <w:sz w:val="18"/>
        </w:rPr>
        <w:t>| Input validation | IMPLEMENTED | Pydantic on all inputs |</w:t>
      </w:r>
    </w:p>
    <w:p>
      <w:pPr>
        <w:pStyle w:val="Heading2"/>
      </w:pPr>
      <w:r>
        <w:t>10.3 Security Concerns</w:t>
      </w:r>
    </w:p>
    <w:p>
      <w:pPr>
        <w:pStyle w:val="ListBullet"/>
      </w:pPr>
      <w:r>
        <w:t>API key transmitted in plaintext (requires TLS termination upstream)</w:t>
      </w:r>
    </w:p>
    <w:p>
      <w:pPr>
        <w:pStyle w:val="ListBullet"/>
      </w:pPr>
      <w:r>
        <w:t>Rate limiting is in-memory (resets on restart, not shared across workers)</w:t>
      </w:r>
    </w:p>
    <w:p>
      <w:pPr>
        <w:pStyle w:val="ListBullet"/>
      </w:pPr>
      <w:r>
        <w:t>No JWT/OAuth support for production multi-tenant scenarios</w:t>
      </w:r>
    </w:p>
    <w:p>
      <w:pPr>
        <w:pStyle w:val="ListBullet"/>
      </w:pPr>
      <w:r>
        <w:t>`ANTHROPIC_API_KEY` passed via environment variable (standard practice but not encrypted at rest)</w:t>
      </w:r>
    </w:p>
    <w:p>
      <w:r/>
      <w:r>
        <w:rPr>
          <w:b/>
        </w:rPr>
        <w:t>Assessment:</w:t>
      </w:r>
      <w:r>
        <w:t xml:space="preserve"> CONDITIONAL PASS -- adequate for single-tenant deployment behind a reverse proxy with TLS. Multi-tenant production requires JWT/OAuth upgrade.</w:t>
      </w:r>
    </w:p>
    <w:p>
      <w:pPr>
        <w:pStyle w:val="Heading1"/>
      </w:pPr>
      <w:r>
        <w:t>11. Embedding Pipeline</w:t>
      </w:r>
    </w:p>
    <w:p>
      <w:pPr>
        <w:pStyle w:val="Heading2"/>
      </w:pPr>
      <w:r>
        <w:t>11.1 Configuration</w:t>
      </w:r>
    </w:p>
    <w:p>
      <w:r>
        <w:rPr>
          <w:sz w:val="18"/>
        </w:rPr>
        <w:t>| Parameter | Value |</w:t>
      </w:r>
    </w:p>
    <w:p>
      <w:r>
        <w:rPr>
          <w:sz w:val="18"/>
        </w:rPr>
        <w:t>|-----------|-------|</w:t>
      </w:r>
    </w:p>
    <w:p>
      <w:r>
        <w:rPr>
          <w:sz w:val="18"/>
        </w:rPr>
        <w:t>| Model | BAAI/bge-small-en-v1.5 |</w:t>
      </w:r>
    </w:p>
    <w:p>
      <w:r>
        <w:rPr>
          <w:sz w:val="18"/>
        </w:rPr>
        <w:t>| Dimension | 384 |</w:t>
      </w:r>
    </w:p>
    <w:p>
      <w:r>
        <w:rPr>
          <w:sz w:val="18"/>
        </w:rPr>
        <w:t>| Batch size | 32 |</w:t>
      </w:r>
    </w:p>
    <w:p>
      <w:r>
        <w:rPr>
          <w:sz w:val="18"/>
        </w:rPr>
        <w:t>| Framework | sentence-transformers 2.7.0 |</w:t>
      </w:r>
    </w:p>
    <w:p>
      <w:pPr>
        <w:pStyle w:val="Heading2"/>
      </w:pPr>
      <w:r>
        <w:t>11.2 Embedding Quality</w:t>
      </w:r>
    </w:p>
    <w:p>
      <w:r>
        <w:t>BGE-small-en-v1.5 is a well-validated embedding model for biomedical text:</w:t>
      </w:r>
    </w:p>
    <w:p>
      <w:pPr>
        <w:pStyle w:val="ListBullet"/>
      </w:pPr>
      <w:r>
        <w:t>MTEB benchmark rank: competitive in the small model category</w:t>
      </w:r>
    </w:p>
    <w:p>
      <w:pPr>
        <w:pStyle w:val="ListBullet"/>
      </w:pPr>
      <w:r>
        <w:t>Biomedical domain: adequate for gene names, cell types, and clinical terminology</w:t>
      </w:r>
    </w:p>
    <w:p>
      <w:pPr>
        <w:pStyle w:val="ListBullet"/>
      </w:pPr>
      <w:r>
        <w:t>Dimension efficiency: 384-dim provides good compression vs. 768-dim models</w:t>
      </w:r>
    </w:p>
    <w:p>
      <w:pPr>
        <w:pStyle w:val="Heading2"/>
      </w:pPr>
      <w:r>
        <w:t>11.3 Concerns</w:t>
      </w:r>
    </w:p>
    <w:p>
      <w:pPr>
        <w:pStyle w:val="ListBullet"/>
      </w:pPr>
      <w:r>
        <w:t>No domain-adapted fine-tuning for single-cell terminology</w:t>
      </w:r>
    </w:p>
    <w:p>
      <w:pPr>
        <w:pStyle w:val="ListBullet"/>
      </w:pPr>
      <w:r>
        <w:t>Consider upgrading to BGE-base or PubMedBERT embeddings for improved biomedical recall</w:t>
      </w:r>
    </w:p>
    <w:p>
      <w:r/>
      <w:r>
        <w:rPr>
          <w:b/>
        </w:rPr>
        <w:t>Assessment:</w:t>
      </w:r>
      <w:r>
        <w:t xml:space="preserve"> PASS -- adequate for current scale. Domain-specific fine-tuning is a future improvement.</w:t>
      </w:r>
    </w:p>
    <w:p>
      <w:pPr>
        <w:pStyle w:val="Heading1"/>
      </w:pPr>
      <w:r>
        <w:t>12. LLM Integration</w:t>
      </w:r>
    </w:p>
    <w:p>
      <w:pPr>
        <w:pStyle w:val="Heading2"/>
      </w:pPr>
      <w:r>
        <w:t>12.1 Configuration</w:t>
      </w:r>
    </w:p>
    <w:p>
      <w:r>
        <w:rPr>
          <w:sz w:val="18"/>
        </w:rPr>
        <w:t>| Parameter | Value |</w:t>
      </w:r>
    </w:p>
    <w:p>
      <w:r>
        <w:rPr>
          <w:sz w:val="18"/>
        </w:rPr>
        <w:t>|-----------|-------|</w:t>
      </w:r>
    </w:p>
    <w:p>
      <w:r>
        <w:rPr>
          <w:sz w:val="18"/>
        </w:rPr>
        <w:t>| Provider | Anthropic |</w:t>
      </w:r>
    </w:p>
    <w:p>
      <w:r>
        <w:rPr>
          <w:sz w:val="18"/>
        </w:rPr>
        <w:t>| Model | claude-sonnet-4-6 |</w:t>
      </w:r>
    </w:p>
    <w:p>
      <w:r>
        <w:rPr>
          <w:sz w:val="18"/>
        </w:rPr>
        <w:t>| Max tokens | 2,048 (default) |</w:t>
      </w:r>
    </w:p>
    <w:p>
      <w:r>
        <w:rPr>
          <w:sz w:val="18"/>
        </w:rPr>
        <w:t>| Temperature | 0.7 |</w:t>
      </w:r>
    </w:p>
    <w:p>
      <w:r>
        <w:rPr>
          <w:sz w:val="18"/>
        </w:rPr>
        <w:t>| System prompt | Single-cell genomics specialist |</w:t>
      </w:r>
    </w:p>
    <w:p>
      <w:pPr>
        <w:pStyle w:val="Heading2"/>
      </w:pPr>
      <w:r>
        <w:t>12.2 LLM Usage Patterns</w:t>
      </w:r>
    </w:p>
    <w:p>
      <w:pPr>
        <w:pStyle w:val="ListBullet"/>
      </w:pPr>
      <w:r>
        <w:t>**Primary:** RAG response synthesis from multi-collection search results</w:t>
      </w:r>
    </w:p>
    <w:p>
      <w:pPr>
        <w:pStyle w:val="ListBullet"/>
      </w:pPr>
      <w:r>
        <w:t>**Secondary:** Workflow execution when dedicated engine is unavailable</w:t>
      </w:r>
    </w:p>
    <w:p>
      <w:pPr>
        <w:pStyle w:val="ListBullet"/>
      </w:pPr>
      <w:r>
        <w:t>**Fallback:** Search-only mode when LLM is unavailable</w:t>
      </w:r>
    </w:p>
    <w:p>
      <w:pPr>
        <w:pStyle w:val="Heading2"/>
      </w:pPr>
      <w:r>
        <w:t>12.3 Graceful Degradation</w:t>
      </w:r>
    </w:p>
    <w:p>
      <w:r>
        <w:t>The system operates in three modes:</w:t>
      </w:r>
    </w:p>
    <w:p>
      <w:r>
        <w:t xml:space="preserve">1. </w:t>
      </w:r>
      <w:r>
        <w:rPr>
          <w:b/>
        </w:rPr>
        <w:t>Full mode:</w:t>
      </w:r>
      <w:r>
        <w:t xml:space="preserve"> Milvus + embedder + LLM all available</w:t>
      </w:r>
    </w:p>
    <w:p>
      <w:r>
        <w:t xml:space="preserve">2. </w:t>
      </w:r>
      <w:r>
        <w:rPr>
          <w:b/>
        </w:rPr>
        <w:t>Search-only mode:</w:t>
      </w:r>
      <w:r>
        <w:t xml:space="preserve"> Milvus + embedder available, no LLM</w:t>
      </w:r>
    </w:p>
    <w:p>
      <w:r>
        <w:t xml:space="preserve">3. </w:t>
      </w:r>
      <w:r>
        <w:rPr>
          <w:b/>
        </w:rPr>
        <w:t>Degraded mode:</w:t>
      </w:r>
      <w:r>
        <w:t xml:space="preserve"> Only static knowledge base available</w:t>
      </w:r>
    </w:p>
    <w:p>
      <w:r/>
      <w:r>
        <w:rPr>
          <w:b/>
        </w:rPr>
        <w:t>Assessment:</w:t>
      </w:r>
      <w:r>
        <w:t xml:space="preserve"> PASS -- graceful degradation is well-implemented.</w:t>
      </w:r>
    </w:p>
    <w:p>
      <w:pPr>
        <w:pStyle w:val="Heading1"/>
      </w:pPr>
      <w:r>
        <w:t>13. GPU Acceleration Readiness</w:t>
      </w:r>
    </w:p>
    <w:p>
      <w:pPr>
        <w:pStyle w:val="Heading2"/>
      </w:pPr>
      <w:r>
        <w:t>13.1 RAPIDS Integration Points</w:t>
      </w:r>
    </w:p>
    <w:p>
      <w:r>
        <w:rPr>
          <w:sz w:val="18"/>
        </w:rPr>
        <w:t>| Component | GPU Library | Status | Speedup |</w:t>
      </w:r>
    </w:p>
    <w:p>
      <w:r>
        <w:rPr>
          <w:sz w:val="18"/>
        </w:rPr>
        <w:t>|-----------|-----------|--------|---------|</w:t>
      </w:r>
    </w:p>
    <w:p>
      <w:r>
        <w:rPr>
          <w:sz w:val="18"/>
        </w:rPr>
        <w:t>| Dimensionality reduction | cuML UMAP | Planned | ~50x |</w:t>
      </w:r>
    </w:p>
    <w:p>
      <w:r>
        <w:rPr>
          <w:sz w:val="18"/>
        </w:rPr>
        <w:t>| Clustering | cuML Leiden/HDBSCAN | Planned | ~30x |</w:t>
      </w:r>
    </w:p>
    <w:p>
      <w:r>
        <w:rPr>
          <w:sz w:val="18"/>
        </w:rPr>
        <w:t>| Nearest neighbor | cuML kNN | Planned | ~100x |</w:t>
      </w:r>
    </w:p>
    <w:p>
      <w:r>
        <w:rPr>
          <w:sz w:val="18"/>
        </w:rPr>
        <w:t>| Graph analytics | cuGraph | Planned | ~40x |</w:t>
      </w:r>
    </w:p>
    <w:p>
      <w:r>
        <w:rPr>
          <w:sz w:val="18"/>
        </w:rPr>
        <w:t>| Sparse matrix ops | cuSPARSE | Planned | ~20x |</w:t>
      </w:r>
    </w:p>
    <w:p>
      <w:pPr>
        <w:pStyle w:val="Heading2"/>
      </w:pPr>
      <w:r>
        <w:t>13.2 Configuration</w:t>
      </w:r>
    </w:p>
    <w:p>
      <w:pPr>
        <w:pStyle w:val="ListBullet"/>
      </w:pPr>
      <w:r>
        <w:t>`GPU_MEMORY_LIMIT_GB`: 120 GB (DGX Spark default)</w:t>
      </w:r>
    </w:p>
    <w:p>
      <w:pPr>
        <w:pStyle w:val="ListBullet"/>
      </w:pPr>
      <w:r>
        <w:t>RAPIDS integration is architecture-ready but not yet activated in the current codebase</w:t>
      </w:r>
    </w:p>
    <w:p>
      <w:pPr>
        <w:pStyle w:val="ListBullet"/>
      </w:pPr>
      <w:r>
        <w:t>GPU-accelerated methods are flagged in the `sc_methods` collection schema (`gpu_accelerated` boolean field)</w:t>
      </w:r>
    </w:p>
    <w:p>
      <w:pPr>
        <w:pStyle w:val="Heading2"/>
      </w:pPr>
      <w:r>
        <w:t>13.3 Foundation Model Integration</w:t>
      </w:r>
    </w:p>
    <w:p>
      <w:r>
        <w:t>The knowledge base references three foundation models:</w:t>
      </w:r>
    </w:p>
    <w:p>
      <w:r>
        <w:t xml:space="preserve">1. </w:t>
      </w:r>
      <w:r>
        <w:rPr>
          <w:b/>
        </w:rPr>
        <w:t>scGPT</w:t>
      </w:r>
      <w:r>
        <w:t xml:space="preserve"> -- pre-trained on 33M cells, gene expression modeling</w:t>
      </w:r>
    </w:p>
    <w:p>
      <w:r>
        <w:t xml:space="preserve">2. </w:t>
      </w:r>
      <w:r>
        <w:rPr>
          <w:b/>
        </w:rPr>
        <w:t>Geneformer</w:t>
      </w:r>
      <w:r>
        <w:t xml:space="preserve"> -- attention-based, context-aware gene embeddings</w:t>
      </w:r>
    </w:p>
    <w:p>
      <w:r>
        <w:t xml:space="preserve">3. </w:t>
      </w:r>
      <w:r>
        <w:rPr>
          <w:b/>
        </w:rPr>
        <w:t>scFoundation</w:t>
      </w:r>
      <w:r>
        <w:t xml:space="preserve"> -- large-scale pre-trained model for cell representation</w:t>
      </w:r>
    </w:p>
    <w:p>
      <w:r>
        <w:t>These are documented in the knowledge base for reference but not yet integrated as inference endpoints.</w:t>
      </w:r>
    </w:p>
    <w:p>
      <w:r/>
      <w:r>
        <w:rPr>
          <w:b/>
        </w:rPr>
        <w:t>Assessment:</w:t>
      </w:r>
      <w:r>
        <w:t xml:space="preserve"> PARTIAL -- GPU acceleration is architecturally prepared but not implemented. This is appropriate for v1.0 where the primary value is RAG-based intelligence.</w:t>
      </w:r>
    </w:p>
    <w:p>
      <w:pPr>
        <w:pStyle w:val="Heading1"/>
      </w:pPr>
      <w:r>
        <w:t>14. Docker and Container Infrastructure</w:t>
      </w:r>
    </w:p>
    <w:p>
      <w:pPr>
        <w:pStyle w:val="Heading2"/>
      </w:pPr>
      <w:r>
        <w:t>14.1 Docker Composition</w:t>
      </w:r>
    </w:p>
    <w:p>
      <w:r>
        <w:rPr>
          <w:sz w:val="18"/>
        </w:rPr>
        <w:t>| Service | Image | Port | Purpose |</w:t>
      </w:r>
    </w:p>
    <w:p>
      <w:r>
        <w:rPr>
          <w:sz w:val="18"/>
        </w:rPr>
        <w:t>|---------|-------|------|---------|</w:t>
      </w:r>
    </w:p>
    <w:p>
      <w:r>
        <w:rPr>
          <w:sz w:val="18"/>
        </w:rPr>
        <w:t>| `milvus-etcd` | quay.io/coreos/etcd:v3.5.5 | internal | Milvus metadata store |</w:t>
      </w:r>
    </w:p>
    <w:p>
      <w:r>
        <w:rPr>
          <w:sz w:val="18"/>
        </w:rPr>
        <w:t>| `milvus-minio` | minio/minio:RELEASE.2023-03-20 | internal | Milvus object storage |</w:t>
      </w:r>
    </w:p>
    <w:p>
      <w:r>
        <w:rPr>
          <w:sz w:val="18"/>
        </w:rPr>
        <w:t>| `milvus-standalone` | milvusdb/milvus:v2.4-latest | 69530, 69091 | Vector database |</w:t>
      </w:r>
    </w:p>
    <w:p>
      <w:r>
        <w:rPr>
          <w:sz w:val="18"/>
        </w:rPr>
        <w:t>| `sc-streamlit` | Custom (Dockerfile) | 8130 | Chat UI |</w:t>
      </w:r>
    </w:p>
    <w:p>
      <w:r>
        <w:rPr>
          <w:sz w:val="18"/>
        </w:rPr>
        <w:t>| `sc-api` | Custom (Dockerfile) | 8540 | REST API server |</w:t>
      </w:r>
    </w:p>
    <w:p>
      <w:r>
        <w:rPr>
          <w:sz w:val="18"/>
        </w:rPr>
        <w:t>| `sc-setup` | Custom (Dockerfile) | -- | One-shot seed script |</w:t>
      </w:r>
    </w:p>
    <w:p>
      <w:pPr>
        <w:pStyle w:val="Heading2"/>
      </w:pPr>
      <w:r>
        <w:t>14.2 Dockerfile Assessment</w:t>
      </w:r>
    </w:p>
    <w:p>
      <w:r>
        <w:rPr>
          <w:sz w:val="18"/>
        </w:rPr>
        <w:t>| Criterion | Status | Notes |</w:t>
      </w:r>
    </w:p>
    <w:p>
      <w:r>
        <w:rPr>
          <w:sz w:val="18"/>
        </w:rPr>
        <w:t>|-----------|--------|-------|</w:t>
      </w:r>
    </w:p>
    <w:p>
      <w:r>
        <w:rPr>
          <w:sz w:val="18"/>
        </w:rPr>
        <w:t>| Multi-stage build | PASS | Builder + runtime stages |</w:t>
      </w:r>
    </w:p>
    <w:p>
      <w:r>
        <w:rPr>
          <w:sz w:val="18"/>
        </w:rPr>
        <w:t>| Non-root user | PASS | `scuser` created and used |</w:t>
      </w:r>
    </w:p>
    <w:p>
      <w:r>
        <w:rPr>
          <w:sz w:val="18"/>
        </w:rPr>
        <w:t>| Health check | PASS | curl-based on /health |</w:t>
      </w:r>
    </w:p>
    <w:p>
      <w:r>
        <w:rPr>
          <w:sz w:val="18"/>
        </w:rPr>
        <w:t>| PYTHONPATH set | PASS | `/app` |</w:t>
      </w:r>
    </w:p>
    <w:p>
      <w:r>
        <w:rPr>
          <w:sz w:val="18"/>
        </w:rPr>
        <w:t>| Minimal runtime packages | PASS | Only libgomp1 and XML libs |</w:t>
      </w:r>
    </w:p>
    <w:p>
      <w:r>
        <w:rPr>
          <w:sz w:val="18"/>
        </w:rPr>
        <w:t>| .env not copied | PASS | Via environment variables |</w:t>
      </w:r>
    </w:p>
    <w:p>
      <w:r>
        <w:rPr>
          <w:sz w:val="18"/>
        </w:rPr>
        <w:t>| Exposed ports | PASS | 8130, 8540 |</w:t>
      </w:r>
    </w:p>
    <w:p>
      <w:pPr>
        <w:pStyle w:val="Heading2"/>
      </w:pPr>
      <w:r>
        <w:t>14.3 Docker Compose Assessment</w:t>
      </w:r>
    </w:p>
    <w:p>
      <w:r>
        <w:rPr>
          <w:sz w:val="18"/>
        </w:rPr>
        <w:t>| Criterion | Status | Notes |</w:t>
      </w:r>
    </w:p>
    <w:p>
      <w:r>
        <w:rPr>
          <w:sz w:val="18"/>
        </w:rPr>
        <w:t>|-----------|--------|-------|</w:t>
      </w:r>
    </w:p>
    <w:p>
      <w:r>
        <w:rPr>
          <w:sz w:val="18"/>
        </w:rPr>
        <w:t>| Service dependencies | PASS | `condition: service_healthy` |</w:t>
      </w:r>
    </w:p>
    <w:p>
      <w:r>
        <w:rPr>
          <w:sz w:val="18"/>
        </w:rPr>
        <w:t>| Health checks | PASS | All services have healthchecks |</w:t>
      </w:r>
    </w:p>
    <w:p>
      <w:r>
        <w:rPr>
          <w:sz w:val="18"/>
        </w:rPr>
        <w:t>| Network isolation | PASS | `sc-network` bridge |</w:t>
      </w:r>
    </w:p>
    <w:p>
      <w:r>
        <w:rPr>
          <w:sz w:val="18"/>
        </w:rPr>
        <w:t>| Named volumes | PASS | etcd_data, minio_data, milvus_data |</w:t>
      </w:r>
    </w:p>
    <w:p>
      <w:r>
        <w:rPr>
          <w:sz w:val="18"/>
        </w:rPr>
        <w:t>| Restart policies | PASS | `unless-stopped` (services), `no` (setup) |</w:t>
      </w:r>
    </w:p>
    <w:p>
      <w:r>
        <w:rPr>
          <w:sz w:val="18"/>
        </w:rPr>
        <w:t>| Environment variable pass-through | PASS | `${ANTHROPIC_API_KEY}` |</w:t>
      </w:r>
    </w:p>
    <w:p>
      <w:r/>
      <w:r>
        <w:rPr>
          <w:b/>
        </w:rPr>
        <w:t>Assessment:</w:t>
      </w:r>
      <w:r>
        <w:t xml:space="preserve"> PASS -- container infrastructure is production-grade.</w:t>
      </w:r>
    </w:p>
    <w:p>
      <w:pPr>
        <w:pStyle w:val="Heading1"/>
      </w:pPr>
      <w:r>
        <w:t>15. Seed Data and Ingest Pipeline</w:t>
      </w:r>
    </w:p>
    <w:p>
      <w:pPr>
        <w:pStyle w:val="Heading2"/>
      </w:pPr>
      <w:r>
        <w:t>15.1 Ingest Pipeline Components</w:t>
      </w:r>
    </w:p>
    <w:p>
      <w:r>
        <w:rPr>
          <w:sz w:val="18"/>
        </w:rPr>
        <w:t>| Parser | Source | Output Collection | Seed Records |</w:t>
      </w:r>
    </w:p>
    <w:p>
      <w:r>
        <w:rPr>
          <w:sz w:val="18"/>
        </w:rPr>
        <w:t>|--------|--------|------------------|-------------|</w:t>
      </w:r>
    </w:p>
    <w:p>
      <w:r>
        <w:rPr>
          <w:sz w:val="18"/>
        </w:rPr>
        <w:t>| `cellxgene_parser.py` | CellxGene/HCA references | sc_cell_types, sc_datasets | 49 |</w:t>
      </w:r>
    </w:p>
    <w:p>
      <w:r>
        <w:rPr>
          <w:sz w:val="18"/>
        </w:rPr>
        <w:t>| `marker_parser.py` | CellMarker/PanglaoDB | sc_markers | 75 |</w:t>
      </w:r>
    </w:p>
    <w:p>
      <w:r>
        <w:rPr>
          <w:sz w:val="18"/>
        </w:rPr>
        <w:t>| `tme_parser.py` | Cancer TME atlas | sc_tme | 20 |</w:t>
      </w:r>
    </w:p>
    <w:p>
      <w:pPr>
        <w:pStyle w:val="Heading2"/>
      </w:pPr>
      <w:r>
        <w:t>15.2 Ingest Architecture</w:t>
      </w:r>
    </w:p>
    <w:p>
      <w:r>
        <w:t>All parsers extend `BaseIngestParser`:</w:t>
      </w:r>
    </w:p>
    <w:p>
      <w:pPr>
        <w:pStyle w:val="ListBullet"/>
      </w:pPr>
      <w:r>
        <w:t>`parse()` -- extract records from source</w:t>
      </w:r>
    </w:p>
    <w:p>
      <w:pPr>
        <w:pStyle w:val="ListBullet"/>
      </w:pPr>
      <w:r>
        <w:t>`transform()` -- normalize to collection schema</w:t>
      </w:r>
    </w:p>
    <w:p>
      <w:pPr>
        <w:pStyle w:val="ListBullet"/>
      </w:pPr>
      <w:r>
        <w:t>`load()` -- embed and insert into Milvus</w:t>
      </w:r>
    </w:p>
    <w:p>
      <w:pPr>
        <w:pStyle w:val="Heading2"/>
      </w:pPr>
      <w:r>
        <w:t>15.3 Seed Script</w:t>
      </w:r>
    </w:p>
    <w:p>
      <w:r>
        <w:t>The `seed_knowledge.py` script:</w:t>
      </w:r>
    </w:p>
    <w:p>
      <w:r>
        <w:t>1. Creates all 12 collections via `setup_collections.py --drop-existing --seed`</w:t>
      </w:r>
    </w:p>
    <w:p>
      <w:r>
        <w:t>2. Generates embeddings via sentence-transformers</w:t>
      </w:r>
    </w:p>
    <w:p>
      <w:r>
        <w:t>3. Inserts seed records into Milvus</w:t>
      </w:r>
    </w:p>
    <w:p>
      <w:r>
        <w:t>4. Gracefully degrades if pymilvus or sentence-transformers unavailable</w:t>
      </w:r>
    </w:p>
    <w:p>
      <w:pPr>
        <w:pStyle w:val="Heading2"/>
      </w:pPr>
      <w:r>
        <w:t>15.4 Scheduled Ingest</w:t>
      </w:r>
    </w:p>
    <w:p>
      <w:pPr>
        <w:pStyle w:val="ListBullet"/>
      </w:pPr>
      <w:r>
        <w:t>APScheduler integration via `src/scheduler.py`</w:t>
      </w:r>
    </w:p>
    <w:p>
      <w:pPr>
        <w:pStyle w:val="ListBullet"/>
      </w:pPr>
      <w:r>
        <w:t>Configurable interval: `INGEST_SCHEDULE_HOURS` (default 24)</w:t>
      </w:r>
    </w:p>
    <w:p>
      <w:pPr>
        <w:pStyle w:val="ListBullet"/>
      </w:pPr>
      <w:r>
        <w:t>Disabled by default: `INGEST_ENABLED = False`</w:t>
      </w:r>
    </w:p>
    <w:p>
      <w:r/>
      <w:r>
        <w:rPr>
          <w:b/>
        </w:rPr>
        <w:t>Assessment:</w:t>
      </w:r>
      <w:r>
        <w:t xml:space="preserve"> PASS -- seed pipeline is functional. Scheduled ingest is available but disabled pending production data source integration.</w:t>
      </w:r>
    </w:p>
    <w:p>
      <w:pPr>
        <w:pStyle w:val="Heading1"/>
      </w:pPr>
      <w:r>
        <w:t>16. Cross-Agent Integration</w:t>
      </w:r>
    </w:p>
    <w:p>
      <w:pPr>
        <w:pStyle w:val="Heading2"/>
      </w:pPr>
      <w:r>
        <w:t>16.1 Integration Map</w:t>
      </w:r>
    </w:p>
    <w:p>
      <w:r>
        <w:rPr>
          <w:sz w:val="18"/>
        </w:rPr>
        <w:t>| Peer Agent | URL | Timeout | Use Case |</w:t>
      </w:r>
    </w:p>
    <w:p>
      <w:r>
        <w:rPr>
          <w:sz w:val="18"/>
        </w:rPr>
        <w:t>|-----------|-----|---------|----------|</w:t>
      </w:r>
    </w:p>
    <w:p>
      <w:r>
        <w:rPr>
          <w:sz w:val="18"/>
        </w:rPr>
        <w:t>| Genomics Agent | `http://localhost:8527` | 30s | Variant-level evidence for mutations |</w:t>
      </w:r>
    </w:p>
    <w:p>
      <w:r>
        <w:rPr>
          <w:sz w:val="18"/>
        </w:rPr>
        <w:t>| Biomarker Agent | `http://localhost:8529` | 30s | Cross-modal biomarker correlation |</w:t>
      </w:r>
    </w:p>
    <w:p>
      <w:r>
        <w:rPr>
          <w:sz w:val="18"/>
        </w:rPr>
        <w:t>| Oncology Agent | `http://localhost:8528` | 30s | Therapy line recommendations |</w:t>
      </w:r>
    </w:p>
    <w:p>
      <w:r>
        <w:rPr>
          <w:sz w:val="18"/>
        </w:rPr>
        <w:t>| Clinical Trial Agent | `http://localhost:8538` | 30s | Trial matching for novel targets |</w:t>
      </w:r>
    </w:p>
    <w:p>
      <w:pPr>
        <w:pStyle w:val="Heading2"/>
      </w:pPr>
      <w:r>
        <w:t>16.2 Integration Mechanism</w:t>
      </w:r>
    </w:p>
    <w:p>
      <w:pPr>
        <w:pStyle w:val="ListBullet"/>
      </w:pPr>
      <w:r>
        <w:t>`src/cross_modal.py` handles inter-agent REST calls</w:t>
      </w:r>
    </w:p>
    <w:p>
      <w:pPr>
        <w:pStyle w:val="ListBullet"/>
      </w:pPr>
      <w:r>
        <w:t>Timeout: 30 seconds per agent</w:t>
      </w:r>
    </w:p>
    <w:p>
      <w:pPr>
        <w:pStyle w:val="ListBullet"/>
      </w:pPr>
      <w:r>
        <w:t>Failure mode: graceful degradation (result returned without cross-agent enrichment)</w:t>
      </w:r>
    </w:p>
    <w:p>
      <w:pPr>
        <w:pStyle w:val="ListBullet"/>
      </w:pPr>
      <w:r>
        <w:t>Shared collection: `genomic_evidence` (read-only from genomics pipeline)</w:t>
      </w:r>
    </w:p>
    <w:p>
      <w:pPr>
        <w:pStyle w:val="Heading2"/>
      </w:pPr>
      <w:r>
        <w:t>16.3 Concerns</w:t>
      </w:r>
    </w:p>
    <w:p>
      <w:pPr>
        <w:pStyle w:val="ListBullet"/>
      </w:pPr>
      <w:r>
        <w:t>No circuit breaker -- repeated failures to a down agent will cause 30s timeouts per request</w:t>
      </w:r>
    </w:p>
    <w:p>
      <w:pPr>
        <w:pStyle w:val="ListBullet"/>
      </w:pPr>
      <w:r>
        <w:t>No retry with backoff</w:t>
      </w:r>
    </w:p>
    <w:p>
      <w:pPr>
        <w:pStyle w:val="ListBullet"/>
      </w:pPr>
      <w:r>
        <w:t>No service discovery -- hardcoded localhost URLs</w:t>
      </w:r>
    </w:p>
    <w:p>
      <w:r/>
      <w:r>
        <w:rPr>
          <w:b/>
        </w:rPr>
        <w:t>Assessment:</w:t>
      </w:r>
      <w:r>
        <w:t xml:space="preserve"> CONDITIONAL PASS -- functional for co-located deployment. Production distributed deployment requires service discovery and circuit breaker patterns.</w:t>
      </w:r>
    </w:p>
    <w:p>
      <w:pPr>
        <w:pStyle w:val="Heading1"/>
      </w:pPr>
      <w:r>
        <w:t>17. Test Coverage Analysis</w:t>
      </w:r>
    </w:p>
    <w:p>
      <w:pPr>
        <w:pStyle w:val="Heading2"/>
      </w:pPr>
      <w:r>
        <w:t>17.1 Test File Inventory</w:t>
      </w:r>
    </w:p>
    <w:p>
      <w:r>
        <w:rPr>
          <w:sz w:val="18"/>
        </w:rPr>
        <w:t>| Test File | Lines | Focus |</w:t>
      </w:r>
    </w:p>
    <w:p>
      <w:r>
        <w:rPr>
          <w:sz w:val="18"/>
        </w:rPr>
        <w:t>|-----------|-------|-------|</w:t>
      </w:r>
    </w:p>
    <w:p>
      <w:r>
        <w:rPr>
          <w:sz w:val="18"/>
        </w:rPr>
        <w:t>| `test_models.py` | 364 | Pydantic model validation (all 15 models) |</w:t>
      </w:r>
    </w:p>
    <w:p>
      <w:r>
        <w:rPr>
          <w:sz w:val="18"/>
        </w:rPr>
        <w:t>| `test_decision_support.py` | 230 | 4 decision engines with edge cases |</w:t>
      </w:r>
    </w:p>
    <w:p>
      <w:r>
        <w:rPr>
          <w:sz w:val="18"/>
        </w:rPr>
        <w:t>| `test_clinical_workflows.py` | 228 | 10 workflow execution paths |</w:t>
      </w:r>
    </w:p>
    <w:p>
      <w:r>
        <w:rPr>
          <w:sz w:val="18"/>
        </w:rPr>
        <w:t>| `test_knowledge.py` | 140 | Knowledge base completeness |</w:t>
      </w:r>
    </w:p>
    <w:p>
      <w:r>
        <w:rPr>
          <w:sz w:val="18"/>
        </w:rPr>
        <w:t>| `test_integration.py` | 168 | End-to-end RAG + workflow |</w:t>
      </w:r>
    </w:p>
    <w:p>
      <w:r>
        <w:rPr>
          <w:sz w:val="18"/>
        </w:rPr>
        <w:t>| `test_collections.py` | 115 | Schema validation, weight sums |</w:t>
      </w:r>
    </w:p>
    <w:p>
      <w:r>
        <w:rPr>
          <w:sz w:val="18"/>
        </w:rPr>
        <w:t>| `test_api.py` | 107 | API endpoint testing |</w:t>
      </w:r>
    </w:p>
    <w:p>
      <w:r>
        <w:rPr>
          <w:sz w:val="18"/>
        </w:rPr>
        <w:t>| `test_settings.py` | 86 | Configuration validation |</w:t>
      </w:r>
    </w:p>
    <w:p>
      <w:r>
        <w:rPr>
          <w:sz w:val="18"/>
        </w:rPr>
        <w:t>| `test_query_expansion.py` | 63 | Synonym expansion |</w:t>
      </w:r>
    </w:p>
    <w:p>
      <w:r>
        <w:rPr>
          <w:sz w:val="18"/>
        </w:rPr>
        <w:t>| `test_workflow_execution.py` | 152 | Workflow dispatch |</w:t>
      </w:r>
    </w:p>
    <w:p>
      <w:r>
        <w:rPr>
          <w:sz w:val="18"/>
        </w:rPr>
        <w:t>| `test_agent.py` | 49 | Agent plan-execute-report |</w:t>
      </w:r>
    </w:p>
    <w:p>
      <w:r>
        <w:rPr>
          <w:sz w:val="18"/>
        </w:rPr>
        <w:t>| `test_rag_engine.py` | 43 | RAG search and synthesis |</w:t>
      </w:r>
    </w:p>
    <w:p>
      <w:r>
        <w:rPr>
          <w:sz w:val="18"/>
        </w:rPr>
        <w:t>| `conftest.py` | 15 | Shared fixtures |</w:t>
      </w:r>
    </w:p>
    <w:p>
      <w:r/>
      <w:r>
        <w:rPr>
          <w:b/>
        </w:rPr>
        <w:t>Total:</w:t>
      </w:r>
      <w:r>
        <w:t xml:space="preserve"> 1,760 lines across 12 test files, approximately </w:t>
      </w:r>
      <w:r>
        <w:rPr>
          <w:b/>
        </w:rPr>
        <w:t>185 test cases</w:t>
      </w:r>
      <w:r>
        <w:t>.</w:t>
      </w:r>
    </w:p>
    <w:p>
      <w:pPr>
        <w:pStyle w:val="Heading2"/>
      </w:pPr>
      <w:r>
        <w:t>17.2 Coverage Assessment</w:t>
      </w:r>
    </w:p>
    <w:p>
      <w:r>
        <w:rPr>
          <w:sz w:val="18"/>
        </w:rPr>
        <w:t>| Module | Test Coverage | Quality |</w:t>
      </w:r>
    </w:p>
    <w:p>
      <w:r>
        <w:rPr>
          <w:sz w:val="18"/>
        </w:rPr>
        <w:t>|--------|-------------|---------|</w:t>
      </w:r>
    </w:p>
    <w:p>
      <w:r>
        <w:rPr>
          <w:sz w:val="18"/>
        </w:rPr>
        <w:t>| Models | HIGH | All 15 models validated |</w:t>
      </w:r>
    </w:p>
    <w:p>
      <w:r>
        <w:rPr>
          <w:sz w:val="18"/>
        </w:rPr>
        <w:t>| Decision Support | HIGH | All 4 engines with edge cases |</w:t>
      </w:r>
    </w:p>
    <w:p>
      <w:r>
        <w:rPr>
          <w:sz w:val="18"/>
        </w:rPr>
        <w:t>| Clinical Workflows | HIGH | All 10 workflows tested |</w:t>
      </w:r>
    </w:p>
    <w:p>
      <w:r>
        <w:rPr>
          <w:sz w:val="18"/>
        </w:rPr>
        <w:t>| Collections | MEDIUM | Schema and weight validation |</w:t>
      </w:r>
    </w:p>
    <w:p>
      <w:r>
        <w:rPr>
          <w:sz w:val="18"/>
        </w:rPr>
        <w:t>| Knowledge Base | MEDIUM | Completeness checks |</w:t>
      </w:r>
    </w:p>
    <w:p>
      <w:r>
        <w:rPr>
          <w:sz w:val="18"/>
        </w:rPr>
        <w:t>| API | MEDIUM | Endpoint smoke tests |</w:t>
      </w:r>
    </w:p>
    <w:p>
      <w:r>
        <w:rPr>
          <w:sz w:val="18"/>
        </w:rPr>
        <w:t>| Settings | MEDIUM | Validation rule testing |</w:t>
      </w:r>
    </w:p>
    <w:p>
      <w:r>
        <w:rPr>
          <w:sz w:val="18"/>
        </w:rPr>
        <w:t>| RAG Engine | LOW | Basic search test only |</w:t>
      </w:r>
    </w:p>
    <w:p>
      <w:r>
        <w:rPr>
          <w:sz w:val="18"/>
        </w:rPr>
        <w:t>| Agent | LOW | Basic plan-execute test |</w:t>
      </w:r>
    </w:p>
    <w:p>
      <w:r>
        <w:rPr>
          <w:sz w:val="18"/>
        </w:rPr>
        <w:t>| Ingest | NOT TESTED | No dedicated tests |</w:t>
      </w:r>
    </w:p>
    <w:p>
      <w:r>
        <w:rPr>
          <w:sz w:val="18"/>
        </w:rPr>
        <w:t>| Cross-Modal | NOT TESTED | No dedicated tests |</w:t>
      </w:r>
    </w:p>
    <w:p>
      <w:r>
        <w:rPr>
          <w:sz w:val="18"/>
        </w:rPr>
        <w:t>| Scheduler | NOT TESTED | No dedicated tests |</w:t>
      </w:r>
    </w:p>
    <w:p>
      <w:pPr>
        <w:pStyle w:val="Heading2"/>
      </w:pPr>
      <w:r>
        <w:t>17.3 Estimated Line Coverage</w:t>
      </w:r>
    </w:p>
    <w:p>
      <w:r>
        <w:t xml:space="preserve">Based on test file analysis: approximately </w:t>
      </w:r>
      <w:r>
        <w:rPr>
          <w:b/>
        </w:rPr>
        <w:t>65-70% line coverage</w:t>
      </w:r>
      <w:r>
        <w:t xml:space="preserve"> for core modules, </w:t>
      </w:r>
      <w:r>
        <w:rPr>
          <w:b/>
        </w:rPr>
        <w:t>40-50% overall</w:t>
      </w:r>
      <w:r>
        <w:t xml:space="preserve"> including API/ingest/scheduler.</w:t>
      </w:r>
    </w:p>
    <w:p>
      <w:r/>
      <w:r>
        <w:rPr>
          <w:b/>
        </w:rPr>
        <w:t>Assessment:</w:t>
      </w:r>
      <w:r>
        <w:t xml:space="preserve"> CONDITIONAL PASS -- critical paths (models, decision support, workflows) are well-tested. RAG engine, ingest pipeline, and cross-agent integration need additional test coverage.</w:t>
      </w:r>
    </w:p>
    <w:p>
      <w:pPr>
        <w:pStyle w:val="Heading1"/>
      </w:pPr>
      <w:r>
        <w:t>18. Performance Benchmarks</w:t>
      </w:r>
    </w:p>
    <w:p>
      <w:pPr>
        <w:pStyle w:val="Heading2"/>
      </w:pPr>
      <w:r>
        <w:t>18.1 Expected Latency Targets</w:t>
      </w:r>
    </w:p>
    <w:p>
      <w:r>
        <w:rPr>
          <w:sz w:val="18"/>
        </w:rPr>
        <w:t>| Operation | Target | Notes |</w:t>
      </w:r>
    </w:p>
    <w:p>
      <w:r>
        <w:rPr>
          <w:sz w:val="18"/>
        </w:rPr>
        <w:t>|-----------|--------|-------|</w:t>
      </w:r>
    </w:p>
    <w:p>
      <w:r>
        <w:rPr>
          <w:sz w:val="18"/>
        </w:rPr>
        <w:t>| Single-collection search | &lt; 50ms | IVF_FLAT with nlist=128 |</w:t>
      </w:r>
    </w:p>
    <w:p>
      <w:r>
        <w:rPr>
          <w:sz w:val="18"/>
        </w:rPr>
        <w:t>| Multi-collection search (12) | &lt; 500ms | ThreadPoolExecutor parallel |</w:t>
      </w:r>
    </w:p>
    <w:p>
      <w:r>
        <w:rPr>
          <w:sz w:val="18"/>
        </w:rPr>
        <w:t>| LLM synthesis | 2-5s | Claude Sonnet response time |</w:t>
      </w:r>
    </w:p>
    <w:p>
      <w:r>
        <w:rPr>
          <w:sz w:val="18"/>
        </w:rPr>
        <w:t>| Full RAG query | &lt; 6s | Search + synthesis |</w:t>
      </w:r>
    </w:p>
    <w:p>
      <w:r>
        <w:rPr>
          <w:sz w:val="18"/>
        </w:rPr>
        <w:t>| Workflow execution | &lt; 8s | Workflow + RAG + synthesis |</w:t>
      </w:r>
    </w:p>
    <w:p>
      <w:r>
        <w:rPr>
          <w:sz w:val="18"/>
        </w:rPr>
        <w:t>| Health check | &lt; 100ms | Component status check |</w:t>
      </w:r>
    </w:p>
    <w:p>
      <w:r>
        <w:rPr>
          <w:sz w:val="18"/>
        </w:rPr>
        <w:t>| Report generation | &lt; 15s | DOCX/PDF export |</w:t>
      </w:r>
    </w:p>
    <w:p>
      <w:pPr>
        <w:pStyle w:val="Heading2"/>
      </w:pPr>
      <w:r>
        <w:t>18.2 Throughput Targets</w:t>
      </w:r>
    </w:p>
    <w:p>
      <w:r>
        <w:rPr>
          <w:sz w:val="18"/>
        </w:rPr>
        <w:t>| Metric | Target |</w:t>
      </w:r>
    </w:p>
    <w:p>
      <w:r>
        <w:rPr>
          <w:sz w:val="18"/>
        </w:rPr>
        <w:t>|--------|--------|</w:t>
      </w:r>
    </w:p>
    <w:p>
      <w:r>
        <w:rPr>
          <w:sz w:val="18"/>
        </w:rPr>
        <w:t>| Concurrent queries | 10 (2 uvicorn workers) |</w:t>
      </w:r>
    </w:p>
    <w:p>
      <w:r>
        <w:rPr>
          <w:sz w:val="18"/>
        </w:rPr>
        <w:t>| Queries per minute | 30-50 (rate limited to 100/min) |</w:t>
      </w:r>
    </w:p>
    <w:p>
      <w:r>
        <w:rPr>
          <w:sz w:val="18"/>
        </w:rPr>
        <w:t>| Seed records per minute | 500+ (batch embedding) |</w:t>
      </w:r>
    </w:p>
    <w:p>
      <w:pPr>
        <w:pStyle w:val="Heading2"/>
      </w:pPr>
      <w:r>
        <w:t>18.3 Resource Requirements</w:t>
      </w:r>
    </w:p>
    <w:p>
      <w:r>
        <w:rPr>
          <w:sz w:val="18"/>
        </w:rPr>
        <w:t>| Resource | Minimum | Recommended |</w:t>
      </w:r>
    </w:p>
    <w:p>
      <w:r>
        <w:rPr>
          <w:sz w:val="18"/>
        </w:rPr>
        <w:t>|----------|---------|-------------|</w:t>
      </w:r>
    </w:p>
    <w:p>
      <w:r>
        <w:rPr>
          <w:sz w:val="18"/>
        </w:rPr>
        <w:t>| CPU | 4 cores | 8 cores |</w:t>
      </w:r>
    </w:p>
    <w:p>
      <w:r>
        <w:rPr>
          <w:sz w:val="18"/>
        </w:rPr>
        <w:t>| RAM | 8 GB | 16 GB |</w:t>
      </w:r>
    </w:p>
    <w:p>
      <w:r>
        <w:rPr>
          <w:sz w:val="18"/>
        </w:rPr>
        <w:t>| GPU VRAM | None (CPU inference) | 8 GB (RAPIDS acceleration) |</w:t>
      </w:r>
    </w:p>
    <w:p>
      <w:r>
        <w:rPr>
          <w:sz w:val="18"/>
        </w:rPr>
        <w:t>| Disk | 10 GB | 50 GB (with full collections) |</w:t>
      </w:r>
    </w:p>
    <w:p>
      <w:r>
        <w:rPr>
          <w:sz w:val="18"/>
        </w:rPr>
        <w:t>| Network | 100 Mbps | 1 Gbps |</w:t>
      </w:r>
    </w:p>
    <w:p>
      <w:r/>
      <w:r>
        <w:rPr>
          <w:b/>
        </w:rPr>
        <w:t>Assessment:</w:t>
      </w:r>
      <w:r>
        <w:t xml:space="preserve"> PASS -- targets are achievable on the DGX Spark platform.</w:t>
      </w:r>
    </w:p>
    <w:p>
      <w:pPr>
        <w:pStyle w:val="Heading1"/>
      </w:pPr>
      <w:r>
        <w:t>19. Monitoring and Observability</w:t>
      </w:r>
    </w:p>
    <w:p>
      <w:pPr>
        <w:pStyle w:val="Heading2"/>
      </w:pPr>
      <w:r>
        <w:t>19.1 Metrics Endpoints</w:t>
      </w:r>
    </w:p>
    <w:p>
      <w:pPr>
        <w:pStyle w:val="ListBullet"/>
      </w:pPr>
      <w:r>
        <w:t>`/metrics` -- Prometheus-compatible text format</w:t>
      </w:r>
    </w:p>
    <w:p>
      <w:pPr>
        <w:pStyle w:val="ListBullet"/>
      </w:pPr>
      <w:r>
        <w:t>Counters: requests_total, query_requests_total, search_requests_total, annotate_requests_total, workflow_requests_total, report_requests_total, errors_total</w:t>
      </w:r>
    </w:p>
    <w:p>
      <w:pPr>
        <w:pStyle w:val="ListBullet"/>
      </w:pPr>
      <w:r>
        <w:t>`src/metrics.py` -- dedicated metrics module (476 lines) for extended metrics</w:t>
      </w:r>
    </w:p>
    <w:p>
      <w:pPr>
        <w:pStyle w:val="Heading2"/>
      </w:pPr>
      <w:r>
        <w:t>19.2 Logging</w:t>
      </w:r>
    </w:p>
    <w:p>
      <w:pPr>
        <w:pStyle w:val="ListBullet"/>
      </w:pPr>
      <w:r>
        <w:t>**Framework:** Loguru (structured logging)</w:t>
      </w:r>
    </w:p>
    <w:p>
      <w:pPr>
        <w:pStyle w:val="ListBullet"/>
      </w:pPr>
      <w:r>
        <w:t>**Log levels:** DEBUG through CRITICAL</w:t>
      </w:r>
    </w:p>
    <w:p>
      <w:pPr>
        <w:pStyle w:val="ListBullet"/>
      </w:pPr>
      <w:r>
        <w:t>**Output:** stdout (Docker logs compatible)</w:t>
      </w:r>
    </w:p>
    <w:p>
      <w:pPr>
        <w:pStyle w:val="ListBullet"/>
      </w:pPr>
      <w:r>
        <w:t>**Correlation:** No request-ID tracing (improvement needed)</w:t>
      </w:r>
    </w:p>
    <w:p>
      <w:pPr>
        <w:pStyle w:val="Heading2"/>
      </w:pPr>
      <w:r>
        <w:t>19.3 Health Monitoring</w:t>
      </w:r>
    </w:p>
    <w:p>
      <w:r>
        <w:t>The `/health` endpoint reports:</w:t>
      </w:r>
    </w:p>
    <w:p>
      <w:pPr>
        <w:pStyle w:val="ListBullet"/>
      </w:pPr>
      <w:r>
        <w:t>Overall status: healthy / degraded</w:t>
      </w:r>
    </w:p>
    <w:p>
      <w:pPr>
        <w:pStyle w:val="ListBullet"/>
      </w:pPr>
      <w:r>
        <w:t>Component status: milvus, rag_engine, workflow_engine</w:t>
      </w:r>
    </w:p>
    <w:p>
      <w:pPr>
        <w:pStyle w:val="ListBullet"/>
      </w:pPr>
      <w:r>
        <w:t>Collection count and total vector count</w:t>
      </w:r>
    </w:p>
    <w:p>
      <w:pPr>
        <w:pStyle w:val="ListBullet"/>
      </w:pPr>
      <w:r>
        <w:t>Workflow count</w:t>
      </w:r>
    </w:p>
    <w:p>
      <w:pPr>
        <w:pStyle w:val="Heading2"/>
      </w:pPr>
      <w:r>
        <w:t>19.4 Concerns</w:t>
      </w:r>
    </w:p>
    <w:p>
      <w:pPr>
        <w:pStyle w:val="ListBullet"/>
      </w:pPr>
      <w:r>
        <w:t>No distributed tracing (OpenTelemetry)</w:t>
      </w:r>
    </w:p>
    <w:p>
      <w:pPr>
        <w:pStyle w:val="ListBullet"/>
      </w:pPr>
      <w:r>
        <w:t>No request-ID propagation for cross-agent debugging</w:t>
      </w:r>
    </w:p>
    <w:p>
      <w:pPr>
        <w:pStyle w:val="ListBullet"/>
      </w:pPr>
      <w:r>
        <w:t>No alerting integration (Prometheus + AlertManager recommended)</w:t>
      </w:r>
    </w:p>
    <w:p>
      <w:r/>
      <w:r>
        <w:rPr>
          <w:b/>
        </w:rPr>
        <w:t>Assessment:</w:t>
      </w:r>
      <w:r>
        <w:t xml:space="preserve"> CONDITIONAL PASS -- basic monitoring is in place. Production requires distributed tracing and alerting.</w:t>
      </w:r>
    </w:p>
    <w:p>
      <w:pPr>
        <w:pStyle w:val="Heading1"/>
      </w:pPr>
      <w:r>
        <w:t>20. Configuration Management</w:t>
      </w:r>
    </w:p>
    <w:p>
      <w:pPr>
        <w:pStyle w:val="Heading2"/>
      </w:pPr>
      <w:r>
        <w:t>20.1 Configuration Source</w:t>
      </w:r>
    </w:p>
    <w:p>
      <w:r>
        <w:t>Pydantic BaseSettings with layered configuration:</w:t>
      </w:r>
    </w:p>
    <w:p>
      <w:r>
        <w:t>1. Default values in `SingleCellSettings` class</w:t>
      </w:r>
    </w:p>
    <w:p>
      <w:r>
        <w:t>2. Environment variables with `SC_` prefix</w:t>
      </w:r>
    </w:p>
    <w:p>
      <w:r>
        <w:t>3. `.env` file support</w:t>
      </w:r>
    </w:p>
    <w:p>
      <w:pPr>
        <w:pStyle w:val="Heading2"/>
      </w:pPr>
      <w:r>
        <w:t>20.2 Key Configuration Parameters</w:t>
      </w:r>
    </w:p>
    <w:p>
      <w:r>
        <w:rPr>
          <w:sz w:val="18"/>
        </w:rPr>
        <w:t>| Parameter | Default | Env Var |</w:t>
      </w:r>
    </w:p>
    <w:p>
      <w:r>
        <w:rPr>
          <w:sz w:val="18"/>
        </w:rPr>
        <w:t>|-----------|---------|---------|</w:t>
      </w:r>
    </w:p>
    <w:p>
      <w:r>
        <w:rPr>
          <w:sz w:val="18"/>
        </w:rPr>
        <w:t>| MILVUS_HOST | localhost | SC_MILVUS_HOST |</w:t>
      </w:r>
    </w:p>
    <w:p>
      <w:r>
        <w:rPr>
          <w:sz w:val="18"/>
        </w:rPr>
        <w:t>| MILVUS_PORT | 19530 | SC_MILVUS_PORT |</w:t>
      </w:r>
    </w:p>
    <w:p>
      <w:r>
        <w:rPr>
          <w:sz w:val="18"/>
        </w:rPr>
        <w:t>| API_PORT | 8540 | SC_API_PORT |</w:t>
      </w:r>
    </w:p>
    <w:p>
      <w:r>
        <w:rPr>
          <w:sz w:val="18"/>
        </w:rPr>
        <w:t>| STREAMLIT_PORT | 8130 | SC_STREAMLIT_PORT |</w:t>
      </w:r>
    </w:p>
    <w:p>
      <w:r>
        <w:rPr>
          <w:sz w:val="18"/>
        </w:rPr>
        <w:t>| EMBEDDING_MODEL | BAAI/bge-small-en-v1.5 | SC_EMBEDDING_MODEL |</w:t>
      </w:r>
    </w:p>
    <w:p>
      <w:r>
        <w:rPr>
          <w:sz w:val="18"/>
        </w:rPr>
        <w:t>| LLM_MODEL | claude-sonnet-4-6 | SC_LLM_MODEL |</w:t>
      </w:r>
    </w:p>
    <w:p>
      <w:r>
        <w:rPr>
          <w:sz w:val="18"/>
        </w:rPr>
        <w:t>| SCORE_THRESHOLD | 0.4 | SC_SCORE_THRESHOLD |</w:t>
      </w:r>
    </w:p>
    <w:p>
      <w:r>
        <w:rPr>
          <w:sz w:val="18"/>
        </w:rPr>
        <w:t>| GPU_MEMORY_LIMIT_GB | 120 | SC_GPU_MEMORY_LIMIT_GB |</w:t>
      </w:r>
    </w:p>
    <w:p>
      <w:r>
        <w:rPr>
          <w:sz w:val="18"/>
        </w:rPr>
        <w:t>| MAX_REQUEST_SIZE_MB | 10 | SC_MAX_REQUEST_SIZE_MB |</w:t>
      </w:r>
    </w:p>
    <w:p>
      <w:r>
        <w:rPr>
          <w:sz w:val="18"/>
        </w:rPr>
        <w:t>| INGEST_SCHEDULE_HOURS | 24 | SC_INGEST_SCHEDULE_HOURS |</w:t>
      </w:r>
    </w:p>
    <w:p>
      <w:r>
        <w:rPr>
          <w:sz w:val="18"/>
        </w:rPr>
        <w:t>| CROSS_AGENT_TIMEOUT | 30 | SC_CROSS_AGENT_TIMEOUT |</w:t>
      </w:r>
    </w:p>
    <w:p>
      <w:pPr>
        <w:pStyle w:val="Heading2"/>
      </w:pPr>
      <w:r>
        <w:t>20.3 Startup Validation</w:t>
      </w:r>
    </w:p>
    <w:p>
      <w:r>
        <w:t>The `SingleCellSettings.validate()` method checks:</w:t>
      </w:r>
    </w:p>
    <w:p>
      <w:pPr>
        <w:pStyle w:val="ListBullet"/>
      </w:pPr>
      <w:r>
        <w:t>MILVUS_HOST is non-empty</w:t>
      </w:r>
    </w:p>
    <w:p>
      <w:pPr>
        <w:pStyle w:val="ListBullet"/>
      </w:pPr>
      <w:r>
        <w:t>MILVUS_PORT is in valid range (1-65535)</w:t>
      </w:r>
    </w:p>
    <w:p>
      <w:pPr>
        <w:pStyle w:val="ListBullet"/>
      </w:pPr>
      <w:r>
        <w:t>ANTHROPIC_API_KEY is set (warns if not)</w:t>
      </w:r>
    </w:p>
    <w:p>
      <w:pPr>
        <w:pStyle w:val="ListBullet"/>
      </w:pPr>
      <w:r>
        <w:t>EMBEDDING_MODEL is non-empty</w:t>
      </w:r>
    </w:p>
    <w:p>
      <w:pPr>
        <w:pStyle w:val="ListBullet"/>
      </w:pPr>
      <w:r>
        <w:t>API_PORT and STREAMLIT_PORT are valid and non-conflicting</w:t>
      </w:r>
    </w:p>
    <w:p>
      <w:pPr>
        <w:pStyle w:val="ListBullet"/>
      </w:pPr>
      <w:r>
        <w:t>Collection search weights sum to ~1.0 (tolerance 0.05)</w:t>
      </w:r>
    </w:p>
    <w:p>
      <w:r/>
      <w:r>
        <w:rPr>
          <w:b/>
        </w:rPr>
        <w:t>Assessment:</w:t>
      </w:r>
      <w:r>
        <w:t xml:space="preserve"> PASS -- configuration management is well-structured with validation.</w:t>
      </w:r>
    </w:p>
    <w:p>
      <w:pPr>
        <w:pStyle w:val="Heading1"/>
      </w:pPr>
      <w:r>
        <w:t>21. Error Handling and Resilience</w:t>
      </w:r>
    </w:p>
    <w:p>
      <w:pPr>
        <w:pStyle w:val="Heading2"/>
      </w:pPr>
      <w:r>
        <w:t>21.1 Error Handling Patterns</w:t>
      </w:r>
    </w:p>
    <w:p>
      <w:r>
        <w:rPr>
          <w:sz w:val="18"/>
        </w:rPr>
        <w:t>| Pattern | Implementation | Location |</w:t>
      </w:r>
    </w:p>
    <w:p>
      <w:r>
        <w:rPr>
          <w:sz w:val="18"/>
        </w:rPr>
        <w:t>|---------|---------------|----------|</w:t>
      </w:r>
    </w:p>
    <w:p>
      <w:r>
        <w:rPr>
          <w:sz w:val="18"/>
        </w:rPr>
        <w:t>| HTTP exception handler | Custom JSON response with agent name | api/main.py |</w:t>
      </w:r>
    </w:p>
    <w:p>
      <w:r>
        <w:rPr>
          <w:sz w:val="18"/>
        </w:rPr>
        <w:t>| General exception handler | 500 with error logging | api/main.py |</w:t>
      </w:r>
    </w:p>
    <w:p>
      <w:r>
        <w:rPr>
          <w:sz w:val="18"/>
        </w:rPr>
        <w:t>| Milvus connection failure | Graceful degradation, manager = None | api/main.py lifespan |</w:t>
      </w:r>
    </w:p>
    <w:p>
      <w:r>
        <w:rPr>
          <w:sz w:val="18"/>
        </w:rPr>
        <w:t>| Embedding model missing | embedder = None, search disabled | api/main.py lifespan |</w:t>
      </w:r>
    </w:p>
    <w:p>
      <w:r>
        <w:rPr>
          <w:sz w:val="18"/>
        </w:rPr>
        <w:t>| LLM unavailable | search-only mode | api/main.py lifespan |</w:t>
      </w:r>
    </w:p>
    <w:p>
      <w:r>
        <w:rPr>
          <w:sz w:val="18"/>
        </w:rPr>
        <w:t>| Cross-agent timeout | 30s timeout, return without enrichment | src/cross_modal.py |</w:t>
      </w:r>
    </w:p>
    <w:p>
      <w:r>
        <w:rPr>
          <w:sz w:val="18"/>
        </w:rPr>
        <w:t>| Invalid collection name | KeyError with valid collection list | src/collections.py |</w:t>
      </w:r>
    </w:p>
    <w:p>
      <w:r>
        <w:rPr>
          <w:sz w:val="18"/>
        </w:rPr>
        <w:t>| Insufficient gene overlap | Warning return with quality metrics | decision_support.py |</w:t>
      </w:r>
    </w:p>
    <w:p>
      <w:pPr>
        <w:pStyle w:val="Heading2"/>
      </w:pPr>
      <w:r>
        <w:t>21.2 Resilience Assessment</w:t>
      </w:r>
    </w:p>
    <w:p>
      <w:r>
        <w:rPr>
          <w:sz w:val="18"/>
        </w:rPr>
        <w:t>| Criterion | Status |</w:t>
      </w:r>
    </w:p>
    <w:p>
      <w:r>
        <w:rPr>
          <w:sz w:val="18"/>
        </w:rPr>
        <w:t>|-----------|--------|</w:t>
      </w:r>
    </w:p>
    <w:p>
      <w:r>
        <w:rPr>
          <w:sz w:val="18"/>
        </w:rPr>
        <w:t>| Graceful degradation | PASS |</w:t>
      </w:r>
    </w:p>
    <w:p>
      <w:r>
        <w:rPr>
          <w:sz w:val="18"/>
        </w:rPr>
        <w:t>| Component isolation | PASS |</w:t>
      </w:r>
    </w:p>
    <w:p>
      <w:r>
        <w:rPr>
          <w:sz w:val="18"/>
        </w:rPr>
        <w:t>| Error logging | PASS |</w:t>
      </w:r>
    </w:p>
    <w:p>
      <w:r>
        <w:rPr>
          <w:sz w:val="18"/>
        </w:rPr>
        <w:t>| No silent failures | PASS |</w:t>
      </w:r>
    </w:p>
    <w:p>
      <w:r>
        <w:rPr>
          <w:sz w:val="18"/>
        </w:rPr>
        <w:t>| Timeout handling | PARTIAL (no circuit breaker) |</w:t>
      </w:r>
    </w:p>
    <w:p>
      <w:r>
        <w:rPr>
          <w:sz w:val="18"/>
        </w:rPr>
        <w:t>| Retry with backoff | NOT IMPLEMENTED |</w:t>
      </w:r>
    </w:p>
    <w:p>
      <w:r/>
      <w:r>
        <w:rPr>
          <w:b/>
        </w:rPr>
        <w:t>Assessment:</w:t>
      </w:r>
      <w:r>
        <w:t xml:space="preserve"> CONDITIONAL PASS -- resilience is good for single-service deployment. Circuit breaker and retry patterns needed for distributed operation.</w:t>
      </w:r>
    </w:p>
    <w:p>
      <w:pPr>
        <w:pStyle w:val="Heading1"/>
      </w:pPr>
      <w:r>
        <w:t>22. Streamlit UI Assessment</w:t>
      </w:r>
    </w:p>
    <w:p>
      <w:pPr>
        <w:pStyle w:val="Heading2"/>
      </w:pPr>
      <w:r>
        <w:t>22.1 UI Features</w:t>
      </w:r>
    </w:p>
    <w:p>
      <w:r>
        <w:t>The Streamlit interface provides 5 tabs:</w:t>
      </w:r>
    </w:p>
    <w:p>
      <w:r>
        <w:t xml:space="preserve">1. </w:t>
      </w:r>
      <w:r>
        <w:rPr>
          <w:b/>
        </w:rPr>
        <w:t>Chat</w:t>
      </w:r>
      <w:r>
        <w:t xml:space="preserve"> -- RAG-powered Q&amp;A with conversation history</w:t>
      </w:r>
    </w:p>
    <w:p>
      <w:r>
        <w:t xml:space="preserve">2. </w:t>
      </w:r>
      <w:r>
        <w:rPr>
          <w:b/>
        </w:rPr>
        <w:t>TME Profiler</w:t>
      </w:r>
      <w:r>
        <w:t xml:space="preserve"> -- Interactive TME classification with cell proportion inputs</w:t>
      </w:r>
    </w:p>
    <w:p>
      <w:r>
        <w:t xml:space="preserve">3. </w:t>
      </w:r>
      <w:r>
        <w:rPr>
          <w:b/>
        </w:rPr>
        <w:t>Workflows</w:t>
      </w:r>
      <w:r>
        <w:t xml:space="preserve"> -- Workflow selection and execution</w:t>
      </w:r>
    </w:p>
    <w:p>
      <w:r>
        <w:t xml:space="preserve">4. </w:t>
      </w:r>
      <w:r>
        <w:rPr>
          <w:b/>
        </w:rPr>
        <w:t>Dashboard</w:t>
      </w:r>
      <w:r>
        <w:t xml:space="preserve"> -- Real-time health monitoring and metrics</w:t>
      </w:r>
    </w:p>
    <w:p>
      <w:r>
        <w:t xml:space="preserve">5. </w:t>
      </w:r>
      <w:r>
        <w:rPr>
          <w:b/>
        </w:rPr>
        <w:t>Reference</w:t>
      </w:r>
      <w:r>
        <w:t xml:space="preserve"> -- Cell type and marker gene catalogues</w:t>
      </w:r>
    </w:p>
    <w:p>
      <w:pPr>
        <w:pStyle w:val="Heading2"/>
      </w:pPr>
      <w:r>
        <w:t>22.2 Theming</w:t>
      </w:r>
    </w:p>
    <w:p>
      <w:pPr>
        <w:pStyle w:val="ListBullet"/>
      </w:pPr>
      <w:r>
        <w:t>NVIDIA dark theme with branded green accent (#76b900)</w:t>
      </w:r>
    </w:p>
    <w:p>
      <w:pPr>
        <w:pStyle w:val="ListBullet"/>
      </w:pPr>
      <w:r>
        <w:t>Custom CSS for consistent styling</w:t>
      </w:r>
    </w:p>
    <w:p>
      <w:pPr>
        <w:pStyle w:val="ListBullet"/>
      </w:pPr>
      <w:r>
        <w:t>Responsive layout using `st.columns()`</w:t>
      </w:r>
    </w:p>
    <w:p>
      <w:pPr>
        <w:pStyle w:val="Heading2"/>
      </w:pPr>
      <w:r>
        <w:t>22.3 UI Quality</w:t>
      </w:r>
    </w:p>
    <w:p>
      <w:r>
        <w:rPr>
          <w:sz w:val="18"/>
        </w:rPr>
        <w:t>| Criterion | Status |</w:t>
      </w:r>
    </w:p>
    <w:p>
      <w:r>
        <w:rPr>
          <w:sz w:val="18"/>
        </w:rPr>
        <w:t>|-----------|--------|</w:t>
      </w:r>
    </w:p>
    <w:p>
      <w:r>
        <w:rPr>
          <w:sz w:val="18"/>
        </w:rPr>
        <w:t>| All 10 workflows accessible | PASS |</w:t>
      </w:r>
    </w:p>
    <w:p>
      <w:r>
        <w:rPr>
          <w:sz w:val="18"/>
        </w:rPr>
        <w:t>| API integration | PASS (via SC_API_BASE) |</w:t>
      </w:r>
    </w:p>
    <w:p>
      <w:r>
        <w:rPr>
          <w:sz w:val="18"/>
        </w:rPr>
        <w:t>| Error messaging | PASS |</w:t>
      </w:r>
    </w:p>
    <w:p>
      <w:r>
        <w:rPr>
          <w:sz w:val="18"/>
        </w:rPr>
        <w:t>| Loading states | PASS |</w:t>
      </w:r>
    </w:p>
    <w:p>
      <w:r>
        <w:rPr>
          <w:sz w:val="18"/>
        </w:rPr>
        <w:t>| Theme consistency | PASS |</w:t>
      </w:r>
    </w:p>
    <w:p>
      <w:r/>
      <w:r>
        <w:rPr>
          <w:b/>
        </w:rPr>
        <w:t>Assessment:</w:t>
      </w:r>
      <w:r>
        <w:t xml:space="preserve"> PASS.</w:t>
      </w:r>
    </w:p>
    <w:p>
      <w:pPr>
        <w:pStyle w:val="Heading1"/>
      </w:pPr>
      <w:r>
        <w:t>23. Known Issues and Technical Debt</w:t>
      </w:r>
    </w:p>
    <w:p>
      <w:pPr>
        <w:pStyle w:val="Heading2"/>
      </w:pPr>
      <w:r>
        <w:t>23.1 Critical Issues</w:t>
      </w:r>
    </w:p>
    <w:p>
      <w:r>
        <w:rPr>
          <w:sz w:val="18"/>
        </w:rPr>
        <w:t>| # | Issue | Impact | Mitigation |</w:t>
      </w:r>
    </w:p>
    <w:p>
      <w:r>
        <w:rPr>
          <w:sz w:val="18"/>
        </w:rPr>
        <w:t>|---|-------|--------|-----------|</w:t>
      </w:r>
    </w:p>
    <w:p>
      <w:r>
        <w:rPr>
          <w:sz w:val="18"/>
        </w:rPr>
        <w:t>| 1 | Dual SCWorkflowType enum definitions | Type confusion, import ambiguity | Consolidate to single source in models.py |</w:t>
      </w:r>
    </w:p>
    <w:p>
      <w:r>
        <w:rPr>
          <w:sz w:val="18"/>
        </w:rPr>
        <w:t>| 2 | No circuit breaker for cross-agent calls | 30s timeout cascading under agent failure | Implement tenacity or pybreaker |</w:t>
      </w:r>
    </w:p>
    <w:p>
      <w:pPr>
        <w:pStyle w:val="Heading2"/>
      </w:pPr>
      <w:r>
        <w:t>23.2 High-Priority Issues</w:t>
      </w:r>
    </w:p>
    <w:p>
      <w:r>
        <w:rPr>
          <w:sz w:val="18"/>
        </w:rPr>
        <w:t>| # | Issue | Impact | Mitigation |</w:t>
      </w:r>
    </w:p>
    <w:p>
      <w:r>
        <w:rPr>
          <w:sz w:val="18"/>
        </w:rPr>
        <w:t>|---|-------|--------|-----------|</w:t>
      </w:r>
    </w:p>
    <w:p>
      <w:r>
        <w:rPr>
          <w:sz w:val="18"/>
        </w:rPr>
        <w:t>| 3 | Rate limiting is in-memory | Resets on restart, not shared across workers | Move to Redis-backed rate limiting |</w:t>
      </w:r>
    </w:p>
    <w:p>
      <w:r>
        <w:rPr>
          <w:sz w:val="18"/>
        </w:rPr>
        <w:t>| 4 | No request-ID tracing | Difficult cross-agent debugging | Add OpenTelemetry trace context |</w:t>
      </w:r>
    </w:p>
    <w:p>
      <w:r>
        <w:rPr>
          <w:sz w:val="18"/>
        </w:rPr>
        <w:t>| 5 | Ingest pipeline has no tests | Silent regressions in data loading | Add test_ingest.py |</w:t>
      </w:r>
    </w:p>
    <w:p>
      <w:r>
        <w:rPr>
          <w:sz w:val="18"/>
        </w:rPr>
        <w:t>| 6 | RAG engine test coverage is minimal | Core search logic undertested | Expand test_rag_engine.py |</w:t>
      </w:r>
    </w:p>
    <w:p>
      <w:r>
        <w:rPr>
          <w:sz w:val="18"/>
        </w:rPr>
        <w:t>| 7 | No schema migration strategy | Collection schema changes require drop/recreate | Implement migration versioning |</w:t>
      </w:r>
    </w:p>
    <w:p>
      <w:pPr>
        <w:pStyle w:val="Heading2"/>
      </w:pPr>
      <w:r>
        <w:t>23.3 Medium-Priority Issues</w:t>
      </w:r>
    </w:p>
    <w:p>
      <w:r>
        <w:rPr>
          <w:sz w:val="18"/>
        </w:rPr>
        <w:t>| # | Issue | Impact | Mitigation |</w:t>
      </w:r>
    </w:p>
    <w:p>
      <w:r>
        <w:rPr>
          <w:sz w:val="18"/>
        </w:rPr>
        <w:t>|---|-------|--------|-----------|</w:t>
      </w:r>
    </w:p>
    <w:p>
      <w:r>
        <w:rPr>
          <w:sz w:val="18"/>
        </w:rPr>
        <w:t>| 8 | RAPIDS/GPU acceleration not implemented | Missing 30-100x speedup for large datasets | Implement cuML integration |</w:t>
      </w:r>
    </w:p>
    <w:p>
      <w:r>
        <w:rPr>
          <w:sz w:val="18"/>
        </w:rPr>
        <w:t>| 9 | Foundation model integration not implemented | scGPT/Geneformer not available for inference | Add NIM endpoints |</w:t>
      </w:r>
    </w:p>
    <w:p>
      <w:r>
        <w:rPr>
          <w:sz w:val="18"/>
        </w:rPr>
        <w:t>| 10 | Conversation cleanup lacks scheduling | Disk space growth over time | Add TTL-based cleanup cron |</w:t>
      </w:r>
    </w:p>
    <w:p>
      <w:r>
        <w:rPr>
          <w:sz w:val="18"/>
        </w:rPr>
        <w:t>| 11 | Deconvolution engine is simplified | Not suitable for publication-grade analysis | Integrate CIBERSORTx |</w:t>
      </w:r>
    </w:p>
    <w:p>
      <w:r>
        <w:rPr>
          <w:sz w:val="18"/>
        </w:rPr>
        <w:t>| 12 | No A/B testing framework | Cannot compare model/prompt changes | Add experiment tracking |</w:t>
      </w:r>
    </w:p>
    <w:p>
      <w:pPr>
        <w:pStyle w:val="Heading2"/>
      </w:pPr>
      <w:r>
        <w:t>23.4 Low-Priority Issues</w:t>
      </w:r>
    </w:p>
    <w:p>
      <w:r>
        <w:rPr>
          <w:sz w:val="18"/>
        </w:rPr>
        <w:t>| # | Issue | Impact |</w:t>
      </w:r>
    </w:p>
    <w:p>
      <w:r>
        <w:rPr>
          <w:sz w:val="18"/>
        </w:rPr>
        <w:t>|---|-------|--------|</w:t>
      </w:r>
    </w:p>
    <w:p>
      <w:r>
        <w:rPr>
          <w:sz w:val="18"/>
        </w:rPr>
        <w:t>| 13 | No DOCX template customization | Reports use default styling |</w:t>
      </w:r>
    </w:p>
    <w:p>
      <w:r>
        <w:rPr>
          <w:sz w:val="18"/>
        </w:rPr>
        <w:t>| 14 | No batch query endpoint | Single-query only |</w:t>
      </w:r>
    </w:p>
    <w:p>
      <w:r>
        <w:rPr>
          <w:sz w:val="18"/>
        </w:rPr>
        <w:t>| 15 | No webhook/callback support | Polling required for long workflows |</w:t>
      </w:r>
    </w:p>
    <w:p>
      <w:pPr>
        <w:pStyle w:val="Heading1"/>
      </w:pPr>
      <w:r>
        <w:t>24. Risk Register</w:t>
      </w:r>
    </w:p>
    <w:p>
      <w:r>
        <w:rPr>
          <w:sz w:val="18"/>
        </w:rPr>
        <w:t>| Risk | Probability | Impact | Mitigation |</w:t>
      </w:r>
    </w:p>
    <w:p>
      <w:r>
        <w:rPr>
          <w:sz w:val="18"/>
        </w:rPr>
        <w:t>|------|------------|--------|-----------|</w:t>
      </w:r>
    </w:p>
    <w:p>
      <w:r>
        <w:rPr>
          <w:sz w:val="18"/>
        </w:rPr>
        <w:t>| LLM API outage | Medium | High -- no synthesis capability | Search-only fallback implemented |</w:t>
      </w:r>
    </w:p>
    <w:p>
      <w:r>
        <w:rPr>
          <w:sz w:val="18"/>
        </w:rPr>
        <w:t>| Milvus data corruption | Low | Critical -- all search disabled | Regular backup schedule, replicated deployment |</w:t>
      </w:r>
    </w:p>
    <w:p>
      <w:r>
        <w:rPr>
          <w:sz w:val="18"/>
        </w:rPr>
        <w:t>| Embedding model drift | Low | Medium -- search quality degradation | Version-pinned model, periodic evaluation |</w:t>
      </w:r>
    </w:p>
    <w:p>
      <w:r>
        <w:rPr>
          <w:sz w:val="18"/>
        </w:rPr>
        <w:t>| Cross-agent cascade failure | Medium | Medium -- degraded but functional | Circuit breaker (not yet implemented) |</w:t>
      </w:r>
    </w:p>
    <w:p>
      <w:r>
        <w:rPr>
          <w:sz w:val="18"/>
        </w:rPr>
        <w:t>| API key exposure | Low | High -- unauthorized access | Environment variable injection, no hardcoded keys |</w:t>
      </w:r>
    </w:p>
    <w:p>
      <w:r>
        <w:rPr>
          <w:sz w:val="18"/>
        </w:rPr>
        <w:t>| Knowledge base staleness | Medium | Medium -- outdated recommendations | Scheduled ingest (configurable interval) |</w:t>
      </w:r>
    </w:p>
    <w:p>
      <w:r>
        <w:rPr>
          <w:sz w:val="18"/>
        </w:rPr>
        <w:t>| Rate limit bypass | Low | Medium -- resource exhaustion | Upgrade to Redis-backed rate limiting |</w:t>
      </w:r>
    </w:p>
    <w:p>
      <w:pPr>
        <w:pStyle w:val="Heading1"/>
      </w:pPr>
      <w:r>
        <w:t>25. Go/No-Go Recommendation</w:t>
      </w:r>
    </w:p>
    <w:p>
      <w:pPr>
        <w:pStyle w:val="Heading2"/>
      </w:pPr>
      <w:r>
        <w:t>25.1 Summary Scores</w:t>
      </w:r>
    </w:p>
    <w:p>
      <w:r>
        <w:rPr>
          <w:sz w:val="18"/>
        </w:rPr>
        <w:t>| Category | Score | Status |</w:t>
      </w:r>
    </w:p>
    <w:p>
      <w:r>
        <w:rPr>
          <w:sz w:val="18"/>
        </w:rPr>
        <w:t>|----------|-------|--------|</w:t>
      </w:r>
    </w:p>
    <w:p>
      <w:r>
        <w:rPr>
          <w:sz w:val="18"/>
        </w:rPr>
        <w:t>| Architecture | 9/10 | PASS |</w:t>
      </w:r>
    </w:p>
    <w:p>
      <w:r>
        <w:rPr>
          <w:sz w:val="18"/>
        </w:rPr>
        <w:t>| Data model | 9/10 | PASS |</w:t>
      </w:r>
    </w:p>
    <w:p>
      <w:r>
        <w:rPr>
          <w:sz w:val="18"/>
        </w:rPr>
        <w:t>| API surface | 8/10 | PASS |</w:t>
      </w:r>
    </w:p>
    <w:p>
      <w:r>
        <w:rPr>
          <w:sz w:val="18"/>
        </w:rPr>
        <w:t>| Knowledge base | 9/10 | PASS |</w:t>
      </w:r>
    </w:p>
    <w:p>
      <w:r>
        <w:rPr>
          <w:sz w:val="18"/>
        </w:rPr>
        <w:t>| Decision support | 9/10 | PASS |</w:t>
      </w:r>
    </w:p>
    <w:p>
      <w:r>
        <w:rPr>
          <w:sz w:val="18"/>
        </w:rPr>
        <w:t>| Workflow engine | 8/10 | PASS |</w:t>
      </w:r>
    </w:p>
    <w:p>
      <w:r>
        <w:rPr>
          <w:sz w:val="18"/>
        </w:rPr>
        <w:t>| Container infrastructure | 9/10 | PASS |</w:t>
      </w:r>
    </w:p>
    <w:p>
      <w:r>
        <w:rPr>
          <w:sz w:val="18"/>
        </w:rPr>
        <w:t>| Security | 6/10 | CONDITIONAL |</w:t>
      </w:r>
    </w:p>
    <w:p>
      <w:r>
        <w:rPr>
          <w:sz w:val="18"/>
        </w:rPr>
        <w:t>| Test coverage | 6/10 | CONDITIONAL |</w:t>
      </w:r>
    </w:p>
    <w:p>
      <w:r>
        <w:rPr>
          <w:sz w:val="18"/>
        </w:rPr>
        <w:t>| Monitoring | 6/10 | CONDITIONAL |</w:t>
      </w:r>
    </w:p>
    <w:p>
      <w:r>
        <w:rPr>
          <w:sz w:val="18"/>
        </w:rPr>
        <w:t>| GPU acceleration | 4/10 | NOT READY |</w:t>
      </w:r>
    </w:p>
    <w:p>
      <w:r>
        <w:rPr>
          <w:sz w:val="18"/>
        </w:rPr>
        <w:t>| Cross-agent integration | 6/10 | CONDITIONAL |</w:t>
      </w:r>
    </w:p>
    <w:p>
      <w:r>
        <w:rPr>
          <w:sz w:val="18"/>
        </w:rPr>
        <w:t>| **Overall** | **7.4/10** | **CONDITIONAL PASS** |</w:t>
      </w:r>
    </w:p>
    <w:p>
      <w:pPr>
        <w:pStyle w:val="Heading1"/>
      </w:pPr>
      <w:r>
        <w:t>Appendix A: Complete Cell Type Atlas (44 entries)</w:t>
      </w:r>
    </w:p>
    <w:p>
      <w:r>
        <w:t>The knowledge base contains 44 cell types sourced from the Human Cell Atlas, Cell Ontology, CellMarker 2.0, Tabula Sapiens, and PanglaoDB.</w:t>
      </w:r>
    </w:p>
    <w:p>
      <w:r>
        <w:rPr>
          <w:sz w:val="18"/>
        </w:rPr>
        <w:t>| # | Cell Type | Cell Ontology ID | Canonical Markers | Tissues |</w:t>
      </w:r>
    </w:p>
    <w:p>
      <w:r>
        <w:rPr>
          <w:sz w:val="18"/>
        </w:rPr>
        <w:t>|---|-----------|-----------------|-------------------|---------|</w:t>
      </w:r>
    </w:p>
    <w:p>
      <w:r>
        <w:rPr>
          <w:sz w:val="18"/>
        </w:rPr>
        <w:t>| 1 | T cell | CL:0000084 | CD3D, CD3E, CD3G, CD2, TRAC | blood, lymph node, spleen, thymus, bone marrow, tumor, gut, lung, skin |</w:t>
      </w:r>
    </w:p>
    <w:p>
      <w:r>
        <w:rPr>
          <w:sz w:val="18"/>
        </w:rPr>
        <w:t>| 2 | CD8+ T cell | CL:0000625 | CD8A, CD8B, GZMB, PRF1, IFNG | blood, lymph node, spleen, tumor, lung, liver |</w:t>
      </w:r>
    </w:p>
    <w:p>
      <w:r>
        <w:rPr>
          <w:sz w:val="18"/>
        </w:rPr>
        <w:t>| 3 | CD4+ T cell | CL:0000624 | CD4, IL7R, TCF7, LEF1, CCR7 | blood, lymph node, spleen, thymus, gut, tumor |</w:t>
      </w:r>
    </w:p>
    <w:p>
      <w:r>
        <w:rPr>
          <w:sz w:val="18"/>
        </w:rPr>
        <w:t>| 4 | Regulatory T cell | CL:0000815 | FOXP3, IL2RA, CTLA4, IKZF2, TNFRSF18 | blood, lymph node, spleen, tumor, gut, skin, adipose |</w:t>
      </w:r>
    </w:p>
    <w:p>
      <w:r>
        <w:rPr>
          <w:sz w:val="18"/>
        </w:rPr>
        <w:t>| 5 | Gamma-delta T cell | CL:0000798 | TRGC1, TRGC2, TRDC, TRDV2, NKG7 | blood, skin, gut, lung, liver |</w:t>
      </w:r>
    </w:p>
    <w:p>
      <w:r>
        <w:rPr>
          <w:sz w:val="18"/>
        </w:rPr>
        <w:t>| 6 | B cell | CL:0000236 | CD19, MS4A1, CD79A, CD79B, PAX5 | blood, lymph node, spleen, bone marrow, tumor, tonsil, gut |</w:t>
      </w:r>
    </w:p>
    <w:p>
      <w:r>
        <w:rPr>
          <w:sz w:val="18"/>
        </w:rPr>
        <w:t>| 7 | Plasma cell | CL:0000786 | SDC1, MZB1, XBP1, JCHAIN, IGHG1 | bone marrow, lymph node, spleen, gut, tumor |</w:t>
      </w:r>
    </w:p>
    <w:p>
      <w:r>
        <w:rPr>
          <w:sz w:val="18"/>
        </w:rPr>
        <w:t>| 8 | NK cell | CL:0000623 | KLRD1, NKG7, NCAM1, KLRF1, GNLY | blood, spleen, liver, lung, tumor, uterus |</w:t>
      </w:r>
    </w:p>
    <w:p>
      <w:r>
        <w:rPr>
          <w:sz w:val="18"/>
        </w:rPr>
        <w:t>| 9 | Monocyte | CL:0000576 | CD14, LYZ, S100A9, VCAN, FCN1 | blood, bone marrow, spleen |</w:t>
      </w:r>
    </w:p>
    <w:p>
      <w:r>
        <w:rPr>
          <w:sz w:val="18"/>
        </w:rPr>
        <w:t>| 10 | Macrophage | CL:0000235 | CD68, MARCO, CSF1R, MRC1, MSR1 | lung, liver, spleen, brain, bone, gut, adipose, tumor |</w:t>
      </w:r>
    </w:p>
    <w:p>
      <w:r>
        <w:rPr>
          <w:sz w:val="18"/>
        </w:rPr>
        <w:t>| 11 | Dendritic cell | CL:0000451 | CLEC9A, CD1C, FCER1A, BATF3, IRF8 | blood, lymph node, skin, lung, gut, tumor |</w:t>
      </w:r>
    </w:p>
    <w:p>
      <w:r>
        <w:rPr>
          <w:sz w:val="18"/>
        </w:rPr>
        <w:t>| 12 | Plasmacytoid DC | CL:0000784 | CLEC4C, IL3RA, TCF4, IRF7, LILRA4 | blood, lymph node, bone marrow, tumor |</w:t>
      </w:r>
    </w:p>
    <w:p>
      <w:r>
        <w:rPr>
          <w:sz w:val="18"/>
        </w:rPr>
        <w:t>| 13 | cDC1 | CL:0002394 | CLEC9A, XCR1, BATF3, IRF8, THBD | lymph node, spleen, lung, tumor, skin |</w:t>
      </w:r>
    </w:p>
    <w:p>
      <w:r>
        <w:rPr>
          <w:sz w:val="18"/>
        </w:rPr>
        <w:t>| 14 | cDC2 | CL:0002399 | CD1C, FCER1A, CLEC10A, IRF4, ITGAX | blood, lymph node, skin, lung, gut, tumor |</w:t>
      </w:r>
    </w:p>
    <w:p>
      <w:r>
        <w:rPr>
          <w:sz w:val="18"/>
        </w:rPr>
        <w:t>| 15 | Neutrophil | CL:0000775 | CSF3R, S100A8, S100A12, CXCR2, FCGR3B | blood, bone marrow, spleen, tumor, lung, gut |</w:t>
      </w:r>
    </w:p>
    <w:p>
      <w:r>
        <w:rPr>
          <w:sz w:val="18"/>
        </w:rPr>
        <w:t>| 16 | Mast cell | CL:0000097 | KIT, CPA3, TPSAB1, TPSB2, HDC | skin, gut, lung, connective tissue, tumor |</w:t>
      </w:r>
    </w:p>
    <w:p>
      <w:r>
        <w:rPr>
          <w:sz w:val="18"/>
        </w:rPr>
        <w:t>| 17 | Basophil | CL:0000767 | CLC, GATA2, HDC, IL4, CCR3 | blood, bone marrow |</w:t>
      </w:r>
    </w:p>
    <w:p>
      <w:r>
        <w:rPr>
          <w:sz w:val="18"/>
        </w:rPr>
        <w:t>| 18 | Eosinophil | CL:0000771 | CCR3, SIGLEC8, EPX, PRG2, CLC | blood, bone marrow, gut, lung, skin |</w:t>
      </w:r>
    </w:p>
    <w:p>
      <w:r>
        <w:rPr>
          <w:sz w:val="18"/>
        </w:rPr>
        <w:t>| 19 | Fibroblast | CL:0000057 | COL1A1, DCN, LUM, VIM, PDGFRA | skin, lung, heart, liver, gut, tumor, connective tissue |</w:t>
      </w:r>
    </w:p>
    <w:p>
      <w:r>
        <w:rPr>
          <w:sz w:val="18"/>
        </w:rPr>
        <w:t>| 20 | Endothelial cell | CL:0000115 | PECAM1, VWF, CDH5, ERG, KDR | blood vessel, heart, lung, liver, brain, kidney, tumor |</w:t>
      </w:r>
    </w:p>
    <w:p>
      <w:r>
        <w:rPr>
          <w:sz w:val="18"/>
        </w:rPr>
        <w:t>| 21 | Epithelial cell | CL:0000066 | EPCAM, KRT18, KRT19, CDH1, KRT8 | skin, gut, lung, kidney, liver, breast, prostate, pancreas |</w:t>
      </w:r>
    </w:p>
    <w:p>
      <w:r>
        <w:rPr>
          <w:sz w:val="18"/>
        </w:rPr>
        <w:t>| 22 | Hepatocyte | CL:0000182 | ALB, APOB, CYP3A4, HNF4A, SERPINA1 | liver |</w:t>
      </w:r>
    </w:p>
    <w:p>
      <w:r>
        <w:rPr>
          <w:sz w:val="18"/>
        </w:rPr>
        <w:t>| 23 | Neuron | CL:0000540 | MAP2, RBFOX3, SYP, SNAP25, NEFL | brain, spinal cord, peripheral nerve, retina, enteric NS |</w:t>
      </w:r>
    </w:p>
    <w:p>
      <w:r>
        <w:rPr>
          <w:sz w:val="18"/>
        </w:rPr>
        <w:t>| 24 | Astrocyte | CL:0000127 | GFAP, AQP4, S100B, SLC1A3, ALDH1L1 | brain, spinal cord, retina |</w:t>
      </w:r>
    </w:p>
    <w:p>
      <w:r>
        <w:rPr>
          <w:sz w:val="18"/>
        </w:rPr>
        <w:t>| 25 | Oligodendrocyte | CL:0000128 | MBP, PLP1, MOG, MAG, OLIG2 | brain, spinal cord |</w:t>
      </w:r>
    </w:p>
    <w:p>
      <w:r>
        <w:rPr>
          <w:sz w:val="18"/>
        </w:rPr>
        <w:t>| 26 | Microglia | CL:0000129 | CX3CR1, P2RY12, TMEM119, AIF1, ITGAM | brain, spinal cord, retina |</w:t>
      </w:r>
    </w:p>
    <w:p>
      <w:r>
        <w:rPr>
          <w:sz w:val="18"/>
        </w:rPr>
        <w:t>| 27 | Cardiomyocyte | CL:0000746 | TNNT2, MYH6, MYH7, ACTC1, MYL2 | heart |</w:t>
      </w:r>
    </w:p>
    <w:p>
      <w:r>
        <w:rPr>
          <w:sz w:val="18"/>
        </w:rPr>
        <w:t>| 28 | Smooth muscle cell | CL:0000192 | ACTA2, MYH11, TAGLN, CNN1, DES | blood vessel, gut, bladder, uterus, airway |</w:t>
      </w:r>
    </w:p>
    <w:p>
      <w:r>
        <w:rPr>
          <w:sz w:val="18"/>
        </w:rPr>
        <w:t>| 29 | Adipocyte | CL:0000136 | ADIPOQ, FABP4, LEP, PPARG, PLIN1 | adipose tissue, bone marrow, breast |</w:t>
      </w:r>
    </w:p>
    <w:p>
      <w:r>
        <w:rPr>
          <w:sz w:val="18"/>
        </w:rPr>
        <w:t>| 30 | Pericyte | CL:0000669 | PDGFRB, CSPG4, RGS5, NOTCH3, ACTA2 | brain, lung, kidney, retina, muscle |</w:t>
      </w:r>
    </w:p>
    <w:p>
      <w:r>
        <w:rPr>
          <w:sz w:val="18"/>
        </w:rPr>
        <w:t>| 31 | Mesenchymal stem cell | CL:0000134 | ENG, THY1, NT5E, ITGB1, ALCAM | bone marrow, adipose, umbilical cord, dental pulp |</w:t>
      </w:r>
    </w:p>
    <w:p>
      <w:r>
        <w:rPr>
          <w:sz w:val="18"/>
        </w:rPr>
        <w:t>| 32 | HSC | CL:0000037 | CD34, KIT, THY1, PROM1, CRHBP | bone marrow, fetal liver, umbilical cord blood |</w:t>
      </w:r>
    </w:p>
    <w:p>
      <w:r>
        <w:rPr>
          <w:sz w:val="18"/>
        </w:rPr>
        <w:t>| 33 | Erythrocyte precursor | CL:0000764 | GYPA, HBB, HBA1, KLF1, TFRC | bone marrow, fetal liver |</w:t>
      </w:r>
    </w:p>
    <w:p>
      <w:r>
        <w:rPr>
          <w:sz w:val="18"/>
        </w:rPr>
        <w:t>| 34 | Megakaryocyte | CL:0000556 | ITGA2B, GP9, PF4, PPBP, TUBB1 | bone marrow, lung |</w:t>
      </w:r>
    </w:p>
    <w:p>
      <w:r>
        <w:rPr>
          <w:sz w:val="18"/>
        </w:rPr>
        <w:t>| 35 | ILC1 | CL:0001069 | TBX21, IFNG, IL12RB2, NCR1, EOMES | gut, liver, uterus, salivary gland |</w:t>
      </w:r>
    </w:p>
    <w:p>
      <w:r>
        <w:rPr>
          <w:sz w:val="18"/>
        </w:rPr>
        <w:t>| 36 | ILC2 | CL:0001070 | GATA3, IL13, IL5, IL33R, KLRG1 | lung, gut, skin, adipose tissue |</w:t>
      </w:r>
    </w:p>
    <w:p>
      <w:r>
        <w:rPr>
          <w:sz w:val="18"/>
        </w:rPr>
        <w:t>| 37 | ILC3 | CL:0001071 | RORC, IL17A, IL22, NCR1, AHR | gut, lung, skin, tonsil |</w:t>
      </w:r>
    </w:p>
    <w:p>
      <w:r>
        <w:rPr>
          <w:sz w:val="18"/>
        </w:rPr>
        <w:t>| 38 | Gamma-delta T (Vg9Vd2) | CL:0000798 | TRGV9, TRDV2, NKG7, TRDC, GNLY | blood, skin, gut, lung, liver, tumor |</w:t>
      </w:r>
    </w:p>
    <w:p>
      <w:r>
        <w:rPr>
          <w:sz w:val="18"/>
        </w:rPr>
        <w:t>| 39 | MAIT cell | CL:0000940 | TRAV1-2, SLC4A10, KLRB1, IL18R1, ZBTB16 | blood, liver, gut, lung |</w:t>
      </w:r>
    </w:p>
    <w:p>
      <w:r>
        <w:rPr>
          <w:sz w:val="18"/>
        </w:rPr>
        <w:t>| 40 | Erythroid progenitor | CL:0000764 | GYPA, KLF1, HBB, HBA1, TFRC | bone marrow, fetal liver |</w:t>
      </w:r>
    </w:p>
    <w:p>
      <w:r>
        <w:rPr>
          <w:sz w:val="18"/>
        </w:rPr>
        <w:t>| 41 | Schwann cell | CL:0002573 | MPZ, PMP22, SOX10, MBP, EGR2 | peripheral nerve, skin, gut |</w:t>
      </w:r>
    </w:p>
    <w:p>
      <w:r>
        <w:rPr>
          <w:sz w:val="18"/>
        </w:rPr>
        <w:t>| 42 | Podocyte | CL:0000653 | NPHS1, NPHS2, WT1, SYNPO, PODXL | kidney |</w:t>
      </w:r>
    </w:p>
    <w:p>
      <w:r>
        <w:rPr>
          <w:sz w:val="18"/>
        </w:rPr>
        <w:t>| 43 | Goblet cell | CL:0000160 | MUC2, TFF3, SPDEF, FCGBP, CLCA1 | gut, lung, conjunctiva |</w:t>
      </w:r>
    </w:p>
    <w:p>
      <w:r>
        <w:rPr>
          <w:sz w:val="18"/>
        </w:rPr>
        <w:t>| 44 | pDC (duplicate marker set) | CL:0000784 | CLEC4C, IL3RA, IRF7, TCF4, LILRA4 | blood, lymph node, bone marrow, tumor |</w:t>
      </w:r>
    </w:p>
    <w:p>
      <w:pPr>
        <w:pStyle w:val="Heading1"/>
      </w:pPr>
      <w:r>
        <w:t>Appendix B: Complete Drug Sensitivity Database (30 drugs)</w:t>
      </w:r>
    </w:p>
    <w:p>
      <w:r>
        <w:t>All 30 compounds in `DRUG_SENSITIVITY_DATABASE` with mechanisms, targets, and key clinical trials.</w:t>
      </w:r>
    </w:p>
    <w:p>
      <w:r>
        <w:rPr>
          <w:sz w:val="18"/>
        </w:rPr>
        <w:t>| # | Drug | Target | Mechanism | Sensitive Cell Types | Key Trial |</w:t>
      </w:r>
    </w:p>
    <w:p>
      <w:r>
        <w:rPr>
          <w:sz w:val="18"/>
        </w:rPr>
        <w:t>|---|------|--------|-----------|---------------------|-----------|</w:t>
      </w:r>
    </w:p>
    <w:p>
      <w:r>
        <w:rPr>
          <w:sz w:val="18"/>
        </w:rPr>
        <w:t>| 1 | Pembrolizumab | PD-1 | Anti-PD-1 checkpoint inhibitor restoring T-cell anti-tumor activity | CD8_T, CD4_T, NK | KEYNOTE-024 |</w:t>
      </w:r>
    </w:p>
    <w:p>
      <w:r>
        <w:rPr>
          <w:sz w:val="18"/>
        </w:rPr>
        <w:t>| 2 | Nivolumab | PD-1 | Anti-PD-1 monoclonal antibody restoring anti-tumor T-cell function | CD8_T, CD4_T, NK | CheckMate 067 |</w:t>
      </w:r>
    </w:p>
    <w:p>
      <w:r>
        <w:rPr>
          <w:sz w:val="18"/>
        </w:rPr>
        <w:t>| 3 | Ipilimumab | CTLA-4 | Anti-CTLA-4 antibody enhancing T-cell activation | CD4_T, CD8_T | CheckMate 067 |</w:t>
      </w:r>
    </w:p>
    <w:p>
      <w:r>
        <w:rPr>
          <w:sz w:val="18"/>
        </w:rPr>
        <w:t>| 4 | Atezolizumab | PD-L1 | Anti-PD-L1 antibody preventing PD-L1 engagement with PD-1 and B7.1 | CD8_T, CD4_T | IMvigor210 |</w:t>
      </w:r>
    </w:p>
    <w:p>
      <w:r>
        <w:rPr>
          <w:sz w:val="18"/>
        </w:rPr>
        <w:t>| 5 | Rituximab | CD20 | Anti-CD20 depleting B cells via ADCC, CDC, and direct apoptosis | B_cell, germinal_center_B | GELA-LNH98.5 |</w:t>
      </w:r>
    </w:p>
    <w:p>
      <w:r>
        <w:rPr>
          <w:sz w:val="18"/>
        </w:rPr>
        <w:t>| 6 | Venetoclax | BCL-2 | BH3 mimetic inhibiting BCL-2 to trigger mitochondrial apoptosis | B_cell, CLL_cell, AML_blast | MURANO |</w:t>
      </w:r>
    </w:p>
    <w:p>
      <w:r>
        <w:rPr>
          <w:sz w:val="18"/>
        </w:rPr>
        <w:t>| 7 | Ibrutinib | BTK | Bruton's tyrosine kinase inhibitor blocking BCR signaling | B_cell, CLL_cell, MCL_cell | RESONATE |</w:t>
      </w:r>
    </w:p>
    <w:p>
      <w:r>
        <w:rPr>
          <w:sz w:val="18"/>
        </w:rPr>
        <w:t>| 8 | Trastuzumab | HER2 | Anti-HER2 antibody blocking HER2 signaling, inducing ADCC | HER2_positive_epithelial | HERA |</w:t>
      </w:r>
    </w:p>
    <w:p>
      <w:r>
        <w:rPr>
          <w:sz w:val="18"/>
        </w:rPr>
        <w:t>| 9 | Erlotinib | EGFR | EGFR TKI blocking proliferative signaling in EGFR-mutant tumors | EGFR_mutant_epithelial | EURTAC |</w:t>
      </w:r>
    </w:p>
    <w:p>
      <w:r>
        <w:rPr>
          <w:sz w:val="18"/>
        </w:rPr>
        <w:t>| 10 | Osimertinib | EGFR (T790M) | Third-generation EGFR TKI targeting T790M resistance mutation | EGFR_mutant, T790M_mutant | FLAURA |</w:t>
      </w:r>
    </w:p>
    <w:p>
      <w:r>
        <w:rPr>
          <w:sz w:val="18"/>
        </w:rPr>
        <w:t>| 11 | Imatinib | BCR-ABL / KIT / PDGFR | Multi-kinase inhibitor targeting BCR-ABL, KIT, PDGFR | CML_blast, GIST_cell | IRIS |</w:t>
      </w:r>
    </w:p>
    <w:p>
      <w:r>
        <w:rPr>
          <w:sz w:val="18"/>
        </w:rPr>
        <w:t>| 12 | Bortezomib | Proteasome (26S) | Proteasome inhibitor causing ER stress-mediated apoptosis | Plasma, myeloma_cell | VISTA |</w:t>
      </w:r>
    </w:p>
    <w:p>
      <w:r>
        <w:rPr>
          <w:sz w:val="18"/>
        </w:rPr>
        <w:t>| 13 | Lenalidomide | Cereblon (CRBN) | IMiD promoting degradation of Ikaros/Aiolos, enhancing NK/T-cell function | myeloma_cell, B_cell, del5q_MDS | POLLUX |</w:t>
      </w:r>
    </w:p>
    <w:p>
      <w:r>
        <w:rPr>
          <w:sz w:val="18"/>
        </w:rPr>
        <w:t>| 14 | Azacitidine | DNMT | Hypomethylating agent re-expressing silenced tumor suppressors | AML_blast, MDS_blast, HSC | AZA-001 |</w:t>
      </w:r>
    </w:p>
    <w:p>
      <w:r>
        <w:rPr>
          <w:sz w:val="18"/>
        </w:rPr>
        <w:t>| 15 | Cytarabine | DNA polymerase | Nucleoside analog inhibiting DNA synthesis during S-phase | AML_blast, ALL_blast | MRC AML |</w:t>
      </w:r>
    </w:p>
    <w:p>
      <w:r>
        <w:rPr>
          <w:sz w:val="18"/>
        </w:rPr>
        <w:t>| 16 | Dexamethasone | Glucocorticoid receptor | Corticosteroid inducing apoptosis in lymphoid cells | B_cell, T_cell, myeloma_cell | ECOG E4A02 |</w:t>
      </w:r>
    </w:p>
    <w:p>
      <w:r>
        <w:rPr>
          <w:sz w:val="18"/>
        </w:rPr>
        <w:t>| 17 | Daratumumab | CD38 | Anti-CD38 antibody inducing ADCC, CDC, and phagocytosis | myeloma_cell, Plasma | MAIA |</w:t>
      </w:r>
    </w:p>
    <w:p>
      <w:r>
        <w:rPr>
          <w:sz w:val="18"/>
        </w:rPr>
        <w:t>| 18 | Sotorasib | KRAS G12C | Covalent inhibitor locking KRAS G12C in inactive GDP-bound state | KRAS_G12C_epithelial | CodeBreaK 100 |</w:t>
      </w:r>
    </w:p>
    <w:p>
      <w:r>
        <w:rPr>
          <w:sz w:val="18"/>
        </w:rPr>
        <w:t>| 19 | Enfortumab vedotin | Nectin-4 (ADC) | ADC targeting Nectin-4 delivering MMAE to tumor cells | urothelial_epithelial | EV-301 |</w:t>
      </w:r>
    </w:p>
    <w:p>
      <w:r>
        <w:rPr>
          <w:sz w:val="18"/>
        </w:rPr>
        <w:t>| 20 | Sacituzumab govitecan | Trop-2 (ADC) | ADC targeting Trop-2 with SN-38 payload for DNA damage | TNBC_epithelial | ASCENT |</w:t>
      </w:r>
    </w:p>
    <w:p>
      <w:r>
        <w:rPr>
          <w:sz w:val="18"/>
        </w:rPr>
        <w:t>| 21 | Bispecific T-cell engager | CD3 x tumor antigen | Bispecific antibody redirecting T cells to tumor cells | CD8_T, CD4_T | ELREXFIO |</w:t>
      </w:r>
    </w:p>
    <w:p>
      <w:r>
        <w:rPr>
          <w:sz w:val="18"/>
        </w:rPr>
        <w:t>| 22 | CAR-T therapy | CD19 / BCMA / other | Autologous T cells with chimeric antigen receptor | B_cell, myeloma_cell, ALL_blast | ZUMA-1 |</w:t>
      </w:r>
    </w:p>
    <w:p>
      <w:r>
        <w:rPr>
          <w:sz w:val="18"/>
        </w:rPr>
        <w:t>| 23 | Adagrasib | KRAS G12C | Second-gen covalent KRAS G12C inhibitor with CNS penetration | KRAS_G12C_epithelial | KRYSTAL-1 |</w:t>
      </w:r>
    </w:p>
    <w:p>
      <w:r>
        <w:rPr>
          <w:sz w:val="18"/>
        </w:rPr>
        <w:t>| 24 | Trastuzumab deruxtecan | HER2 (ADC) | HER2-directed ADC with topoisomerase I inhibitor payload | HER2_positive, HER2_low | DESTINY-Breast03 |</w:t>
      </w:r>
    </w:p>
    <w:p>
      <w:r>
        <w:rPr>
          <w:sz w:val="18"/>
        </w:rPr>
        <w:t>| 25 | Belantamab mafodotin | BCMA (ADC) | BCMA-directed ADC delivering MMAF to myeloma plasma cells | myeloma_cell, Plasma | DREAMM-2 |</w:t>
      </w:r>
    </w:p>
    <w:p>
      <w:r>
        <w:rPr>
          <w:sz w:val="18"/>
        </w:rPr>
        <w:t>| 26 | Bispecific teclistamab | BCMA x CD3 | Bispecific antibody redirecting T cells to BCMA+ myeloma cells | CD8_T, CD4_T | MajesTEC-1 |</w:t>
      </w:r>
    </w:p>
    <w:p>
      <w:r>
        <w:rPr>
          <w:sz w:val="18"/>
        </w:rPr>
        <w:t>| 27 | Tarlatamab | DLL3 x CD3 | DLL3-targeted BiTE for neuroendocrine tumor cells in SCLC | SCLC_neuroendocrine, CD8_T | DeLLphi-301 |</w:t>
      </w:r>
    </w:p>
    <w:p>
      <w:r>
        <w:rPr>
          <w:sz w:val="18"/>
        </w:rPr>
        <w:t>| 28 | Capivasertib | AKT1/2/3 | Pan-AKT inhibitor blocking PI3K/AKT/mTOR signaling | PIK3CA_mutant, PTEN_loss | CAPItello-291 |</w:t>
      </w:r>
    </w:p>
    <w:p>
      <w:r>
        <w:rPr>
          <w:sz w:val="18"/>
        </w:rPr>
        <w:t>| 29 | Elacestrant | ER (oral SERD) | Oral selective estrogen receptor degrader for ESR1-mutant breast cancer | ER_positive, ESR1_mutant | EMERALD |</w:t>
      </w:r>
    </w:p>
    <w:p>
      <w:r>
        <w:rPr>
          <w:sz w:val="18"/>
        </w:rPr>
        <w:t>| 30 | Inavolisib | PI3K-alpha | Selective PI3K-alpha inhibitor with mutant-selective degradation | PIK3CA_mutant_epithelial | INAVO120 |</w:t>
      </w:r>
    </w:p>
    <w:p>
      <w:pPr>
        <w:pStyle w:val="Heading1"/>
      </w:pPr>
      <w:r>
        <w:t>Appendix C: Complete Marker Gene Database (75 markers)</w:t>
      </w:r>
    </w:p>
    <w:p>
      <w:r>
        <w:t>All 75 marker genes in `MARKER_GENE_DATABASE` mapped to cell types and biological function.</w:t>
      </w:r>
    </w:p>
    <w:p>
      <w:r>
        <w:rPr>
          <w:sz w:val="18"/>
        </w:rPr>
        <w:t>| # | Marker | Cell Type(s) | Function |</w:t>
      </w:r>
    </w:p>
    <w:p>
      <w:r>
        <w:rPr>
          <w:sz w:val="18"/>
        </w:rPr>
        <w:t>|---|--------|-------------|----------|</w:t>
      </w:r>
    </w:p>
    <w:p>
      <w:r>
        <w:rPr>
          <w:sz w:val="18"/>
        </w:rPr>
        <w:t>| 1 | CD3D | T cell, CD4_T, CD8_T, Treg, NKT | T-cell receptor complex component |</w:t>
      </w:r>
    </w:p>
    <w:p>
      <w:r>
        <w:rPr>
          <w:sz w:val="18"/>
        </w:rPr>
        <w:t>| 2 | CD3E | T cell, CD4_T, CD8_T, Treg | T-cell receptor signaling subunit |</w:t>
      </w:r>
    </w:p>
    <w:p>
      <w:r>
        <w:rPr>
          <w:sz w:val="18"/>
        </w:rPr>
        <w:t>| 3 | CD8A | CD8_T | MHC class I coreceptor |</w:t>
      </w:r>
    </w:p>
    <w:p>
      <w:r>
        <w:rPr>
          <w:sz w:val="18"/>
        </w:rPr>
        <w:t>| 4 | CD8B | CD8_T | MHC class I coreceptor beta chain |</w:t>
      </w:r>
    </w:p>
    <w:p>
      <w:r>
        <w:rPr>
          <w:sz w:val="18"/>
        </w:rPr>
        <w:t>| 5 | CD4 | CD4_T, Treg, Monocyte | MHC class II coreceptor and HIV receptor |</w:t>
      </w:r>
    </w:p>
    <w:p>
      <w:r>
        <w:rPr>
          <w:sz w:val="18"/>
        </w:rPr>
        <w:t>| 6 | FOXP3 | Treg | Master transcription factor for regulatory T cells |</w:t>
      </w:r>
    </w:p>
    <w:p>
      <w:r>
        <w:rPr>
          <w:sz w:val="18"/>
        </w:rPr>
        <w:t>| 7 | IL2RA | Treg, activated_T | IL-2 receptor alpha chain (CD25) |</w:t>
      </w:r>
    </w:p>
    <w:p>
      <w:r>
        <w:rPr>
          <w:sz w:val="18"/>
        </w:rPr>
        <w:t>| 8 | CD19 | B cell | B-cell surface marker and BCR coreceptor |</w:t>
      </w:r>
    </w:p>
    <w:p>
      <w:r>
        <w:rPr>
          <w:sz w:val="18"/>
        </w:rPr>
        <w:t>| 9 | MS4A1 | B cell | CD20, target of rituximab |</w:t>
      </w:r>
    </w:p>
    <w:p>
      <w:r>
        <w:rPr>
          <w:sz w:val="18"/>
        </w:rPr>
        <w:t>| 10 | CD79A | B cell | B-cell receptor signaling component |</w:t>
      </w:r>
    </w:p>
    <w:p>
      <w:r>
        <w:rPr>
          <w:sz w:val="18"/>
        </w:rPr>
        <w:t>| 11 | SDC1 | Plasma | CD138, plasma cell surface proteoglycan |</w:t>
      </w:r>
    </w:p>
    <w:p>
      <w:r>
        <w:rPr>
          <w:sz w:val="18"/>
        </w:rPr>
        <w:t>| 12 | MZB1 | Plasma, B cell | ER-resident chaperone in antibody-secreting cells |</w:t>
      </w:r>
    </w:p>
    <w:p>
      <w:r>
        <w:rPr>
          <w:sz w:val="18"/>
        </w:rPr>
        <w:t>| 13 | KLRD1 | NK, CD8_T | CD94, NK cell receptor component |</w:t>
      </w:r>
    </w:p>
    <w:p>
      <w:r>
        <w:rPr>
          <w:sz w:val="18"/>
        </w:rPr>
        <w:t>| 14 | NKG7 | NK, CD8_T, gamma_delta_T | Cytotoxic granule membrane protein |</w:t>
      </w:r>
    </w:p>
    <w:p>
      <w:r>
        <w:rPr>
          <w:sz w:val="18"/>
        </w:rPr>
        <w:t>| 15 | NCAM1 | NK | CD56, neural cell adhesion molecule on NK cells |</w:t>
      </w:r>
    </w:p>
    <w:p>
      <w:r>
        <w:rPr>
          <w:sz w:val="18"/>
        </w:rPr>
        <w:t>| 16 | CD14 | Monocyte, Macrophage | LPS coreceptor on myeloid cells |</w:t>
      </w:r>
    </w:p>
    <w:p>
      <w:r>
        <w:rPr>
          <w:sz w:val="18"/>
        </w:rPr>
        <w:t>| 17 | LYZ | Monocyte, Macrophage, Neutrophil | Lysozyme, antimicrobial enzyme |</w:t>
      </w:r>
    </w:p>
    <w:p>
      <w:r>
        <w:rPr>
          <w:sz w:val="18"/>
        </w:rPr>
        <w:t>| 18 | CD68 | Macrophage | Macrophage-associated glycoprotein |</w:t>
      </w:r>
    </w:p>
    <w:p>
      <w:r>
        <w:rPr>
          <w:sz w:val="18"/>
        </w:rPr>
        <w:t>| 19 | MARCO | Macrophage | Macrophage scavenger receptor |</w:t>
      </w:r>
    </w:p>
    <w:p>
      <w:r>
        <w:rPr>
          <w:sz w:val="18"/>
        </w:rPr>
        <w:t>| 20 | CSF1R | Macrophage, Monocyte | M-CSF receptor driving macrophage differentiation |</w:t>
      </w:r>
    </w:p>
    <w:p>
      <w:r>
        <w:rPr>
          <w:sz w:val="18"/>
        </w:rPr>
        <w:t>| 21 | CLEC9A | cDC1 | C-type lectin on cross-presenting DCs |</w:t>
      </w:r>
    </w:p>
    <w:p>
      <w:r>
        <w:rPr>
          <w:sz w:val="18"/>
        </w:rPr>
        <w:t>| 22 | CD1C | cDC2 | Lipid antigen presentation molecule |</w:t>
      </w:r>
    </w:p>
    <w:p>
      <w:r>
        <w:rPr>
          <w:sz w:val="18"/>
        </w:rPr>
        <w:t>| 23 | CSF3R | Neutrophil | G-CSF receptor controlling neutrophil production |</w:t>
      </w:r>
    </w:p>
    <w:p>
      <w:r>
        <w:rPr>
          <w:sz w:val="18"/>
        </w:rPr>
        <w:t>| 24 | S100A8 | Neutrophil, Monocyte, MDSC | Calprotectin subunit, alarmin |</w:t>
      </w:r>
    </w:p>
    <w:p>
      <w:r>
        <w:rPr>
          <w:sz w:val="18"/>
        </w:rPr>
        <w:t>| 25 | S100A9 | Neutrophil, Monocyte, MDSC | Calprotectin subunit, alarmin |</w:t>
      </w:r>
    </w:p>
    <w:p>
      <w:r>
        <w:rPr>
          <w:sz w:val="18"/>
        </w:rPr>
        <w:t>| 26 | COL1A1 | Fibroblast | Type I collagen alpha-1 chain |</w:t>
      </w:r>
    </w:p>
    <w:p>
      <w:r>
        <w:rPr>
          <w:sz w:val="18"/>
        </w:rPr>
        <w:t>| 27 | DCN | Fibroblast | Decorin, collagen-binding proteoglycan |</w:t>
      </w:r>
    </w:p>
    <w:p>
      <w:r>
        <w:rPr>
          <w:sz w:val="18"/>
        </w:rPr>
        <w:t>| 28 | FAP | Cancer-associated fibroblast | Fibroblast activation protein |</w:t>
      </w:r>
    </w:p>
    <w:p>
      <w:r>
        <w:rPr>
          <w:sz w:val="18"/>
        </w:rPr>
        <w:t>| 29 | PECAM1 | Endothelial | CD31, platelet-endothelial adhesion molecule |</w:t>
      </w:r>
    </w:p>
    <w:p>
      <w:r>
        <w:rPr>
          <w:sz w:val="18"/>
        </w:rPr>
        <w:t>| 30 | VWF | Endothelial | Von Willebrand factor, hemostasis mediator |</w:t>
      </w:r>
    </w:p>
    <w:p>
      <w:r>
        <w:rPr>
          <w:sz w:val="18"/>
        </w:rPr>
        <w:t>| 31 | CDH5 | Endothelial | VE-cadherin, endothelial adherens junction |</w:t>
      </w:r>
    </w:p>
    <w:p>
      <w:r>
        <w:rPr>
          <w:sz w:val="18"/>
        </w:rPr>
        <w:t>| 32 | EPCAM | Epithelial | Epithelial cell adhesion molecule |</w:t>
      </w:r>
    </w:p>
    <w:p>
      <w:r>
        <w:rPr>
          <w:sz w:val="18"/>
        </w:rPr>
        <w:t>| 33 | KRT18 | Epithelial, Hepatocyte | Cytokeratin 18, epithelial intermediate filament |</w:t>
      </w:r>
    </w:p>
    <w:p>
      <w:r>
        <w:rPr>
          <w:sz w:val="18"/>
        </w:rPr>
        <w:t>| 34 | KRT19 | Epithelial | Cytokeratin 19, ductal/luminal epithelial marker |</w:t>
      </w:r>
    </w:p>
    <w:p>
      <w:r>
        <w:rPr>
          <w:sz w:val="18"/>
        </w:rPr>
        <w:t>| 35 | ALB | Hepatocyte | Albumin, major serum protein |</w:t>
      </w:r>
    </w:p>
    <w:p>
      <w:r>
        <w:rPr>
          <w:sz w:val="18"/>
        </w:rPr>
        <w:t>| 36 | APOB | Hepatocyte | Apolipoprotein B, lipoprotein component |</w:t>
      </w:r>
    </w:p>
    <w:p>
      <w:r>
        <w:rPr>
          <w:sz w:val="18"/>
        </w:rPr>
        <w:t>| 37 | MAP2 | Neuron | Microtubule-associated protein 2, neuronal marker |</w:t>
      </w:r>
    </w:p>
    <w:p>
      <w:r>
        <w:rPr>
          <w:sz w:val="18"/>
        </w:rPr>
        <w:t>| 38 | RBFOX3 | Neuron | NeuN, post-mitotic neuron marker |</w:t>
      </w:r>
    </w:p>
    <w:p>
      <w:r>
        <w:rPr>
          <w:sz w:val="18"/>
        </w:rPr>
        <w:t>| 39 | GFAP | Astrocyte | Glial fibrillary acidic protein |</w:t>
      </w:r>
    </w:p>
    <w:p>
      <w:r>
        <w:rPr>
          <w:sz w:val="18"/>
        </w:rPr>
        <w:t>| 40 | AQP4 | Astrocyte | Aquaporin-4, water channel in astrocytic endfeet |</w:t>
      </w:r>
    </w:p>
    <w:p>
      <w:r>
        <w:rPr>
          <w:sz w:val="18"/>
        </w:rPr>
        <w:t>| 41 | MBP | Oligodendrocyte | Myelin basic protein |</w:t>
      </w:r>
    </w:p>
    <w:p>
      <w:r>
        <w:rPr>
          <w:sz w:val="18"/>
        </w:rPr>
        <w:t>| 42 | PLP1 | Oligodendrocyte | Proteolipid protein 1, major myelin component |</w:t>
      </w:r>
    </w:p>
    <w:p>
      <w:r>
        <w:rPr>
          <w:sz w:val="18"/>
        </w:rPr>
        <w:t>| 43 | TNNT2 | Cardiomyocyte | Cardiac troponin T |</w:t>
      </w:r>
    </w:p>
    <w:p>
      <w:r>
        <w:rPr>
          <w:sz w:val="18"/>
        </w:rPr>
        <w:t>| 44 | MYH6 | Cardiomyocyte | Myosin heavy chain 6 (alpha) |</w:t>
      </w:r>
    </w:p>
    <w:p>
      <w:r>
        <w:rPr>
          <w:sz w:val="18"/>
        </w:rPr>
        <w:t>| 45 | ACTA2 | Smooth muscle, myofibroblast, Pericyte | Alpha-smooth muscle actin |</w:t>
      </w:r>
    </w:p>
    <w:p>
      <w:r>
        <w:rPr>
          <w:sz w:val="18"/>
        </w:rPr>
        <w:t>| 46 | MYH11 | Smooth muscle | Smooth muscle myosin heavy chain |</w:t>
      </w:r>
    </w:p>
    <w:p>
      <w:r>
        <w:rPr>
          <w:sz w:val="18"/>
        </w:rPr>
        <w:t>| 47 | ADIPOQ | Adipocyte | Adiponectin, adipokine |</w:t>
      </w:r>
    </w:p>
    <w:p>
      <w:r>
        <w:rPr>
          <w:sz w:val="18"/>
        </w:rPr>
        <w:t>| 48 | FABP4 | Adipocyte | Fatty acid binding protein 4 |</w:t>
      </w:r>
    </w:p>
    <w:p>
      <w:r>
        <w:rPr>
          <w:sz w:val="18"/>
        </w:rPr>
        <w:t>| 49 | CD34 | HSC, Endothelial | Hematopoietic stem cell and endothelial marker |</w:t>
      </w:r>
    </w:p>
    <w:p>
      <w:r>
        <w:rPr>
          <w:sz w:val="18"/>
        </w:rPr>
        <w:t>| 50 | KIT | HSC, Mast cell | CD117, stem cell factor receptor |</w:t>
      </w:r>
    </w:p>
    <w:p>
      <w:r>
        <w:rPr>
          <w:sz w:val="18"/>
        </w:rPr>
        <w:t>| 51 | PDGFRB | Pericyte, Fibroblast | PDGF receptor beta, mural cell marker |</w:t>
      </w:r>
    </w:p>
    <w:p>
      <w:r>
        <w:rPr>
          <w:sz w:val="18"/>
        </w:rPr>
        <w:t>| 52 | CX3CR1 | Microglia, Monocyte | Fractalkine receptor |</w:t>
      </w:r>
    </w:p>
    <w:p>
      <w:r>
        <w:rPr>
          <w:sz w:val="18"/>
        </w:rPr>
        <w:t>| 53 | P2RY12 | Microglia | Purinergic receptor, homeostatic microglia marker |</w:t>
      </w:r>
    </w:p>
    <w:p>
      <w:r>
        <w:rPr>
          <w:sz w:val="18"/>
        </w:rPr>
        <w:t>| 54 | TMEM119 | Microglia | Microglia-specific transmembrane protein |</w:t>
      </w:r>
    </w:p>
    <w:p>
      <w:r>
        <w:rPr>
          <w:sz w:val="18"/>
        </w:rPr>
        <w:t>| 55 | HBA1 | Erythrocyte precursor | Hemoglobin alpha 1 |</w:t>
      </w:r>
    </w:p>
    <w:p>
      <w:r>
        <w:rPr>
          <w:sz w:val="18"/>
        </w:rPr>
        <w:t>| 56 | TRGV9 | Gamma-delta T | TCR gamma variable 9, Vg9Vd2 marker |</w:t>
      </w:r>
    </w:p>
    <w:p>
      <w:r>
        <w:rPr>
          <w:sz w:val="18"/>
        </w:rPr>
        <w:t>| 57 | SLC4A10 | MAIT cell | Sodium bicarbonate transporter, MAIT cell marker |</w:t>
      </w:r>
    </w:p>
    <w:p>
      <w:r>
        <w:rPr>
          <w:sz w:val="18"/>
        </w:rPr>
        <w:t>| 58 | CLEC4C | Plasmacytoid DC | C-type lectin receptor (BDCA-2) |</w:t>
      </w:r>
    </w:p>
    <w:p>
      <w:r>
        <w:rPr>
          <w:sz w:val="18"/>
        </w:rPr>
        <w:t>| 59 | XCR1 | cDC1 | Chemokine receptor on cross-presenting cDC1 cells |</w:t>
      </w:r>
    </w:p>
    <w:p>
      <w:r>
        <w:rPr>
          <w:sz w:val="18"/>
        </w:rPr>
        <w:t>| 60 | RORC | ILC3, Th17 | RAR-related orphan receptor C, master TF for ILC3/Th17 |</w:t>
      </w:r>
    </w:p>
    <w:p>
      <w:r>
        <w:rPr>
          <w:sz w:val="18"/>
        </w:rPr>
        <w:t>| 61 | GATA3 (ILC) | ILC2, Th2 | GATA binding protein 3 in ILC2 context |</w:t>
      </w:r>
    </w:p>
    <w:p>
      <w:r>
        <w:rPr>
          <w:sz w:val="18"/>
        </w:rPr>
        <w:t>| 62 | ITGA2B | Megakaryocyte | Integrin alpha-2b (CD41), platelet glycoprotein IIb |</w:t>
      </w:r>
    </w:p>
    <w:p>
      <w:r>
        <w:rPr>
          <w:sz w:val="18"/>
        </w:rPr>
        <w:t>| 63 | GYPA | Erythroid progenitor | Glycophorin A (CD235a), erythroid lineage marker |</w:t>
      </w:r>
    </w:p>
    <w:p>
      <w:r>
        <w:rPr>
          <w:sz w:val="18"/>
        </w:rPr>
        <w:t>| 64 | RGS5 | Pericyte | Regulator of G-protein signaling 5 |</w:t>
      </w:r>
    </w:p>
    <w:p>
      <w:r>
        <w:rPr>
          <w:sz w:val="18"/>
        </w:rPr>
        <w:t>| 65 | MPZ | Schwann cell | Myelin protein zero, major PNS myelin component |</w:t>
      </w:r>
    </w:p>
    <w:p>
      <w:r>
        <w:rPr>
          <w:sz w:val="18"/>
        </w:rPr>
        <w:t>| 66 | NPHS1 | Podocyte | Nephrin, slit diaphragm component for glomerular filtration |</w:t>
      </w:r>
    </w:p>
    <w:p>
      <w:r>
        <w:rPr>
          <w:sz w:val="18"/>
        </w:rPr>
        <w:t>| 67 | MUC2 | Goblet cell | Mucin 2, gel-forming mucin of intestinal mucus layer |</w:t>
      </w:r>
    </w:p>
    <w:p>
      <w:r>
        <w:rPr>
          <w:sz w:val="18"/>
        </w:rPr>
        <w:t>| 68 | POSTN | CAF, Fibroblast | Periostin, ECM protein promoting tumor invasion |</w:t>
      </w:r>
    </w:p>
    <w:p>
      <w:r>
        <w:rPr>
          <w:sz w:val="18"/>
        </w:rPr>
        <w:t>| 69 | TCF7 | Stem-memory T, naive T, progenitor exhausted T | TCF1, stem-like memory T-cell TF |</w:t>
      </w:r>
    </w:p>
    <w:p>
      <w:r>
        <w:rPr>
          <w:sz w:val="18"/>
        </w:rPr>
        <w:t>| 70 | CXCR6 | Tissue-resident memory T, NKT | Chemokine receptor for CXCL16 |</w:t>
      </w:r>
    </w:p>
    <w:p>
      <w:r>
        <w:rPr>
          <w:sz w:val="18"/>
        </w:rPr>
        <w:t>| 71 | MKI67 | Proliferating cell | Ki-67, universal marker of cell proliferation |</w:t>
      </w:r>
    </w:p>
    <w:p>
      <w:r>
        <w:rPr>
          <w:sz w:val="18"/>
        </w:rPr>
        <w:t>| 72 | TOP2A | Proliferating cell | Topoisomerase II alpha, S/G2/M phase marker |</w:t>
      </w:r>
    </w:p>
    <w:p>
      <w:r>
        <w:rPr>
          <w:sz w:val="18"/>
        </w:rPr>
        <w:t>| 73 | CDK1 | Proliferating cell | Cyclin-dependent kinase 1, master regulator of mitotic entry |</w:t>
      </w:r>
    </w:p>
    <w:p>
      <w:r>
        <w:rPr>
          <w:sz w:val="18"/>
        </w:rPr>
        <w:t>| 74 | PCNA | Proliferating cell | Proliferating cell nuclear antigen, DNA replication factor |</w:t>
      </w:r>
    </w:p>
    <w:p>
      <w:r>
        <w:rPr>
          <w:sz w:val="18"/>
        </w:rPr>
        <w:t>| 75 | MCM2 | Proliferating cell | Minichromosome maintenance complex component 2 |</w:t>
      </w:r>
    </w:p>
    <w:p>
      <w:pPr>
        <w:pStyle w:val="Heading1"/>
      </w:pPr>
      <w:r>
        <w:t>Appendix D: Complete Immune Signatures (10)</w:t>
      </w:r>
    </w:p>
    <w:p>
      <w:r>
        <w:t>All 10 immune gene signatures used in TME classification and clinical alerting.</w:t>
      </w:r>
    </w:p>
    <w:p>
      <w:r>
        <w:rPr>
          <w:sz w:val="18"/>
        </w:rPr>
        <w:t>| # | Signature | Genes | Clinical Significance |</w:t>
      </w:r>
    </w:p>
    <w:p>
      <w:r>
        <w:rPr>
          <w:sz w:val="18"/>
        </w:rPr>
        <w:t>|---|-----------|-------|----------------------|</w:t>
      </w:r>
    </w:p>
    <w:p>
      <w:r>
        <w:rPr>
          <w:sz w:val="18"/>
        </w:rPr>
        <w:t>| 1 | Cytotoxic | GZMA, GZMB, GZMK, PRF1, IFNG, NKG7, GNLY, FASLG | High cytotoxic score correlates with ICB response and improved OS |</w:t>
      </w:r>
    </w:p>
    <w:p>
      <w:r>
        <w:rPr>
          <w:sz w:val="18"/>
        </w:rPr>
        <w:t>| 2 | Exhaustion | PDCD1, CTLA4, LAG3, HAVCR2, TIGIT, TOX, ENTPD1, BATF | PD-1+TCF1+ progenitor exhausted cells predict ICB response |</w:t>
      </w:r>
    </w:p>
    <w:p>
      <w:r>
        <w:rPr>
          <w:sz w:val="18"/>
        </w:rPr>
        <w:t>| 3 | Regulatory | FOXP3, IL2RA, CTLA4, TNFRSF18, IKZF2, IL10, TGFB1 | High Treg infiltration associates with poor prognosis in solid tumors |</w:t>
      </w:r>
    </w:p>
    <w:p>
      <w:r>
        <w:rPr>
          <w:sz w:val="18"/>
        </w:rPr>
        <w:t>| 4 | Myeloid suppression | S100A9, S100A8, ARG1, ARG2, IDO1, NOS2, CD163, MRC1 | Myeloid suppression correlates with ICB resistance |</w:t>
      </w:r>
    </w:p>
    <w:p>
      <w:r>
        <w:rPr>
          <w:sz w:val="18"/>
        </w:rPr>
        <w:t>| 5 | Fibroblast activation | FAP, ACTA2, COL1A1, COL1A2, POSTN, FN1, TGFB1, TGFB2 | High CAF signature predicts immune exclusion phenotype |</w:t>
      </w:r>
    </w:p>
    <w:p>
      <w:r>
        <w:rPr>
          <w:sz w:val="18"/>
        </w:rPr>
        <w:t>| 6 | Memory T | TCF7, IL7R, CCR7, SELL, LEF1 | TCF7+ progenitor cells sustain effector pools; durable ICB response |</w:t>
      </w:r>
    </w:p>
    <w:p>
      <w:r>
        <w:rPr>
          <w:sz w:val="18"/>
        </w:rPr>
        <w:t>| 7 | Tissue-resident memory | ITGAE, ZNF683, CXCR6, CD69, ITGA1 | CD103+ TRM in tumor correlates with improved prognosis |</w:t>
      </w:r>
    </w:p>
    <w:p>
      <w:r>
        <w:rPr>
          <w:sz w:val="18"/>
        </w:rPr>
        <w:t>| 8 | M1 macrophage | NOS2, TNF, IL1B, IL6, CD80 | High M1/M2 ratio associates with better prognosis and ICB response |</w:t>
      </w:r>
    </w:p>
    <w:p>
      <w:r>
        <w:rPr>
          <w:sz w:val="18"/>
        </w:rPr>
        <w:t>| 9 | M2 macrophage | MRC1, CD163, TGFB1, IL10, CCL18 | M2-dominant TAMs predict poor prognosis and ICB resistance |</w:t>
      </w:r>
    </w:p>
    <w:p>
      <w:r>
        <w:rPr>
          <w:sz w:val="18"/>
        </w:rPr>
        <w:t>| 10 | Cancer-associated fibroblast | FAP, ACTA2, PDGFRA, COL1A1, POSTN | High CAF creates immune-excluded phenotype; FAP-targeted therapy under investigation |</w:t>
      </w:r>
    </w:p>
    <w:p>
      <w:pPr>
        <w:pStyle w:val="Heading1"/>
      </w:pPr>
      <w:r>
        <w:t>Appendix E: Complete Ligand-Receptor Pairs (25)</w:t>
      </w:r>
    </w:p>
    <w:p>
      <w:r>
        <w:t>All 25 ligand-receptor pairs in the signaling interaction database.</w:t>
      </w:r>
    </w:p>
    <w:p>
      <w:r>
        <w:rPr>
          <w:sz w:val="18"/>
        </w:rPr>
        <w:t>| # | Ligand | Receptor | Pathway | Clinical Relevance |</w:t>
      </w:r>
    </w:p>
    <w:p>
      <w:r>
        <w:rPr>
          <w:sz w:val="18"/>
        </w:rPr>
        <w:t>|---|--------|----------|---------|-------------------|</w:t>
      </w:r>
    </w:p>
    <w:p>
      <w:r>
        <w:rPr>
          <w:sz w:val="18"/>
        </w:rPr>
        <w:t>| 1 | CXCL12 | CXCR4 | Chemokine signaling | HSC retention in bone marrow; immune cell trafficking |</w:t>
      </w:r>
    </w:p>
    <w:p>
      <w:r>
        <w:rPr>
          <w:sz w:val="18"/>
        </w:rPr>
        <w:t>| 2 | CCL19 | CCR7 | Chemokine signaling | Lymph node homing of naive T cells and mature DCs |</w:t>
      </w:r>
    </w:p>
    <w:p>
      <w:r>
        <w:rPr>
          <w:sz w:val="18"/>
        </w:rPr>
        <w:t>| 3 | CD274 (PD-L1) | PDCD1 (PD-1) | Immune checkpoint | PD-1/PD-L1 axis; primary target of checkpoint immunotherapy |</w:t>
      </w:r>
    </w:p>
    <w:p>
      <w:r>
        <w:rPr>
          <w:sz w:val="18"/>
        </w:rPr>
        <w:t>| 4 | CD80 | CTLA4 | Immune checkpoint | Co-inhibitory; outcompetes CD28 for B7 ligand binding |</w:t>
      </w:r>
    </w:p>
    <w:p>
      <w:r>
        <w:rPr>
          <w:sz w:val="18"/>
        </w:rPr>
        <w:t>| 5 | CD80 | CD28 | Co-stimulatory | Second activation signal for naive T-cell priming |</w:t>
      </w:r>
    </w:p>
    <w:p>
      <w:r>
        <w:rPr>
          <w:sz w:val="18"/>
        </w:rPr>
        <w:t>| 6 | PVR (CD155) | TIGIT | Immune checkpoint | Suppresses NK and T-cell cytotoxicity in TME |</w:t>
      </w:r>
    </w:p>
    <w:p>
      <w:r>
        <w:rPr>
          <w:sz w:val="18"/>
        </w:rPr>
        <w:t>| 7 | CD40LG | CD40 | Co-stimulatory | B-cell activation and germinal center formation |</w:t>
      </w:r>
    </w:p>
    <w:p>
      <w:r>
        <w:rPr>
          <w:sz w:val="18"/>
        </w:rPr>
        <w:t>| 8 | VEGFA | FLT1 (VEGFR1) | Angiogenesis | Vascular permeability; tumor neovascularization |</w:t>
      </w:r>
    </w:p>
    <w:p>
      <w:r>
        <w:rPr>
          <w:sz w:val="18"/>
        </w:rPr>
        <w:t>| 9 | VEGFA | KDR (VEGFR2) | Angiogenesis | Primary angiogenic signaling; endothelial proliferation |</w:t>
      </w:r>
    </w:p>
    <w:p>
      <w:r>
        <w:rPr>
          <w:sz w:val="18"/>
        </w:rPr>
        <w:t>| 10 | TGFB1 | TGFBR2 | TGF-beta signaling | Immunosuppression; EMT in tumor stroma |</w:t>
      </w:r>
    </w:p>
    <w:p>
      <w:r>
        <w:rPr>
          <w:sz w:val="18"/>
        </w:rPr>
        <w:t>| 11 | TNF | TNFRSF1A | Inflammatory signaling | NF-kB activation; apoptosis and inflammation |</w:t>
      </w:r>
    </w:p>
    <w:p>
      <w:r>
        <w:rPr>
          <w:sz w:val="18"/>
        </w:rPr>
        <w:t>| 12 | IL6 | IL6R | Inflammatory signaling | Acute phase response; classical and trans-signaling |</w:t>
      </w:r>
    </w:p>
    <w:p>
      <w:r>
        <w:rPr>
          <w:sz w:val="18"/>
        </w:rPr>
        <w:t>| 13 | IFNG | IFNGR1 | Interferon signaling | MHC upregulation; macrophage activation; anti-tumor immunity |</w:t>
      </w:r>
    </w:p>
    <w:p>
      <w:r>
        <w:rPr>
          <w:sz w:val="18"/>
        </w:rPr>
        <w:t>| 14 | IL10 | IL10RA | Immunosuppression | Anti-inflammatory signaling from Tregs and M2 macrophages |</w:t>
      </w:r>
    </w:p>
    <w:p>
      <w:r>
        <w:rPr>
          <w:sz w:val="18"/>
        </w:rPr>
        <w:t>| 15 | CSF1 | CSF1R | Myeloid signaling | Macrophage recruitment, differentiation, and survival in TME |</w:t>
      </w:r>
    </w:p>
    <w:p>
      <w:r>
        <w:rPr>
          <w:sz w:val="18"/>
        </w:rPr>
        <w:t>| 16 | CCL2 | CCR2 | Chemokine signaling | Monocyte/macrophage recruitment to tumor tissues |</w:t>
      </w:r>
    </w:p>
    <w:p>
      <w:r>
        <w:rPr>
          <w:sz w:val="18"/>
        </w:rPr>
        <w:t>| 17 | CXCL9 | CXCR3 | Chemokine signaling | IFN-gamma-induced T-cell chemotaxis to tumors |</w:t>
      </w:r>
    </w:p>
    <w:p>
      <w:r>
        <w:rPr>
          <w:sz w:val="18"/>
        </w:rPr>
        <w:t>| 18 | CXCL10 | CXCR3 | Chemokine signaling | T-cell and NK cell chemotaxis to inflamed tissue |</w:t>
      </w:r>
    </w:p>
    <w:p>
      <w:r>
        <w:rPr>
          <w:sz w:val="18"/>
        </w:rPr>
        <w:t>| 19 | FASLG | FAS | Apoptosis | Extrinsic apoptosis via caspase cascade |</w:t>
      </w:r>
    </w:p>
    <w:p>
      <w:r>
        <w:rPr>
          <w:sz w:val="18"/>
        </w:rPr>
        <w:t>| 20 | TNFSF10 (TRAIL) | TNFRSF10A (DR4) | Apoptosis | Selective tumor cell killing via death receptor |</w:t>
      </w:r>
    </w:p>
    <w:p>
      <w:r>
        <w:rPr>
          <w:sz w:val="18"/>
        </w:rPr>
        <w:t>| 21 | HGF | MET | Growth factor signaling | Cell growth, motility, and invasion in cancer |</w:t>
      </w:r>
    </w:p>
    <w:p>
      <w:r>
        <w:rPr>
          <w:sz w:val="18"/>
        </w:rPr>
        <w:t>| 22 | WNT5A | FZD5 | Wnt signaling | Non-canonical Wnt; cell polarity and migration |</w:t>
      </w:r>
    </w:p>
    <w:p>
      <w:r>
        <w:rPr>
          <w:sz w:val="18"/>
        </w:rPr>
        <w:t>| 23 | DLL1 | NOTCH1 | Notch signaling | Cell fate decisions and stem cell maintenance |</w:t>
      </w:r>
    </w:p>
    <w:p>
      <w:r>
        <w:rPr>
          <w:sz w:val="18"/>
        </w:rPr>
        <w:t>| 24 | EGF | EGFR | Growth factor signaling | Epithelial cell proliferation and survival |</w:t>
      </w:r>
    </w:p>
    <w:p>
      <w:r>
        <w:rPr>
          <w:sz w:val="18"/>
        </w:rPr>
        <w:t>| 25 | BMP2 | BMPR1A | BMP/TGF-beta superfamily | Osteogenic differentiation and stem cell regulation |</w:t>
      </w:r>
    </w:p>
    <w:p>
      <w:pPr>
        <w:pStyle w:val="Heading1"/>
      </w:pPr>
      <w:r>
        <w:t>Appendix F: Cancer TME Atlas (12 cancer types)</w:t>
      </w:r>
    </w:p>
    <w:p>
      <w:r>
        <w:t>The `CANCER_TME_ATLAS` provides pre-computed TME profiles for 12 major cancer types.</w:t>
      </w:r>
    </w:p>
    <w:p>
      <w:r>
        <w:rPr>
          <w:sz w:val="18"/>
        </w:rPr>
        <w:t>| # | Cancer | TME Class | Key Immune Features | Treatment Response |</w:t>
      </w:r>
    </w:p>
    <w:p>
      <w:r>
        <w:rPr>
          <w:sz w:val="18"/>
        </w:rPr>
        <w:t>|---|--------|-----------|--------------------|--------------------|</w:t>
      </w:r>
    </w:p>
    <w:p>
      <w:r>
        <w:rPr>
          <w:sz w:val="18"/>
        </w:rPr>
        <w:t>| 1 | NSCLC | Variable (hot/cold/excluded) | High PD-L1 in adenocarcinoma; TLS predict ICB response; smoking-associated high TMB | PD-L1 TPS &gt;= 50% predicts anti-PD-1 monotherapy benefit |</w:t>
      </w:r>
    </w:p>
    <w:p>
      <w:r>
        <w:rPr>
          <w:sz w:val="18"/>
        </w:rPr>
        <w:t>| 2 | Breast | Subtype-dependent (TNBC hot, ER+ cold) | TNBC has highest TILs; ER+ generally immune-cold; HER2+ intermediate | ICB effective in PD-L1+ TNBC with chemo combination |</w:t>
      </w:r>
    </w:p>
    <w:p>
      <w:r>
        <w:rPr>
          <w:sz w:val="18"/>
        </w:rPr>
        <w:t>| 3 | Colorectal | MSI-H hot / MSS cold | MSI-H/dMMR: high neoantigens and dense TILs; MSS: immune-cold | MSI-H highly responsive to anti-PD-1; MSS resistant |</w:t>
      </w:r>
    </w:p>
    <w:p>
      <w:r>
        <w:rPr>
          <w:sz w:val="18"/>
        </w:rPr>
        <w:t>| 4 | Melanoma | Hot | Highest TMB (UV mutagenesis); dense CD8+ TILs; frequent PD-L1 | Dual ICB (nivo+ipi) ~60% RR; IFN-gamma signature predicts benefit |</w:t>
      </w:r>
    </w:p>
    <w:p>
      <w:r>
        <w:rPr>
          <w:sz w:val="18"/>
        </w:rPr>
        <w:t>| 5 | PDAC | Excluded / immunosuppressive | Dense desmoplastic stroma; high CAF and M2 macrophages; low TMB | Refractory to ICB monotherapy; requires stromal remodeling |</w:t>
      </w:r>
    </w:p>
    <w:p>
      <w:r>
        <w:rPr>
          <w:sz w:val="18"/>
        </w:rPr>
        <w:t>| 6 | GBM | Immunosuppressive | BBB limits infiltration; M2/microglia dominance; T-cell exhaustion | ICB failed in unselected GBM; dMMR subset may benefit |</w:t>
      </w:r>
    </w:p>
    <w:p>
      <w:r>
        <w:rPr>
          <w:sz w:val="18"/>
        </w:rPr>
        <w:t>| 7 | HCC | Variable (excluded to immunosuppressive) | Chronic inflammation (HBV/HCV/NASH); tolerogenic liver; high Treg | Atezo+bev first-line; anti-VEGF enables T-cell infiltration |</w:t>
      </w:r>
    </w:p>
    <w:p>
      <w:r>
        <w:rPr>
          <w:sz w:val="18"/>
        </w:rPr>
        <w:t>| 8 | RCC | Hot / immunosuppressive | High infiltration but suppressive myeloid; VHL/VEGF/HIF axis | ICB + anti-VEGF TKI first-line; nivo+ipi for poor risk |</w:t>
      </w:r>
    </w:p>
    <w:p>
      <w:r>
        <w:rPr>
          <w:sz w:val="18"/>
        </w:rPr>
        <w:t>| 9 | Ovarian | Excluded / immunosuppressive | Peritoneal dissemination; BRCA-mutant has higher TILs; high CAF | Limited ICB benefit; PARP + ICB combos under investigation |</w:t>
      </w:r>
    </w:p>
    <w:p>
      <w:r>
        <w:rPr>
          <w:sz w:val="18"/>
        </w:rPr>
        <w:t>| 10 | HNSCC | Hot (HPV+) / cold (HPV-) | HPV+ higher infiltration; HPV- smoking-associated TMB; TLS predict response | Pembrolizumab first-line for PD-L1 CPS &gt;= 1 |</w:t>
      </w:r>
    </w:p>
    <w:p>
      <w:r>
        <w:rPr>
          <w:sz w:val="18"/>
        </w:rPr>
        <w:t>| 11 | Bladder | Variable | High TMB from APOBEC mutagenesis; luminal-infiltrated predicts ICB | ADCs (enfortumab vedotin) + pembrolizumab now first-line |</w:t>
      </w:r>
    </w:p>
    <w:p>
      <w:r>
        <w:rPr>
          <w:sz w:val="18"/>
        </w:rPr>
        <w:t>| 12 | Prostate | Cold / immunosuppressive | Low TMB; AR suppresses immunity; dMMR/MSI-H rare (~3%) but responsive | Generally ICB-resistant; pembrolizumab for dMMR/MSI-H subset |</w:t>
      </w:r>
    </w:p>
    <w:p>
      <w:pPr>
        <w:pStyle w:val="Heading1"/>
      </w:pPr>
      <w:r>
        <w:t>Appendix G: All 36 Agent Conditions</w:t>
      </w:r>
    </w:p>
    <w:p>
      <w:r>
        <w:t>The `SC_CONDITIONS` dictionary in `src/agent.py` maps 36 clinical conditions to workflows and search terms.</w:t>
      </w:r>
    </w:p>
    <w:p>
      <w:r>
        <w:rPr>
          <w:sz w:val="18"/>
        </w:rPr>
        <w:t>| # | Condition | Domain |</w:t>
      </w:r>
    </w:p>
    <w:p>
      <w:r>
        <w:rPr>
          <w:sz w:val="18"/>
        </w:rPr>
        <w:t>|---|-----------|--------|</w:t>
      </w:r>
    </w:p>
    <w:p>
      <w:r>
        <w:rPr>
          <w:sz w:val="18"/>
        </w:rPr>
        <w:t>| 1 | Non-small cell lung cancer | Solid tumor |</w:t>
      </w:r>
    </w:p>
    <w:p>
      <w:r>
        <w:rPr>
          <w:sz w:val="18"/>
        </w:rPr>
        <w:t>| 2 | Breast cancer | Solid tumor |</w:t>
      </w:r>
    </w:p>
    <w:p>
      <w:r>
        <w:rPr>
          <w:sz w:val="18"/>
        </w:rPr>
        <w:t>| 3 | Colorectal cancer | Solid tumor |</w:t>
      </w:r>
    </w:p>
    <w:p>
      <w:r>
        <w:rPr>
          <w:sz w:val="18"/>
        </w:rPr>
        <w:t>| 4 | Melanoma | Solid tumor |</w:t>
      </w:r>
    </w:p>
    <w:p>
      <w:r>
        <w:rPr>
          <w:sz w:val="18"/>
        </w:rPr>
        <w:t>| 5 | Glioblastoma | Solid tumor |</w:t>
      </w:r>
    </w:p>
    <w:p>
      <w:r>
        <w:rPr>
          <w:sz w:val="18"/>
        </w:rPr>
        <w:t>| 6 | Pancreatic ductal adenocarcinoma | Solid tumor |</w:t>
      </w:r>
    </w:p>
    <w:p>
      <w:r>
        <w:rPr>
          <w:sz w:val="18"/>
        </w:rPr>
        <w:t>| 7 | Hepatocellular carcinoma | Solid tumor |</w:t>
      </w:r>
    </w:p>
    <w:p>
      <w:r>
        <w:rPr>
          <w:sz w:val="18"/>
        </w:rPr>
        <w:t>| 8 | Renal cell carcinoma | Solid tumor |</w:t>
      </w:r>
    </w:p>
    <w:p>
      <w:r>
        <w:rPr>
          <w:sz w:val="18"/>
        </w:rPr>
        <w:t>| 9 | Ovarian cancer | Solid tumor |</w:t>
      </w:r>
    </w:p>
    <w:p>
      <w:r>
        <w:rPr>
          <w:sz w:val="18"/>
        </w:rPr>
        <w:t>| 10 | Head and neck squamous cell carcinoma | Solid tumor |</w:t>
      </w:r>
    </w:p>
    <w:p>
      <w:r>
        <w:rPr>
          <w:sz w:val="18"/>
        </w:rPr>
        <w:t>| 11 | Acute myeloid leukemia | Hematologic malignancy |</w:t>
      </w:r>
    </w:p>
    <w:p>
      <w:r>
        <w:rPr>
          <w:sz w:val="18"/>
        </w:rPr>
        <w:t>| 12 | Diffuse large B-cell lymphoma | Hematologic malignancy |</w:t>
      </w:r>
    </w:p>
    <w:p>
      <w:r>
        <w:rPr>
          <w:sz w:val="18"/>
        </w:rPr>
        <w:t>| 13 | Multiple myeloma | Hematologic malignancy |</w:t>
      </w:r>
    </w:p>
    <w:p>
      <w:r>
        <w:rPr>
          <w:sz w:val="18"/>
        </w:rPr>
        <w:t>| 14 | B-cell acute lymphoblastic leukemia | Hematologic malignancy |</w:t>
      </w:r>
    </w:p>
    <w:p>
      <w:r>
        <w:rPr>
          <w:sz w:val="18"/>
        </w:rPr>
        <w:t>| 15 | Systemic lupus erythematosus | Autoimmune disease |</w:t>
      </w:r>
    </w:p>
    <w:p>
      <w:r>
        <w:rPr>
          <w:sz w:val="18"/>
        </w:rPr>
        <w:t>| 16 | Rheumatoid arthritis | Autoimmune disease |</w:t>
      </w:r>
    </w:p>
    <w:p>
      <w:r>
        <w:rPr>
          <w:sz w:val="18"/>
        </w:rPr>
        <w:t>| 17 | Inflammatory bowel disease | Autoimmune disease |</w:t>
      </w:r>
    </w:p>
    <w:p>
      <w:r>
        <w:rPr>
          <w:sz w:val="18"/>
        </w:rPr>
        <w:t>| 18 | Multiple sclerosis | Autoimmune disease |</w:t>
      </w:r>
    </w:p>
    <w:p>
      <w:r>
        <w:rPr>
          <w:sz w:val="18"/>
        </w:rPr>
        <w:t>| 19 | Normal hematopoiesis | Developmental / normal biology |</w:t>
      </w:r>
    </w:p>
    <w:p>
      <w:r>
        <w:rPr>
          <w:sz w:val="18"/>
        </w:rPr>
        <w:t>| 20 | Embryonic development | Developmental / normal biology |</w:t>
      </w:r>
    </w:p>
    <w:p>
      <w:r>
        <w:rPr>
          <w:sz w:val="18"/>
        </w:rPr>
        <w:t>| 21 | Neurogenesis | Developmental / normal biology |</w:t>
      </w:r>
    </w:p>
    <w:p>
      <w:r>
        <w:rPr>
          <w:sz w:val="18"/>
        </w:rPr>
        <w:t>| 22 | Idiopathic pulmonary fibrosis | Fibrotic / degenerative |</w:t>
      </w:r>
    </w:p>
    <w:p>
      <w:r>
        <w:rPr>
          <w:sz w:val="18"/>
        </w:rPr>
        <w:t>| 23 | Alzheimer disease | Fibrotic / degenerative |</w:t>
      </w:r>
    </w:p>
    <w:p>
      <w:r>
        <w:rPr>
          <w:sz w:val="18"/>
        </w:rPr>
        <w:t>| 24 | COVID-19 | Infectious disease |</w:t>
      </w:r>
    </w:p>
    <w:p>
      <w:r>
        <w:rPr>
          <w:sz w:val="18"/>
        </w:rPr>
        <w:t>| 25 | Bladder cancer | Solid tumor |</w:t>
      </w:r>
    </w:p>
    <w:p>
      <w:r>
        <w:rPr>
          <w:sz w:val="18"/>
        </w:rPr>
        <w:t>| 26 | Prostate cancer | Solid tumor |</w:t>
      </w:r>
    </w:p>
    <w:p>
      <w:r>
        <w:rPr>
          <w:sz w:val="18"/>
        </w:rPr>
        <w:t>| 27 | Thyroid cancer | Solid tumor |</w:t>
      </w:r>
    </w:p>
    <w:p>
      <w:r>
        <w:rPr>
          <w:sz w:val="18"/>
        </w:rPr>
        <w:t>| 28 | Endometrial cancer | Solid tumor |</w:t>
      </w:r>
    </w:p>
    <w:p>
      <w:r>
        <w:rPr>
          <w:sz w:val="18"/>
        </w:rPr>
        <w:t>| 29 | Chronic lymphocytic leukemia | Hematologic malignancy |</w:t>
      </w:r>
    </w:p>
    <w:p>
      <w:r>
        <w:rPr>
          <w:sz w:val="18"/>
        </w:rPr>
        <w:t>| 30 | Myelodysplastic syndrome | Hematologic malignancy |</w:t>
      </w:r>
    </w:p>
    <w:p>
      <w:r>
        <w:rPr>
          <w:sz w:val="18"/>
        </w:rPr>
        <w:t>| 31 | Type 1 diabetes | Autoimmune disease |</w:t>
      </w:r>
    </w:p>
    <w:p>
      <w:r>
        <w:rPr>
          <w:sz w:val="18"/>
        </w:rPr>
        <w:t>| 32 | Asthma | Autoimmune / inflammatory |</w:t>
      </w:r>
    </w:p>
    <w:p>
      <w:r>
        <w:rPr>
          <w:sz w:val="18"/>
        </w:rPr>
        <w:t>| 33 | Liver fibrosis | Fibrotic / degenerative |</w:t>
      </w:r>
    </w:p>
    <w:p>
      <w:r>
        <w:rPr>
          <w:sz w:val="18"/>
        </w:rPr>
        <w:t>| 34 | Kidney disease | Fibrotic / degenerative |</w:t>
      </w:r>
    </w:p>
    <w:p>
      <w:r>
        <w:rPr>
          <w:sz w:val="18"/>
        </w:rPr>
        <w:t>| 35 | Cardiac regeneration | Regenerative |</w:t>
      </w:r>
    </w:p>
    <w:p>
      <w:r>
        <w:rPr>
          <w:sz w:val="18"/>
        </w:rPr>
        <w:t>| 36 | Wound healing | Regenerative |</w:t>
      </w:r>
    </w:p>
    <w:p>
      <w:pPr>
        <w:pStyle w:val="Heading1"/>
      </w:pPr>
      <w:r>
        <w:t>Appendix H: All 31 Agent Cell Types</w:t>
      </w:r>
    </w:p>
    <w:p>
      <w:r>
        <w:t>The `SC_CELL_TYPES` dictionary in `src/agent.py` provides 31 agent-level cell type entries with full ontology mapping.</w:t>
      </w:r>
    </w:p>
    <w:p>
      <w:r>
        <w:rPr>
          <w:sz w:val="18"/>
        </w:rPr>
        <w:t>| # | Cell Type | Markers | Ontology ID |</w:t>
      </w:r>
    </w:p>
    <w:p>
      <w:r>
        <w:rPr>
          <w:sz w:val="18"/>
        </w:rPr>
        <w:t>|---|-----------|---------|-------------|</w:t>
      </w:r>
    </w:p>
    <w:p>
      <w:r>
        <w:rPr>
          <w:sz w:val="18"/>
        </w:rPr>
        <w:t>| 1 | CD8+ Cytotoxic T Lymphocyte | CD8A, CD8B, GZMB, PRF1, IFNG, NKG7 | CL:0000625 |</w:t>
      </w:r>
    </w:p>
    <w:p>
      <w:r>
        <w:rPr>
          <w:sz w:val="18"/>
        </w:rPr>
        <w:t>| 2 | CD4+ T Helper Cell | CD4, IL7R, TCF7, CCR7, FOXP3, IL2RA | CL:0000624 |</w:t>
      </w:r>
    </w:p>
    <w:p>
      <w:r>
        <w:rPr>
          <w:sz w:val="18"/>
        </w:rPr>
        <w:t>| 3 | Regulatory T Cell (Treg) | FOXP3, IL2RA, CTLA4, TIGIT, IKZF2, CD4 | CL:0000815 |</w:t>
      </w:r>
    </w:p>
    <w:p>
      <w:r>
        <w:rPr>
          <w:sz w:val="18"/>
        </w:rPr>
        <w:t>| 4 | B Lymphocyte | CD19, CD79A, MS4A1, PAX5, CD20 | CL:0000236 |</w:t>
      </w:r>
    </w:p>
    <w:p>
      <w:r>
        <w:rPr>
          <w:sz w:val="18"/>
        </w:rPr>
        <w:t>| 5 | Natural Killer Cell | NKG7, GNLY, KLRD1, NCAM1, NCR1, KLRB1 | CL:0000623 |</w:t>
      </w:r>
    </w:p>
    <w:p>
      <w:r>
        <w:rPr>
          <w:sz w:val="18"/>
        </w:rPr>
        <w:t>| 6 | Monocyte | CD14, LYZ, S100A8, S100A9, FCGR3A, VCAN | CL:0000576 |</w:t>
      </w:r>
    </w:p>
    <w:p>
      <w:r>
        <w:rPr>
          <w:sz w:val="18"/>
        </w:rPr>
        <w:t>| 7 | Macrophage | CD68, CD163, MARCO, MSR1, MRC1, CSF1R | CL:0000235 |</w:t>
      </w:r>
    </w:p>
    <w:p>
      <w:r>
        <w:rPr>
          <w:sz w:val="18"/>
        </w:rPr>
        <w:t>| 8 | Dendritic Cell | ITGAX, HLA-DRA, FLT3, CLEC9A, CD1C, LAMP3 | CL:0000451 |</w:t>
      </w:r>
    </w:p>
    <w:p>
      <w:r>
        <w:rPr>
          <w:sz w:val="18"/>
        </w:rPr>
        <w:t>| 9 | Neutrophil | CSF3R, FCGR3B, CXCR2, S100A8, S100A9, MMP9 | CL:0000775 |</w:t>
      </w:r>
    </w:p>
    <w:p>
      <w:r>
        <w:rPr>
          <w:sz w:val="18"/>
        </w:rPr>
        <w:t>| 10 | Mast Cell | KIT, TPSAB1, TPSB2, CPA3, HPGDS, HDC | CL:0000097 |</w:t>
      </w:r>
    </w:p>
    <w:p>
      <w:r>
        <w:rPr>
          <w:sz w:val="18"/>
        </w:rPr>
        <w:t>| 11 | Fibroblast | COL1A1, COL1A2, DCN, LUM, FAP, PDGFRA | CL:0000057 |</w:t>
      </w:r>
    </w:p>
    <w:p>
      <w:r>
        <w:rPr>
          <w:sz w:val="18"/>
        </w:rPr>
        <w:t>| 12 | Endothelial Cell | PECAM1, VWF, CDH5, ERG, FLT1, KDR | CL:0000115 |</w:t>
      </w:r>
    </w:p>
    <w:p>
      <w:r>
        <w:rPr>
          <w:sz w:val="18"/>
        </w:rPr>
        <w:t>| 13 | Epithelial Cell | EPCAM, KRT18, KRT19, CDH1, KRT8 | CL:0000066 |</w:t>
      </w:r>
    </w:p>
    <w:p>
      <w:r>
        <w:rPr>
          <w:sz w:val="18"/>
        </w:rPr>
        <w:t>| 14 | Hematopoietic Stem Cell | CD34, KIT, THY1, CRHBP, HLF, AVP | CL:0000037 |</w:t>
      </w:r>
    </w:p>
    <w:p>
      <w:r>
        <w:rPr>
          <w:sz w:val="18"/>
        </w:rPr>
        <w:t>| 15 | Cancer Stem Cell | CD44, ALDH1A1, PROM1, SOX2, NANOG, OCT4 | CL:0001064 |</w:t>
      </w:r>
    </w:p>
    <w:p>
      <w:r>
        <w:rPr>
          <w:sz w:val="18"/>
        </w:rPr>
        <w:t>| 16 | Oligodendrocyte | MBP, MOG, PLP1, MAG, OLIG2, SOX10 | CL:0000128 |</w:t>
      </w:r>
    </w:p>
    <w:p>
      <w:r>
        <w:rPr>
          <w:sz w:val="18"/>
        </w:rPr>
        <w:t>| 17 | Microglia | TMEM119, P2RY12, CX3CR1, AIF1, CSF1R, TREM2 | CL:0000129 |</w:t>
      </w:r>
    </w:p>
    <w:p>
      <w:r>
        <w:rPr>
          <w:sz w:val="18"/>
        </w:rPr>
        <w:t>| 18 | Astrocyte | GFAP, AQP4, SLC1A3, ALDH1L1, S100B, GJA1 | CL:0000127 |</w:t>
      </w:r>
    </w:p>
    <w:p>
      <w:r>
        <w:rPr>
          <w:sz w:val="18"/>
        </w:rPr>
        <w:t>| 19 | Hepatocyte | ALB, APOB, HNF4A, CYP3A4, TTR, SERPINA1 | CL:0000182 |</w:t>
      </w:r>
    </w:p>
    <w:p>
      <w:r>
        <w:rPr>
          <w:sz w:val="18"/>
        </w:rPr>
        <w:t>| 20 | Cardiomyocyte | TNNT2, MYH7, MYL2, ACTC1, RYR2, TTN | CL:0000746 |</w:t>
      </w:r>
    </w:p>
    <w:p>
      <w:r>
        <w:rPr>
          <w:sz w:val="18"/>
        </w:rPr>
        <w:t>| 21 | Alveolar Type 2 Cell | SFTPC, SFTPB, ABCA3, NKX2-1, LAMP3, ETV5 | CL:0002063 |</w:t>
      </w:r>
    </w:p>
    <w:p>
      <w:r>
        <w:rPr>
          <w:sz w:val="18"/>
        </w:rPr>
        <w:t>| 22 | Plasmacytoid DC | CLEC4C, IL3RA, IRF7, TCF4, LILRA4, JCHAIN | CL:0000784 |</w:t>
      </w:r>
    </w:p>
    <w:p>
      <w:r>
        <w:rPr>
          <w:sz w:val="18"/>
        </w:rPr>
        <w:t>| 23 | cDC1 | CLEC9A, XCR1, BATF3, IRF8, IDO1, CADM1 | CL:0002394 |</w:t>
      </w:r>
    </w:p>
    <w:p>
      <w:r>
        <w:rPr>
          <w:sz w:val="18"/>
        </w:rPr>
        <w:t>| 24 | ILC1 | TBX21, IFNG, IL12RB2, NCR1, KLRB1, IL7R | CL:0001077 |</w:t>
      </w:r>
    </w:p>
    <w:p>
      <w:r>
        <w:rPr>
          <w:sz w:val="18"/>
        </w:rPr>
        <w:t>| 25 | ILC2 | GATA3, IL5, IL13, PTGDR2, IL1RL1, KLRG1 | CL:0001069 |</w:t>
      </w:r>
    </w:p>
    <w:p>
      <w:r>
        <w:rPr>
          <w:sz w:val="18"/>
        </w:rPr>
        <w:t>| 26 | ILC3 | RORC, IL17A, IL22, IL23R, NCR2, KIT | CL:0001071 |</w:t>
      </w:r>
    </w:p>
    <w:p>
      <w:r>
        <w:rPr>
          <w:sz w:val="18"/>
        </w:rPr>
        <w:t>| 27 | Gamma-Delta T Cell | TRGV9, TRDV2, CD3E, TRDC, KLRC1, NKG7 | CL:0000798 |</w:t>
      </w:r>
    </w:p>
    <w:p>
      <w:r>
        <w:rPr>
          <w:sz w:val="18"/>
        </w:rPr>
        <w:t>| 28 | MAIT Cell | TRAV1-2, SLC4A10, KLRB1, ZBTB16, IL18R1, DPP4 | CL:0000940 |</w:t>
      </w:r>
    </w:p>
    <w:p>
      <w:r>
        <w:rPr>
          <w:sz w:val="18"/>
        </w:rPr>
        <w:t>| 29 | Mast Cell (Extended) | KIT, FCER1A, TPSB2, CPA3, HPGDS, HDC | CL:0000097 |</w:t>
      </w:r>
    </w:p>
    <w:p>
      <w:r>
        <w:rPr>
          <w:sz w:val="18"/>
        </w:rPr>
        <w:t>| 30 | Pericyte | RGS5, PDGFRB, NOTCH3, ACTA2, DES, CSPG4 | CL:0000669 |</w:t>
      </w:r>
    </w:p>
    <w:p>
      <w:r>
        <w:rPr>
          <w:sz w:val="18"/>
        </w:rPr>
        <w:t>| 31 | Cancer-Associated Fibroblast | FAP, POSTN, COL1A1, COL3A1, ACTA2, PDPN | CL:0000057 |</w:t>
      </w:r>
    </w:p>
    <w:p>
      <w:pPr>
        <w:pStyle w:val="Heading1"/>
      </w:pPr>
      <w:r>
        <w:t>Appendix I: All 23 Agent Biomarkers</w:t>
      </w:r>
    </w:p>
    <w:p>
      <w:r>
        <w:t>The `SC_BIOMARKERS` dictionary provides 23 single-cell biomarkers for clinical decision support.</w:t>
      </w:r>
    </w:p>
    <w:p>
      <w:r>
        <w:rPr>
          <w:sz w:val="18"/>
        </w:rPr>
        <w:t>| # | Biomarker | Type | Clinical Use |</w:t>
      </w:r>
    </w:p>
    <w:p>
      <w:r>
        <w:rPr>
          <w:sz w:val="18"/>
        </w:rPr>
        <w:t>|---|-----------|------|-------------|</w:t>
      </w:r>
    </w:p>
    <w:p>
      <w:r>
        <w:rPr>
          <w:sz w:val="18"/>
        </w:rPr>
        <w:t>| 1 | CD19 Expression | Surface marker | CAR-T target in B-ALL/DLBCL; antigen-negative escape risk |</w:t>
      </w:r>
    </w:p>
    <w:p>
      <w:r>
        <w:rPr>
          <w:sz w:val="18"/>
        </w:rPr>
        <w:t>| 2 | BCMA Expression | Surface marker | CAR-T/bispecific target in multiple myeloma |</w:t>
      </w:r>
    </w:p>
    <w:p>
      <w:r>
        <w:rPr>
          <w:sz w:val="18"/>
        </w:rPr>
        <w:t>| 3 | PD-L1 Expression by Cell Type | Immune checkpoint | ICB response biomarker; tumor vs. immune cell PD-L1 |</w:t>
      </w:r>
    </w:p>
    <w:p>
      <w:r>
        <w:rPr>
          <w:sz w:val="18"/>
        </w:rPr>
        <w:t>| 4 | Exhaustion Signature | Gene signature | Immunotherapy resistance; TOX depth correlates with exhaustion |</w:t>
      </w:r>
    </w:p>
    <w:p>
      <w:r>
        <w:rPr>
          <w:sz w:val="18"/>
        </w:rPr>
        <w:t>| 5 | Stemness Score (CytoTRACE) | Computational metric | Therapy resistance; metastatic potential; cancer stem cell ID |</w:t>
      </w:r>
    </w:p>
    <w:p>
      <w:r>
        <w:rPr>
          <w:sz w:val="18"/>
        </w:rPr>
        <w:t>| 6 | RNA Velocity | Spliced/unspliced ratio | Differentiation directionality; cells transitioning to resistant states |</w:t>
      </w:r>
    </w:p>
    <w:p>
      <w:r>
        <w:rPr>
          <w:sz w:val="18"/>
        </w:rPr>
        <w:t>| 7 | CNV Inference (inferCNV / CopyKAT) | Computational inference | Malignant vs. non-malignant distinction; clonal architecture |</w:t>
      </w:r>
    </w:p>
    <w:p>
      <w:r>
        <w:rPr>
          <w:sz w:val="18"/>
        </w:rPr>
        <w:t>| 8 | Spatial Autocorrelation | Spatial statistics | Spatially variable genes; niche identification |</w:t>
      </w:r>
    </w:p>
    <w:p>
      <w:r>
        <w:rPr>
          <w:sz w:val="18"/>
        </w:rPr>
        <w:t>| 9 | Clonotype Diversity | TCR/BCR repertoire | Antigen-driven clonal expansion; systemic immune response |</w:t>
      </w:r>
    </w:p>
    <w:p>
      <w:r>
        <w:rPr>
          <w:sz w:val="18"/>
        </w:rPr>
        <w:t>| 10 | Ligand-Receptor Score | Cell communication | Intercellular signaling; druggable communication axes |</w:t>
      </w:r>
    </w:p>
    <w:p>
      <w:r>
        <w:rPr>
          <w:sz w:val="18"/>
        </w:rPr>
        <w:t>| 11 | Cell Cycle Score | S/G2M gene sets | Proliferative subpopulations; chemo-sensitivity correlation |</w:t>
      </w:r>
    </w:p>
    <w:p>
      <w:r>
        <w:rPr>
          <w:sz w:val="18"/>
        </w:rPr>
        <w:t>| 12 | Gene Module Score (NMF/cNMF) | Transcriptional programs | Tumor-intrinsic programs: EMT, hypoxia, immune evasion |</w:t>
      </w:r>
    </w:p>
    <w:p>
      <w:r>
        <w:rPr>
          <w:sz w:val="18"/>
        </w:rPr>
        <w:t>| 13 | ADT Protein Level | CITE-seq protein | Surface marker validation; RNA-protein discordance resolution |</w:t>
      </w:r>
    </w:p>
    <w:p>
      <w:r>
        <w:rPr>
          <w:sz w:val="18"/>
        </w:rPr>
        <w:t>| 14 | Chromatin Accessibility | scATAC-seq peaks | Regulatory elements; TF motifs; epigenetic reprogramming |</w:t>
      </w:r>
    </w:p>
    <w:p>
      <w:r>
        <w:rPr>
          <w:sz w:val="18"/>
        </w:rPr>
        <w:t>| 15 | DepMap Dependency Score | CRISPR screen | Essential genes per cancer type; therapeutic target nomination |</w:t>
      </w:r>
    </w:p>
    <w:p>
      <w:r>
        <w:rPr>
          <w:sz w:val="18"/>
        </w:rPr>
        <w:t>| 16 | Immune Exclusion Score | TGF-beta + collagen | Fibrotic barrier preventing T-cell infiltration; anti-PD-1 resistance |</w:t>
      </w:r>
    </w:p>
    <w:p>
      <w:r>
        <w:rPr>
          <w:sz w:val="18"/>
        </w:rPr>
        <w:t>| 17 | T Cell Clonality | TCR repertoire diversity | Antigen-driven expansion; clonality shifts track treatment response |</w:t>
      </w:r>
    </w:p>
    <w:p>
      <w:r>
        <w:rPr>
          <w:sz w:val="18"/>
        </w:rPr>
        <w:t>| 18 | M1/M2 Ratio | Gene signature scoring | Macrophage polarization; immunotherapy response prediction |</w:t>
      </w:r>
    </w:p>
    <w:p>
      <w:r>
        <w:rPr>
          <w:sz w:val="18"/>
        </w:rPr>
        <w:t>| 19 | Cancer Stemness Signature | Multi-marker program | ALDH1A1/CD44/SOX2; chemoresistance and metastatic capacity |</w:t>
      </w:r>
    </w:p>
    <w:p>
      <w:r>
        <w:rPr>
          <w:sz w:val="18"/>
        </w:rPr>
        <w:t>| 20 | Metabolic Fitness Score | OXPHOS vs. glycolysis | T-cell anti-tumor activity; Warburg effect immunosuppression |</w:t>
      </w:r>
    </w:p>
    <w:p>
      <w:r>
        <w:rPr>
          <w:sz w:val="18"/>
        </w:rPr>
        <w:t>| 21 | Spatial Colocalization Score | Spatial proximity metrics | CD8+ T cell-tumor proximity predicts immunotherapy response |</w:t>
      </w:r>
    </w:p>
    <w:p>
      <w:r>
        <w:rPr>
          <w:sz w:val="18"/>
        </w:rPr>
        <w:t>| 22 | Antigen Presentation Machinery | HLA-I + B2M + TAP1 | Immune evasion detection; B2M loss predicts ICB resistance |</w:t>
      </w:r>
    </w:p>
    <w:p>
      <w:r>
        <w:rPr>
          <w:sz w:val="18"/>
        </w:rPr>
        <w:t>| 23 | Proliferation Index | MKI67 + TOP2A composite | Cycling tumor subpopulations; chemo-sensitivity vs. aggression |</w:t>
      </w:r>
    </w:p>
    <w:p>
      <w:pPr>
        <w:pStyle w:val="Heading1"/>
      </w:pPr>
      <w:r>
        <w:t>Appendix J: All 10 Workflows with Demo Status</w:t>
      </w:r>
    </w:p>
    <w:p>
      <w:r>
        <w:t>Each workflow maps to a `SCWorkflowType` enum value and is implemented in `src/clinical_workflows.py`.</w:t>
      </w:r>
    </w:p>
    <w:p>
      <w:r>
        <w:rPr>
          <w:sz w:val="18"/>
        </w:rPr>
        <w:t>| # | Workflow | Key Input | Knowledge Fallback | Demo Status |</w:t>
      </w:r>
    </w:p>
    <w:p>
      <w:r>
        <w:rPr>
          <w:sz w:val="18"/>
        </w:rPr>
        <w:t>|---|----------|-----------|-------------------|-------------|</w:t>
      </w:r>
    </w:p>
    <w:p>
      <w:r>
        <w:rPr>
          <w:sz w:val="18"/>
        </w:rPr>
        <w:t>| 1 | Cell Type Annotation | Expression matrix, marker genes, reference labels | CELL_TYPE_ATLAS (44 entries), MARKER_GENE_DATABASE (75 entries) | PASS -- knowledge fallback verified |</w:t>
      </w:r>
    </w:p>
    <w:p>
      <w:r>
        <w:rPr>
          <w:sz w:val="18"/>
        </w:rPr>
        <w:t>| 2 | TME Classification | Cell type proportions, gene expression, PD-L1 TPS | TME_PROFILES (4), CANCER_TME_ATLAS (12) | PASS -- knowledge fallback verified |</w:t>
      </w:r>
    </w:p>
    <w:p>
      <w:r>
        <w:rPr>
          <w:sz w:val="18"/>
        </w:rPr>
        <w:t>| 3 | Drug Response | Gene expression, cell type, drug name, genomic alterations | DRUG_SENSITIVITY_DATABASE (30 drugs) | PASS -- knowledge fallback verified |</w:t>
      </w:r>
    </w:p>
    <w:p>
      <w:r>
        <w:rPr>
          <w:sz w:val="18"/>
        </w:rPr>
        <w:t>| 4 | Subclonal Architecture | CNV profile, mutation data, cell count | Clonal fitness scoring, escape risk assessment | PASS -- knowledge fallback verified |</w:t>
      </w:r>
    </w:p>
    <w:p>
      <w:r>
        <w:rPr>
          <w:sz w:val="18"/>
        </w:rPr>
        <w:t>| 5 | Spatial Niche | Spatial coordinates, cell types, platform | SPATIAL_PLATFORMS (4), spatial statistics library | PASS -- knowledge fallback verified |</w:t>
      </w:r>
    </w:p>
    <w:p>
      <w:r>
        <w:rPr>
          <w:sz w:val="18"/>
        </w:rPr>
        <w:t>| 6 | Trajectory Inference | Gene expression, cell types, root cell type | Pseudotime, RNA velocity, differentiation scoring | PASS -- knowledge fallback verified |</w:t>
      </w:r>
    </w:p>
    <w:p>
      <w:r>
        <w:rPr>
          <w:sz w:val="18"/>
        </w:rPr>
        <w:t>| 7 | Ligand-Receptor | Cell types, gene expression, source/target cell types | LIGAND_RECEPTOR_PAIRS (25) | PASS -- knowledge fallback verified |</w:t>
      </w:r>
    </w:p>
    <w:p>
      <w:r>
        <w:rPr>
          <w:sz w:val="18"/>
        </w:rPr>
        <w:t>| 8 | Biomarker Discovery | Differential expression, cell type, condition comparison | SC_BIOMARKERS (23), marker databases | PASS -- knowledge fallback verified |</w:t>
      </w:r>
    </w:p>
    <w:p>
      <w:r>
        <w:rPr>
          <w:sz w:val="18"/>
        </w:rPr>
        <w:t>| 9 | CAR-T Target Validation | Target gene, tumor type, expression data, normal tissue expression | Vital organ safety checking, therapeutic index scoring | PASS -- knowledge fallback verified |</w:t>
      </w:r>
    </w:p>
    <w:p>
      <w:r>
        <w:rPr>
          <w:sz w:val="18"/>
        </w:rPr>
        <w:t>| 10 | Treatment Monitoring | Timepoints, treatment, baseline/current composition | Clonal dynamics, resistance emergence detection | PASS -- knowledge fallback verified |</w:t>
      </w:r>
    </w:p>
    <w:p>
      <w:pPr>
        <w:pStyle w:val="Heading1"/>
      </w:pPr>
      <w:r>
        <w:t>Appendix K: All API Endpoints</w:t>
      </w:r>
    </w:p>
    <w:p>
      <w:r>
        <w:t>Complete inventory of 27 API endpoints across the FastAPI application.</w:t>
      </w:r>
    </w:p>
    <w:p>
      <w:r>
        <w:rPr>
          <w:sz w:val="18"/>
        </w:rPr>
        <w:t>| # | Method | Path | Auth | Milvus Required |</w:t>
      </w:r>
    </w:p>
    <w:p>
      <w:r>
        <w:rPr>
          <w:sz w:val="18"/>
        </w:rPr>
        <w:t>|---|--------|------|------|----------------|</w:t>
      </w:r>
    </w:p>
    <w:p>
      <w:r>
        <w:rPr>
          <w:sz w:val="18"/>
        </w:rPr>
        <w:t>| 1 | GET | /health | No | No |</w:t>
      </w:r>
    </w:p>
    <w:p>
      <w:r>
        <w:rPr>
          <w:sz w:val="18"/>
        </w:rPr>
        <w:t>| 2 | GET | /collections | No | Yes (graceful) |</w:t>
      </w:r>
    </w:p>
    <w:p>
      <w:r>
        <w:rPr>
          <w:sz w:val="18"/>
        </w:rPr>
        <w:t>| 3 | GET | /workflows | No | No |</w:t>
      </w:r>
    </w:p>
    <w:p>
      <w:r>
        <w:rPr>
          <w:sz w:val="18"/>
        </w:rPr>
        <w:t>| 4 | GET | /metrics | No | No |</w:t>
      </w:r>
    </w:p>
    <w:p>
      <w:r>
        <w:rPr>
          <w:sz w:val="18"/>
        </w:rPr>
        <w:t>| 5 | POST | /v1/sc/query | API key | Yes (LLM fallback) |</w:t>
      </w:r>
    </w:p>
    <w:p>
      <w:r>
        <w:rPr>
          <w:sz w:val="18"/>
        </w:rPr>
        <w:t>| 6 | POST | /v1/sc/search | API key | Yes (empty fallback) |</w:t>
      </w:r>
    </w:p>
    <w:p>
      <w:r>
        <w:rPr>
          <w:sz w:val="18"/>
        </w:rPr>
        <w:t>| 7 | POST | /v1/sc/annotate | API key | Yes (KB fallback) |</w:t>
      </w:r>
    </w:p>
    <w:p>
      <w:r>
        <w:rPr>
          <w:sz w:val="18"/>
        </w:rPr>
        <w:t>| 8 | POST | /v1/sc/tme-profile | API key | Yes (KB fallback) |</w:t>
      </w:r>
    </w:p>
    <w:p>
      <w:r>
        <w:rPr>
          <w:sz w:val="18"/>
        </w:rPr>
        <w:t>| 9 | POST | /v1/sc/drug-response | API key | Yes (KB fallback) |</w:t>
      </w:r>
    </w:p>
    <w:p>
      <w:r>
        <w:rPr>
          <w:sz w:val="18"/>
        </w:rPr>
        <w:t>| 10 | POST | /v1/sc/subclonal | API key | Yes (KB fallback) |</w:t>
      </w:r>
    </w:p>
    <w:p>
      <w:r>
        <w:rPr>
          <w:sz w:val="18"/>
        </w:rPr>
        <w:t>| 11 | POST | /v1/sc/spatial-niche | API key | Yes (KB fallback) |</w:t>
      </w:r>
    </w:p>
    <w:p>
      <w:r>
        <w:rPr>
          <w:sz w:val="18"/>
        </w:rPr>
        <w:t>| 12 | POST | /v1/sc/trajectory | API key | Yes (KB fallback) |</w:t>
      </w:r>
    </w:p>
    <w:p>
      <w:r>
        <w:rPr>
          <w:sz w:val="18"/>
        </w:rPr>
        <w:t>| 13 | POST | /v1/sc/ligand-receptor | API key | Yes (KB fallback) |</w:t>
      </w:r>
    </w:p>
    <w:p>
      <w:r>
        <w:rPr>
          <w:sz w:val="18"/>
        </w:rPr>
        <w:t>| 14 | POST | /v1/sc/biomarker | API key | Yes (KB fallback) |</w:t>
      </w:r>
    </w:p>
    <w:p>
      <w:r>
        <w:rPr>
          <w:sz w:val="18"/>
        </w:rPr>
        <w:t>| 15 | POST | /v1/sc/cart-validate | API key | Yes (KB fallback) |</w:t>
      </w:r>
    </w:p>
    <w:p>
      <w:r>
        <w:rPr>
          <w:sz w:val="18"/>
        </w:rPr>
        <w:t>| 16 | POST | /v1/sc/treatment-monitor | API key | Yes (KB fallback) |</w:t>
      </w:r>
    </w:p>
    <w:p>
      <w:r>
        <w:rPr>
          <w:sz w:val="18"/>
        </w:rPr>
        <w:t>| 17 | POST | /v1/sc/workflow/{workflow_type} | API key | Yes (KB fallback) |</w:t>
      </w:r>
    </w:p>
    <w:p>
      <w:r>
        <w:rPr>
          <w:sz w:val="18"/>
        </w:rPr>
        <w:t>| 18 | GET | /v1/sc/cell-types | No | No |</w:t>
      </w:r>
    </w:p>
    <w:p>
      <w:r>
        <w:rPr>
          <w:sz w:val="18"/>
        </w:rPr>
        <w:t>| 19 | GET | /v1/sc/markers | No | No |</w:t>
      </w:r>
    </w:p>
    <w:p>
      <w:r>
        <w:rPr>
          <w:sz w:val="18"/>
        </w:rPr>
        <w:t>| 20 | GET | /v1/sc/tme-classes | No | No |</w:t>
      </w:r>
    </w:p>
    <w:p>
      <w:r>
        <w:rPr>
          <w:sz w:val="18"/>
        </w:rPr>
        <w:t>| 21 | GET | /v1/sc/spatial-platforms | No | No |</w:t>
      </w:r>
    </w:p>
    <w:p>
      <w:r>
        <w:rPr>
          <w:sz w:val="18"/>
        </w:rPr>
        <w:t>| 22 | GET | /v1/sc/knowledge-version | No | No |</w:t>
      </w:r>
    </w:p>
    <w:p>
      <w:r>
        <w:rPr>
          <w:sz w:val="18"/>
        </w:rPr>
        <w:t>| 23 | POST | /v1/reports/generate | API key | No |</w:t>
      </w:r>
    </w:p>
    <w:p>
      <w:r>
        <w:rPr>
          <w:sz w:val="18"/>
        </w:rPr>
        <w:t>| 24 | GET | /v1/reports/formats | No | No |</w:t>
      </w:r>
    </w:p>
    <w:p>
      <w:r>
        <w:rPr>
          <w:sz w:val="18"/>
        </w:rPr>
        <w:t>| 25 | GET | /v1/events/stream | No | No (SSE) |</w:t>
      </w:r>
    </w:p>
    <w:p>
      <w:r>
        <w:rPr>
          <w:sz w:val="18"/>
        </w:rPr>
        <w:t>| 26 | GET | /v1/events/health | No | No |</w:t>
      </w:r>
    </w:p>
    <w:p>
      <w:r>
        <w:rPr>
          <w:sz w:val="18"/>
        </w:rPr>
        <w:t>| 27 | -- | Streamlit UI (:8130) | Session | No (calls API) |</w:t>
      </w:r>
    </w:p>
    <w:p>
      <w:pPr>
        <w:pStyle w:val="Heading1"/>
      </w:pPr>
      <w:r>
        <w:t>Appendix L: Query Expansion Detail</w:t>
      </w:r>
    </w:p>
    <w:p>
      <w:pPr>
        <w:pStyle w:val="Heading2"/>
      </w:pPr>
      <w:r>
        <w:t>L.1 Synonym Maps (14 maps, 127 categories)</w:t>
      </w:r>
    </w:p>
    <w:p>
      <w:r>
        <w:t>The `QueryExpander` class in `src/query_expansion.py` maintains 14 domain-specific synonym maps aggregated in the `SC_SYNONYMS` dictionary.</w:t>
      </w:r>
    </w:p>
    <w:p>
      <w:r>
        <w:rPr>
          <w:sz w:val="18"/>
        </w:rPr>
        <w:t>| # | Map Name | Categories | Total Synonyms | Coverage |</w:t>
      </w:r>
    </w:p>
    <w:p>
      <w:r>
        <w:rPr>
          <w:sz w:val="18"/>
        </w:rPr>
        <w:t>|---|----------|-----------|---------------|----------|</w:t>
      </w:r>
    </w:p>
    <w:p>
      <w:r>
        <w:rPr>
          <w:sz w:val="18"/>
        </w:rPr>
        <w:t>| 1 | CELL_TYPE_MAP | 16 | 108 | T cell, CD8_T, CD4_T, Treg, NK, B cell, Plasma, Monocyte, Macrophage, DC, Fibroblast, Endothelial, Epithelial, Neutrophil, Mast cell, Stem cell |</w:t>
      </w:r>
    </w:p>
    <w:p>
      <w:r>
        <w:rPr>
          <w:sz w:val="18"/>
        </w:rPr>
        <w:t>| 2 | MARKER_MAP | 10 | 52 | CD3, CD8, CD4, FOXP3, CD19, CD20, PD1, PDL1, Checkpoint, Granzyme |</w:t>
      </w:r>
    </w:p>
    <w:p>
      <w:r>
        <w:rPr>
          <w:sz w:val="18"/>
        </w:rPr>
        <w:t>| 3 | SPATIAL_MAP | 8 | 48 | Visium, MERFISH, Xenium, CODEX, CosMx, Slide-seq, Stereo-seq, Deconvolution |</w:t>
      </w:r>
    </w:p>
    <w:p>
      <w:r>
        <w:rPr>
          <w:sz w:val="18"/>
        </w:rPr>
        <w:t>| 4 | TME_MAP | 6 | 42 | Hot tumor, Cold tumor, Excluded, Immunosuppressive, Immune checkpoint, TME profiling |</w:t>
      </w:r>
    </w:p>
    <w:p>
      <w:r>
        <w:rPr>
          <w:sz w:val="18"/>
        </w:rPr>
        <w:t>| 5 | DRUG_RESPONSE_MAP | 5 | 38 | Checkpoint inhibitor, Targeted therapy, Cell therapy, Drug sensitivity, Resistance |</w:t>
      </w:r>
    </w:p>
    <w:p>
      <w:r>
        <w:rPr>
          <w:sz w:val="18"/>
        </w:rPr>
        <w:t>| 6 | TRAJECTORY_MAP | 6 | 37 | Pseudotime, RNA velocity, Differentiation, Exhaustion trajectory, EMT, Cell cycle |</w:t>
      </w:r>
    </w:p>
    <w:p>
      <w:r>
        <w:rPr>
          <w:sz w:val="18"/>
        </w:rPr>
        <w:t>| 7 | TECHNOLOGY_MAP | 6 | 35 | Droplet, Plate-based, Combinatorial, Multiome, Perturbation, Single-nucleus |</w:t>
      </w:r>
    </w:p>
    <w:p>
      <w:r>
        <w:rPr>
          <w:sz w:val="18"/>
        </w:rPr>
        <w:t>| 8 | CANCER_TYPE_MAP | 10 | 58 | Lung, Breast, Melanoma, Colorectal, GBM, Leukemia, Lymphoma, Myeloma, Pancreatic, Renal |</w:t>
      </w:r>
    </w:p>
    <w:p>
      <w:r>
        <w:rPr>
          <w:sz w:val="18"/>
        </w:rPr>
        <w:t>| 9 | TISSUE_MAP | 10 | 61 | PBMC, Tumor, Lymph node, Bone marrow, Brain, Lung, Gut, Liver, Skin, Kidney |</w:t>
      </w:r>
    </w:p>
    <w:p>
      <w:r>
        <w:rPr>
          <w:sz w:val="18"/>
        </w:rPr>
        <w:t>| 10 | METHOD_MAP | 8 | 60 | Clustering, Annotation, Integration, Dim reduction, DE, Imputation, Doublet detection, Cell communication |</w:t>
      </w:r>
    </w:p>
    <w:p>
      <w:r>
        <w:rPr>
          <w:sz w:val="18"/>
        </w:rPr>
        <w:t>| 11 | IMMUNE_MAP | 5 | 38 | Exhaustion, Cytotoxicity, Immune infiltration, Immune evasion, Inflammation |</w:t>
      </w:r>
    </w:p>
    <w:p>
      <w:r>
        <w:rPr>
          <w:sz w:val="18"/>
        </w:rPr>
        <w:t>| 12 | GENE_EXPRESSION_MAP | 5 | 37 | Normalization, HVG, Scoring, Regulon, CNV inference |</w:t>
      </w:r>
    </w:p>
    <w:p>
      <w:r>
        <w:rPr>
          <w:sz w:val="18"/>
        </w:rPr>
        <w:t>| 13 | SPATIAL_ANALYSIS_MAP | 3 | 25 | Spatial deconvolution, Spatial autocorrelation, Niche detection |</w:t>
      </w:r>
    </w:p>
    <w:p>
      <w:r>
        <w:rPr>
          <w:sz w:val="18"/>
        </w:rPr>
        <w:t>| 14 | MULTIOMICS_MAP | 3 | 22 | Multiome assay, Chromatin accessibility, Protein surface |</w:t>
      </w:r>
    </w:p>
    <w:p>
      <w:pPr>
        <w:pStyle w:val="Heading2"/>
      </w:pPr>
      <w:r>
        <w:t>L.2 Entity Aliases (232 total)</w:t>
      </w:r>
    </w:p>
    <w:p>
      <w:r>
        <w:t>The `ENTITY_ALIASES` dictionary provides 232 alias-to-canonical mappings across the following categories:</w:t>
      </w:r>
    </w:p>
    <w:p>
      <w:r>
        <w:rPr>
          <w:sz w:val="18"/>
        </w:rPr>
        <w:t>| Category | Count | Examples |</w:t>
      </w:r>
    </w:p>
    <w:p>
      <w:r>
        <w:rPr>
          <w:sz w:val="18"/>
        </w:rPr>
        <w:t>|----------|-------|---------|</w:t>
      </w:r>
    </w:p>
    <w:p>
      <w:r>
        <w:rPr>
          <w:sz w:val="18"/>
        </w:rPr>
        <w:t>| Technology abbreviations | 30 | scRNA-seq, snRNA-seq, CITE-seq, CROP-seq, Perturb-seq |</w:t>
      </w:r>
    </w:p>
    <w:p>
      <w:r>
        <w:rPr>
          <w:sz w:val="18"/>
        </w:rPr>
        <w:t>| Spatial platforms | 13 | MERFISH, MERSCOPE, Visium, Xenium, CODEX, CosMx, Stereo-seq |</w:t>
      </w:r>
    </w:p>
    <w:p>
      <w:r>
        <w:rPr>
          <w:sz w:val="18"/>
        </w:rPr>
        <w:t>| Cell type abbreviations | 38 | Treg, CTL, TIL, NKT, MAIT, Tfh, Th1/2/17, cDC1/2, pDC, TAM, CAF, MDSC, HSC, MSC, OPC |</w:t>
      </w:r>
    </w:p>
    <w:p>
      <w:r>
        <w:rPr>
          <w:sz w:val="18"/>
        </w:rPr>
        <w:t>| Gene / marker abbreviations | 19 | PD-1, PD-L1, CTLA-4, TIM-3, LAG-3, SMA, NeuN, CD56, CD138, EpCAM |</w:t>
      </w:r>
    </w:p>
    <w:p>
      <w:r>
        <w:rPr>
          <w:sz w:val="18"/>
        </w:rPr>
        <w:t>| Analysis methods | 30 | UMAP, tSNE, PCA, HVG, DEG, GRN, CNV, UMI, SCENIC, CellChat, Scanpy |</w:t>
      </w:r>
    </w:p>
    <w:p>
      <w:r>
        <w:rPr>
          <w:sz w:val="18"/>
        </w:rPr>
        <w:t>| TME / immuno-oncology | 18 | TME, ICB, IO, ICI, ADCC, ADC, CAR-T, BiTE, CRS, MRD, EMT |</w:t>
      </w:r>
    </w:p>
    <w:p>
      <w:r>
        <w:rPr>
          <w:sz w:val="18"/>
        </w:rPr>
        <w:t>| Cancer types | 19 | NSCLC, SCLC, TNBC, CRC, HCC, RCC, GBM, AML, ALL, DLBCL, PDAC |</w:t>
      </w:r>
    </w:p>
    <w:p>
      <w:r>
        <w:rPr>
          <w:sz w:val="18"/>
        </w:rPr>
        <w:t>| Foundation models | 10 | scGPT, Geneformer, scFoundation, scBERT, scVI, scANVI, CellTypist |</w:t>
      </w:r>
    </w:p>
    <w:p>
      <w:r>
        <w:rPr>
          <w:sz w:val="18"/>
        </w:rPr>
        <w:t>| Databases and resources | 8 | CellxGene, HCA, GEO, SRA, DepMap, GDSC, CCLE, TCGA |</w:t>
      </w:r>
    </w:p>
    <w:p>
      <w:r>
        <w:rPr>
          <w:sz w:val="18"/>
        </w:rPr>
        <w:t>| T-cell states | 5 | TRM, TCM, TEM, Teff, Tex |</w:t>
      </w:r>
    </w:p>
    <w:p>
      <w:r>
        <w:rPr>
          <w:sz w:val="18"/>
        </w:rPr>
        <w:t>| Batch correction tools | 4 | Harmony, BBKNN, Scanorama, fastMNN |</w:t>
      </w:r>
    </w:p>
    <w:p>
      <w:r>
        <w:rPr>
          <w:sz w:val="18"/>
        </w:rPr>
        <w:t>| Spatial deconvolution | 5 | Tangram, CIBERSORTx, MuSiC, stereoscope, DestDE |</w:t>
      </w:r>
    </w:p>
    <w:p>
      <w:r>
        <w:rPr>
          <w:sz w:val="18"/>
        </w:rPr>
        <w:t>| Multi-omic assays | 3 | DOGMA-seq, Multiome, TotalSeq |</w:t>
      </w:r>
    </w:p>
    <w:p>
      <w:r>
        <w:rPr>
          <w:sz w:val="18"/>
        </w:rPr>
        <w:t>| Additional spatial tools | 7 | SpatialDE, SPARK, ArchR, Signac, chromVAR, LIANA, LIANA+ |</w:t>
      </w:r>
    </w:p>
    <w:p>
      <w:r>
        <w:rPr>
          <w:sz w:val="18"/>
        </w:rPr>
        <w:t>| Additional cell states | 5 | gdT, Vd1, Vd2, ILCs, MAITs |</w:t>
      </w:r>
    </w:p>
    <w:p>
      <w:r>
        <w:rPr>
          <w:sz w:val="18"/>
        </w:rPr>
        <w:t>| Additional databases | 3 | PanglaoDB, CellMarker, CL (Cell Ontology) |</w:t>
      </w:r>
    </w:p>
    <w:p>
      <w:r>
        <w:rPr>
          <w:sz w:val="18"/>
        </w:rPr>
        <w:t>| Sequencing platforms | 1 | 10x Chromium |</w:t>
      </w:r>
    </w:p>
    <w:p>
      <w:r>
        <w:rPr>
          <w:sz w:val="18"/>
        </w:rPr>
        <w:t>| Technologies | 2 | scATAC, CyTOF |</w:t>
      </w:r>
    </w:p>
    <w:p>
      <w:r>
        <w:rPr>
          <w:sz w:val="18"/>
        </w:rPr>
        <w:t>| **Total** | **232** | |</w:t>
      </w:r>
    </w:p>
    <w:p>
      <w:pPr>
        <w:pStyle w:val="Heading1"/>
      </w:pPr>
      <w:r>
        <w:t>Appendix M: Issues Found and Fixed (15 items)</w:t>
      </w:r>
    </w:p>
    <w:p>
      <w:r>
        <w:t>Issues identified during production readiness review and their resolution status.</w:t>
      </w:r>
    </w:p>
    <w:p>
      <w:r>
        <w:rPr>
          <w:sz w:val="18"/>
        </w:rPr>
        <w:t>| # | Issue | Severity | Fix | Status |</w:t>
      </w:r>
    </w:p>
    <w:p>
      <w:r>
        <w:rPr>
          <w:sz w:val="18"/>
        </w:rPr>
        <w:t>|---|-------|----------|-----|--------|</w:t>
      </w:r>
    </w:p>
    <w:p>
      <w:r>
        <w:rPr>
          <w:sz w:val="18"/>
        </w:rPr>
        <w:t>| 1 | Dual SCWorkflowType enum definition (src/models.py + src/agent.py) | CRITICAL | Consolidate to single definition in src/models.py | OPEN -- must fix pre-production |</w:t>
      </w:r>
    </w:p>
    <w:p>
      <w:r>
        <w:rPr>
          <w:sz w:val="18"/>
        </w:rPr>
        <w:t>| 2 | Empty API_KEY default allows unauthenticated access | CRITICAL | Enforce non-empty API_KEY at startup with validation | OPEN -- must fix pre-production |</w:t>
      </w:r>
    </w:p>
    <w:p>
      <w:r>
        <w:rPr>
          <w:sz w:val="18"/>
        </w:rPr>
        <w:t>| 3 | No TLS termination on API server | HIGH | Deploy behind nginx/Caddy reverse proxy with TLS | OPEN -- must fix pre-production |</w:t>
      </w:r>
    </w:p>
    <w:p>
      <w:r>
        <w:rPr>
          <w:sz w:val="18"/>
        </w:rPr>
        <w:t>| 4 | RAG engine test coverage at 45% (target 80%) | HIGH | Add parametric tests for multi-collection queries | OPEN |</w:t>
      </w:r>
    </w:p>
    <w:p>
      <w:r>
        <w:rPr>
          <w:sz w:val="18"/>
        </w:rPr>
        <w:t>| 5 | No circuit breaker for cross-agent HTTP calls | HIGH | Implement tenacity retry with exponential backoff and circuit break | OPEN |</w:t>
      </w:r>
    </w:p>
    <w:p>
      <w:r>
        <w:rPr>
          <w:sz w:val="18"/>
        </w:rPr>
        <w:t>| 6 | Ingest pipeline has zero test coverage | HIGH | Add tests for cellxgene_parser, marker_parser, tme_parser | OPEN |</w:t>
      </w:r>
    </w:p>
    <w:p>
      <w:r>
        <w:rPr>
          <w:sz w:val="18"/>
        </w:rPr>
        <w:t>| 7 | Missing request-ID tracing across API calls | MODERATE | Add X-Request-ID middleware propagating through all layers | OPEN |</w:t>
      </w:r>
    </w:p>
    <w:p>
      <w:r>
        <w:rPr>
          <w:sz w:val="18"/>
        </w:rPr>
        <w:t>| 8 | KNOWLEDGE_VERSION.counts says 44 cell types but atlas header says 32 | MODERATE | Updated header comment to match actual 44 entries | FIXED |</w:t>
      </w:r>
    </w:p>
    <w:p>
      <w:r>
        <w:rPr>
          <w:sz w:val="18"/>
        </w:rPr>
        <w:t>| 9 | DRUG_SENSITIVITY_DATABASE header says 22 drugs but contains 30 | MODERATE | Updated header comment to match actual 30 entries | FIXED |</w:t>
      </w:r>
    </w:p>
    <w:p>
      <w:r>
        <w:rPr>
          <w:sz w:val="18"/>
        </w:rPr>
        <w:t>| 10 | MARKER_GENE_DATABASE header says 55 markers but contains 75 | MODERATE | Updated header comment to match actual 75 entries | FIXED |</w:t>
      </w:r>
    </w:p>
    <w:p>
      <w:r>
        <w:rPr>
          <w:sz w:val="18"/>
        </w:rPr>
        <w:t>| 11 | pDC appears in both DC subtypes and as separate Plasmacytoid_DC entry | LOW | Intentional: separate entry enables independent marker scoring | ACCEPTED |</w:t>
      </w:r>
    </w:p>
    <w:p>
      <w:r>
        <w:rPr>
          <w:sz w:val="18"/>
        </w:rPr>
        <w:t>| 12 | Erythrocyte_precursor and Erythroid_progenitor share CL:0000764 | LOW | Different marker emphasis; progenitor focuses on BFU-E/CFU-E subtypes | ACCEPTED |</w:t>
      </w:r>
    </w:p>
    <w:p>
      <w:r>
        <w:rPr>
          <w:sz w:val="18"/>
        </w:rPr>
        <w:t>| 13 | No Redis-backed rate limiting | LOW | Planned for next sprint; in-memory rate counter sufficient for demo | DEFERRED |</w:t>
      </w:r>
    </w:p>
    <w:p>
      <w:r>
        <w:rPr>
          <w:sz w:val="18"/>
        </w:rPr>
        <w:t>| 14 | No OpenTelemetry distributed tracing | LOW | Planned for next sprint; structured logging provides basic observability | DEFERRED |</w:t>
      </w:r>
    </w:p>
    <w:p>
      <w:r>
        <w:rPr>
          <w:sz w:val="18"/>
        </w:rPr>
        <w:t>| 15 | RAPIDS GPU acceleration not yet integrated | LOW | Planned for next sprint; CPU fallback paths tested and functional | DEFERRED |</w:t>
      </w:r>
    </w:p>
    <w:p>
      <w:pPr>
        <w:pStyle w:val="Heading1"/>
      </w:pPr>
      <w:r>
        <w:t>Appendix N: Source File Inventory</w:t>
      </w:r>
    </w:p>
    <w:p>
      <w:r>
        <w:t>Top 15 source files by lines of code (42 Python files, 19,929 total LOC, 185 tests).</w:t>
      </w:r>
    </w:p>
    <w:p>
      <w:r>
        <w:rPr>
          <w:sz w:val="18"/>
        </w:rPr>
        <w:t>| # | File | LOC | Purpose |</w:t>
      </w:r>
    </w:p>
    <w:p>
      <w:r>
        <w:rPr>
          <w:sz w:val="18"/>
        </w:rPr>
        <w:t>|---|------|-----|---------|</w:t>
      </w:r>
    </w:p>
    <w:p>
      <w:r>
        <w:rPr>
          <w:sz w:val="18"/>
        </w:rPr>
        <w:t>| 1 | src/agent.py | 2,090 | Autonomous reasoning agent with search planning and entity detection |</w:t>
      </w:r>
    </w:p>
    <w:p>
      <w:r>
        <w:rPr>
          <w:sz w:val="18"/>
        </w:rPr>
        <w:t>| 2 | src/knowledge.py | 1,816 | Domain knowledge base: cell types, drugs, markers, immune signatures, LR pairs |</w:t>
      </w:r>
    </w:p>
    <w:p>
      <w:r>
        <w:rPr>
          <w:sz w:val="18"/>
        </w:rPr>
        <w:t>| 3 | src/clinical_workflows.py | 1,792 | 10 clinical workflow implementations (annotate, TME, drug, spatial, etc.) |</w:t>
      </w:r>
    </w:p>
    <w:p>
      <w:r>
        <w:rPr>
          <w:sz w:val="18"/>
        </w:rPr>
        <w:t>| 4 | src/rag_engine.py | 1,490 | Multi-collection RAG engine with weighted retrieval and LLM synthesis |</w:t>
      </w:r>
    </w:p>
    <w:p>
      <w:r>
        <w:rPr>
          <w:sz w:val="18"/>
        </w:rPr>
        <w:t>| 5 | src/collections.py | 1,210 | 12 Milvus collection schemas with index configuration |</w:t>
      </w:r>
    </w:p>
    <w:p>
      <w:r>
        <w:rPr>
          <w:sz w:val="18"/>
        </w:rPr>
        <w:t>| 6 | src/query_expansion.py | 893 | 14 synonym maps, 232 entity aliases, workflow term injection |</w:t>
      </w:r>
    </w:p>
    <w:p>
      <w:r>
        <w:rPr>
          <w:sz w:val="18"/>
        </w:rPr>
        <w:t>| 7 | src/decision_support.py | 886 | 4 decision support engines: TME classifier, subclonal risk, target validator, deconvolution |</w:t>
      </w:r>
    </w:p>
    <w:p>
      <w:r>
        <w:rPr>
          <w:sz w:val="18"/>
        </w:rPr>
        <w:t>| 8 | src/models.py | 820 | Pydantic models, enums (SCWorkflowType, EvidenceLevel, TMEClass), dataclasses |</w:t>
      </w:r>
    </w:p>
    <w:p>
      <w:r>
        <w:rPr>
          <w:sz w:val="18"/>
        </w:rPr>
        <w:t>| 9 | app/sc_ui.py | 762 | Streamlit UI with multi-page layout (port 8130) |</w:t>
      </w:r>
    </w:p>
    <w:p>
      <w:r>
        <w:rPr>
          <w:sz w:val="18"/>
        </w:rPr>
        <w:t>| 10 | api/main.py | 614 | FastAPI application factory with middleware, health, metrics, collection listing |</w:t>
      </w:r>
    </w:p>
    <w:p>
      <w:r>
        <w:rPr>
          <w:sz w:val="18"/>
        </w:rPr>
        <w:t>| 11 | src/export.py | 588 | DOCX/PDF/CSV report generation from workflow results |</w:t>
      </w:r>
    </w:p>
    <w:p>
      <w:r>
        <w:rPr>
          <w:sz w:val="18"/>
        </w:rPr>
        <w:t>| 12 | src/scheduler.py | 496 | Background task scheduling for ingest and health monitoring |</w:t>
      </w:r>
    </w:p>
    <w:p>
      <w:r>
        <w:rPr>
          <w:sz w:val="18"/>
        </w:rPr>
        <w:t>| 13 | src/metrics.py | 476 | Prometheus-compatible metrics collection and exposition |</w:t>
      </w:r>
    </w:p>
    <w:p>
      <w:r>
        <w:rPr>
          <w:sz w:val="18"/>
        </w:rPr>
        <w:t>| 14 | src/cross_modal.py | 392 | Cross-agent integration client (biomarker, oncology, CAR-T, imaging agents) |</w:t>
      </w:r>
    </w:p>
    <w:p>
      <w:r>
        <w:rPr>
          <w:sz w:val="18"/>
        </w:rPr>
        <w:t>| 15 | tests/test_models.py | 364 | Model validation and enum coverage tests |</w:t>
      </w:r>
    </w:p>
    <w:p>
      <w:pPr>
        <w:pStyle w:val="Heading2"/>
      </w:pPr>
      <w:r>
        <w:t>Summary Statistics</w:t>
      </w:r>
    </w:p>
    <w:p>
      <w:r>
        <w:rPr>
          <w:sz w:val="18"/>
        </w:rPr>
        <w:t>| Metric | Value |</w:t>
      </w:r>
    </w:p>
    <w:p>
      <w:r>
        <w:rPr>
          <w:sz w:val="18"/>
        </w:rPr>
        <w:t>|--------|-------|</w:t>
      </w:r>
    </w:p>
    <w:p>
      <w:r>
        <w:rPr>
          <w:sz w:val="18"/>
        </w:rPr>
        <w:t>| Total Python files | 42 |</w:t>
      </w:r>
    </w:p>
    <w:p>
      <w:r>
        <w:rPr>
          <w:sz w:val="18"/>
        </w:rPr>
        <w:t>| Total lines of code | 19,929 |</w:t>
      </w:r>
    </w:p>
    <w:p>
      <w:r>
        <w:rPr>
          <w:sz w:val="18"/>
        </w:rPr>
        <w:t>| Source files (src/ + api/ + app/ + config/ + scripts/) | 24 |</w:t>
      </w:r>
    </w:p>
    <w:p>
      <w:r>
        <w:rPr>
          <w:sz w:val="18"/>
        </w:rPr>
        <w:t>| Test files | 12 |</w:t>
      </w:r>
    </w:p>
    <w:p>
      <w:r>
        <w:rPr>
          <w:sz w:val="18"/>
        </w:rPr>
        <w:t>| Test count (pytest collected) | 185 |</w:t>
      </w:r>
    </w:p>
    <w:p>
      <w:r>
        <w:rPr>
          <w:sz w:val="18"/>
        </w:rPr>
        <w:t>| Milvus collections | 12 |</w:t>
      </w:r>
    </w:p>
    <w:p>
      <w:r>
        <w:rPr>
          <w:sz w:val="18"/>
        </w:rPr>
        <w:t>| Workflows | 10 |</w:t>
      </w:r>
    </w:p>
    <w:p>
      <w:r>
        <w:rPr>
          <w:sz w:val="18"/>
        </w:rPr>
        <w:t>| Decision support engines | 4 |</w:t>
      </w:r>
    </w:p>
    <w:p>
      <w:r>
        <w:rPr>
          <w:sz w:val="18"/>
        </w:rPr>
        <w:t>| Seed data scripts | 3 (CellxGene: 49 seeds, markers: 75 seeds, TME: 20 seeds) |</w:t>
      </w:r>
    </w:p>
    <w:p>
      <w:r>
        <w:rPr>
          <w:sz w:val="18"/>
        </w:rPr>
        <w:t>| Service ports | API :8540, UI :8130 |</w:t>
      </w:r>
    </w:p>
    <w:p>
      <w:pPr>
        <w:pStyle w:val="Heading2"/>
      </w:pPr>
      <w:r>
        <w:t>25.2 Pre-Production Conditions</w:t>
      </w:r>
    </w:p>
    <w:p>
      <w:r>
        <w:t>The following must be addressed before production deployment:</w:t>
      </w:r>
    </w:p>
    <w:p>
      <w:r>
        <w:t xml:space="preserve">1. </w:t>
      </w:r>
      <w:r>
        <w:rPr>
          <w:b/>
        </w:rPr>
        <w:t>MUST:</w:t>
      </w:r>
      <w:r>
        <w:t xml:space="preserve"> Consolidate dual SCWorkflowType enum definitions</w:t>
      </w:r>
    </w:p>
    <w:p>
      <w:r>
        <w:t xml:space="preserve">2. </w:t>
      </w:r>
      <w:r>
        <w:rPr>
          <w:b/>
        </w:rPr>
        <w:t>MUST:</w:t>
      </w:r>
      <w:r>
        <w:t xml:space="preserve"> Deploy behind TLS-terminating reverse proxy</w:t>
      </w:r>
    </w:p>
    <w:p>
      <w:r>
        <w:t xml:space="preserve">3. </w:t>
      </w:r>
      <w:r>
        <w:rPr>
          <w:b/>
        </w:rPr>
        <w:t>MUST:</w:t>
      </w:r>
      <w:r>
        <w:t xml:space="preserve"> Set non-empty API_KEY in production environment</w:t>
      </w:r>
    </w:p>
    <w:p>
      <w:r>
        <w:t xml:space="preserve">4. </w:t>
      </w:r>
      <w:r>
        <w:rPr>
          <w:b/>
        </w:rPr>
        <w:t>SHOULD:</w:t>
      </w:r>
      <w:r>
        <w:t xml:space="preserve"> Add circuit breaker for cross-agent calls</w:t>
      </w:r>
    </w:p>
    <w:p>
      <w:r>
        <w:t xml:space="preserve">5. </w:t>
      </w:r>
      <w:r>
        <w:rPr>
          <w:b/>
        </w:rPr>
        <w:t>SHOULD:</w:t>
      </w:r>
      <w:r>
        <w:t xml:space="preserve"> Increase RAG engine test coverage to &gt; 80%</w:t>
      </w:r>
    </w:p>
    <w:p>
      <w:r>
        <w:t xml:space="preserve">6. </w:t>
      </w:r>
      <w:r>
        <w:rPr>
          <w:b/>
        </w:rPr>
        <w:t>SHOULD:</w:t>
      </w:r>
      <w:r>
        <w:t xml:space="preserve"> Add ingest pipeline tests</w:t>
      </w:r>
    </w:p>
    <w:p>
      <w:r>
        <w:t xml:space="preserve">7. </w:t>
      </w:r>
      <w:r>
        <w:rPr>
          <w:b/>
        </w:rPr>
        <w:t>SHOULD:</w:t>
      </w:r>
      <w:r>
        <w:t xml:space="preserve"> Implement request-ID tracing</w:t>
      </w:r>
    </w:p>
    <w:p>
      <w:r>
        <w:t xml:space="preserve">8. </w:t>
      </w:r>
      <w:r>
        <w:rPr>
          <w:b/>
        </w:rPr>
        <w:t>NICE:</w:t>
      </w:r>
      <w:r>
        <w:t xml:space="preserve"> Integrate Redis-backed rate limiting</w:t>
      </w:r>
    </w:p>
    <w:p>
      <w:r>
        <w:t xml:space="preserve">9. </w:t>
      </w:r>
      <w:r>
        <w:rPr>
          <w:b/>
        </w:rPr>
        <w:t>NICE:</w:t>
      </w:r>
      <w:r>
        <w:t xml:space="preserve"> Add OpenTelemetry distributed tracing</w:t>
      </w:r>
    </w:p>
    <w:p>
      <w:r>
        <w:t xml:space="preserve">10. </w:t>
      </w:r>
      <w:r>
        <w:rPr>
          <w:b/>
        </w:rPr>
        <w:t>NICE:</w:t>
      </w:r>
      <w:r>
        <w:t xml:space="preserve"> Implement RAPIDS GPU acceleration</w:t>
      </w:r>
    </w:p>
    <w:p>
      <w:pPr>
        <w:pStyle w:val="Heading2"/>
      </w:pPr>
      <w:r>
        <w:t>25.3 Recommendation</w:t>
      </w:r>
    </w:p>
    <w:p>
      <w:r/>
      <w:r>
        <w:rPr>
          <w:b/>
        </w:rPr>
        <w:t>APPROVED FOR PRODUCTION</w:t>
      </w:r>
      <w:r>
        <w:t xml:space="preserve"> with the three MUST conditions above. The Single-Cell Intelligence Agent demonstrates strong architectural quality, comprehensive domain knowledge, and well-implemented clinical decision support engines. The conditional items should be addressed in the next sprint cycle.</w:t>
      </w:r>
    </w:p>
    <w:p>
      <w:r>
        <w:t>*Report generated: 2026-03-22*</w:t>
      </w:r>
    </w:p>
    <w:p>
      <w:r>
        <w:t>*HCLS AI Factory -- Single-Cell Intelligence Agent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