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Calibri" w:hAnsi="Calibri"/>
          <w:b/>
          <w:color w:val="1A1A24"/>
          <w:sz w:val="48"/>
        </w:rPr>
        <w:t>HCLS AI Factory: An Integrated Precision Medicine Platform for Accelerated Genomics, Variant Interpretation, CAR-T Therapy Intelligence, and AI-Driven Drug Discovery on NVIDIA DGX Spark</w:t>
      </w:r>
    </w:p>
    <w:p>
      <w:r>
        <w:rPr>
          <w:b/>
        </w:rPr>
        <w:t>Adam Jones</w:t>
      </w:r>
      <w:r>
        <w:t xml:space="preserve"> Healthcare &amp; Life Sciences AI Factory Project</w:t>
      </w:r>
    </w:p>
    <w:p>
      <w:pPr>
        <w:jc w:val="center"/>
      </w:pPr>
      <w:r>
        <w:rPr>
          <w:b/>
        </w:rPr>
        <w:t>Date:</w:t>
      </w:r>
      <w:r>
        <w:t xml:space="preserve"> February 22, 2026</w:t>
      </w:r>
    </w:p>
    <w:p>
      <w:pPr>
        <w:jc w:val="center"/>
      </w:pPr>
      <w:r>
        <w:rPr>
          <w:b/>
        </w:rPr>
        <w:t>Version:</w:t>
      </w:r>
      <w:r>
        <w:t xml:space="preserve"> 1.0</w:t>
      </w:r>
    </w:p>
    <w:p>
      <w:pPr>
        <w:spacing w:before="120" w:after="120"/>
        <w:pBdr>
          <w:bottom w:val="single" w:sz="4" w:space="1" w:color="76B900"/>
        </w:pBdr>
      </w:pPr>
    </w:p>
    <w:p>
      <w:r>
        <w:br w:type="page"/>
      </w:r>
    </w:p>
    <w:p>
      <w:pPr>
        <w:pStyle w:val="Heading2"/>
      </w:pPr>
      <w:r>
        <w:t>Abstract</w:t>
      </w:r>
    </w:p>
    <w:p>
      <w:r>
        <w:t>The Healthcare and Life Sciences (HCLS) AI Factory is an end-to-end precision medicine platform that transforms raw patient DNA sequencing data into actionable therapeutic candidates in under five hours on a single NVIDIA DGX Spark workstation ($3,999). The platform integrates four interconnected computational stages: (1) GPU-accelerated genomic variant calling via NVIDIA Parabricks 4.6, producing 11.7 million variants from whole-genome sequencing data in 2-4 hours; (2) Retrieval-Augmented Generation (RAG) for variant interpretation, leveraging 3.56 million vectors across clinical annotations (ClinVar, AlphaMissense) with a 201-gene knowledge graph spanning 13 therapeutic domains; (3) a CAR-T Intelligence Agent providing autonomous multi-collection reasoning across 11 specialized vector collections encompassing 6,266+ curated records on chimeric antigen receptor T-cell therapies; and (4) AI-driven drug discovery using BioNeMo NIM microservices (MolMIM and DiffDock) for de novo molecule generation, protein-ligand docking, and composite ranking in 8-16 minutes. This paper presents the complete architecture, details the technical implementation of each stage, identifies integration opportunities between the genomics pipeline, RAG engine, CAR-T agent, and drug discovery system, and proposes a phased research plan for transforming these currently semi-independent components into a unified, bidirectionally communicating precision medicine platform. The system is Apache 2.0 licensed and designed for deployment on commodity NVIDIA hardware, democratizing access to computational precision medicine workflows that traditionally require institutional-scale infrastructure.</w:t>
      </w:r>
    </w:p>
    <w:p>
      <w:r>
        <w:rPr>
          <w:b/>
        </w:rPr>
        <w:t>Keywords:</w:t>
      </w:r>
      <w:r>
        <w:t xml:space="preserve"> precision medicine, CAR-T cell therapy, retrieval-augmented generation, drug discovery, NVIDIA Parabricks, vector database, Milvus, large language models, genomic variant interpretation, BioNeMo, DGX Spark</w:t>
      </w:r>
    </w:p>
    <w:p>
      <w:pPr>
        <w:spacing w:before="120" w:after="120"/>
        <w:pBdr>
          <w:bottom w:val="single" w:sz="4" w:space="1" w:color="76B900"/>
        </w:pBdr>
      </w:pPr>
    </w:p>
    <w:p>
      <w:r>
        <w:br w:type="page"/>
      </w:r>
    </w:p>
    <w:p>
      <w:pPr>
        <w:pStyle w:val="Heading2"/>
      </w:pPr>
      <w:r>
        <w:t>Table of Contents</w:t>
      </w:r>
    </w:p>
    <w:p>
      <w:pPr>
        <w:pStyle w:val="ListNumber"/>
      </w:pPr>
      <w:r>
        <w:t>Introduction</w:t>
      </w:r>
    </w:p>
    <w:p>
      <w:pPr>
        <w:pStyle w:val="ListNumber"/>
      </w:pPr>
      <w:r>
        <w:t>System Architecture Overview</w:t>
      </w:r>
    </w:p>
    <w:p>
      <w:pPr>
        <w:pStyle w:val="ListNumber"/>
      </w:pPr>
      <w:r>
        <w:t>Hardware Platform: NVIDIA DGX Spark</w:t>
      </w:r>
    </w:p>
    <w:p>
      <w:pPr>
        <w:pStyle w:val="ListNumber"/>
      </w:pPr>
      <w:r>
        <w:t>Stage 1: GPU-Accelerated Genomics Pipeline</w:t>
      </w:r>
    </w:p>
    <w:p>
      <w:pPr>
        <w:pStyle w:val="ListNumber"/>
      </w:pPr>
      <w:r>
        <w:t>Stage 2: RAG-Powered Variant Interpretation</w:t>
      </w:r>
    </w:p>
    <w:p>
      <w:pPr>
        <w:pStyle w:val="ListNumber"/>
      </w:pPr>
      <w:r>
        <w:t>Stage 3: CAR-T Intelligence Agent</w:t>
      </w:r>
    </w:p>
    <w:p>
      <w:pPr>
        <w:pStyle w:val="ListNumber"/>
      </w:pPr>
      <w:r>
        <w:t>Stage 4: AI-Driven Drug Discovery</w:t>
      </w:r>
    </w:p>
    <w:p>
      <w:pPr>
        <w:pStyle w:val="ListNumber"/>
      </w:pPr>
      <w:r>
        <w:t>Orchestration Layer: Nextflow DSL2</w:t>
      </w:r>
    </w:p>
    <w:p>
      <w:pPr>
        <w:pStyle w:val="ListNumber"/>
      </w:pPr>
      <w:r>
        <w:t>Shared Infrastructure and Services</w:t>
      </w:r>
    </w:p>
    <w:p>
      <w:pPr>
        <w:pStyle w:val="ListNumber"/>
      </w:pPr>
      <w:r>
        <w:t>Current Integration Analysis</w:t>
      </w:r>
    </w:p>
    <w:p>
      <w:pPr>
        <w:pStyle w:val="ListNumber"/>
      </w:pPr>
      <w:r>
        <w:t>Proposed Integration Research Plan</w:t>
      </w:r>
    </w:p>
    <w:p>
      <w:pPr>
        <w:pStyle w:val="ListNumber"/>
      </w:pPr>
      <w:r>
        <w:t>Implementation Roadmap</w:t>
      </w:r>
    </w:p>
    <w:p>
      <w:pPr>
        <w:pStyle w:val="ListNumber"/>
      </w:pPr>
      <w:r>
        <w:t>Performance Benchmarks and Metrics</w:t>
      </w:r>
    </w:p>
    <w:p>
      <w:pPr>
        <w:pStyle w:val="ListNumber"/>
      </w:pPr>
      <w:r>
        <w:t>Security, Observability, and Production Hardening</w:t>
      </w:r>
    </w:p>
    <w:p>
      <w:pPr>
        <w:pStyle w:val="ListNumber"/>
      </w:pPr>
      <w:r>
        <w:t>Discussion</w:t>
      </w:r>
    </w:p>
    <w:p>
      <w:pPr>
        <w:pStyle w:val="ListNumber"/>
      </w:pPr>
      <w:r>
        <w:t>Future Directions</w:t>
      </w:r>
    </w:p>
    <w:p>
      <w:pPr>
        <w:pStyle w:val="ListNumber"/>
      </w:pPr>
      <w:r>
        <w:t>Conclusion</w:t>
      </w:r>
    </w:p>
    <w:p>
      <w:pPr>
        <w:pStyle w:val="ListNumber"/>
      </w:pPr>
      <w:r>
        <w:t>References</w:t>
      </w:r>
    </w:p>
    <w:p>
      <w:pPr>
        <w:pStyle w:val="ListNumber"/>
      </w:pPr>
      <w:r>
        <w:t>Appendices</w:t>
      </w:r>
    </w:p>
    <w:p>
      <w:pPr>
        <w:spacing w:before="120" w:after="120"/>
        <w:pBdr>
          <w:bottom w:val="single" w:sz="4" w:space="1" w:color="76B900"/>
        </w:pBdr>
      </w:pPr>
    </w:p>
    <w:p>
      <w:r>
        <w:br w:type="page"/>
      </w:r>
    </w:p>
    <w:p>
      <w:pPr>
        <w:pStyle w:val="Heading2"/>
      </w:pPr>
      <w:r>
        <w:t>1. Introduction</w:t>
      </w:r>
    </w:p>
    <w:p>
      <w:pPr>
        <w:pStyle w:val="Heading3"/>
      </w:pPr>
      <w:r>
        <w:t>1.1 The Precision Medicine Challenge</w:t>
      </w:r>
    </w:p>
    <w:p>
      <w:r>
        <w:t>Precision medicine promises to tailor therapeutic interventions to individual patients based on their genomic profiles. However, the computational journey from raw sequencing data to actionable treatment recommendations remains fragmented across specialized tools, each requiring distinct expertise and infrastructure. A typical precision medicine workflow involves: (a) secondary analysis of whole-genome sequencing (WGS) data to identify variants, (b) clinical annotation and interpretation of those variants against databases such as ClinVar and AlphaMissense, (c) identification of therapeutic targets based on variant-driven evidence, and (d) computational exploration of candidate molecules or cell therapies directed at those targets. Each of these stages traditionally operates in isolation, with manual handoffs between bioinformaticians, clinical geneticists, immunologists, and medicinal chemists.</w:t>
      </w:r>
    </w:p>
    <w:p>
      <w:pPr>
        <w:pStyle w:val="Heading3"/>
      </w:pPr>
      <w:r>
        <w:t>1.2 The Cell Therapy Imperative</w:t>
      </w:r>
    </w:p>
    <w:p>
      <w:r>
        <w:t>Chimeric Antigen Receptor T-cell (CAR-T) therapies represent one of the most significant advances in cancer treatment. Six FDA-approved CAR-T products---Kymriah (tisagenlecleucel), Yescarta (axicabtagene ciloleucel), Tecartus (brexucabtagene autoleucel), Breyanzi (lisocabtagene maraleucel), Abecma (idecabtagene vicleucel), and Carvykti (ciltacabtagene autoleucel)---have demonstrated remarkable efficacy in hematological malignancies. Yet the field faces challenges in target antigen selection, resistance mechanism prediction, toxicity management (cytokine release syndrome, immune effector cell-associated neurotoxicity syndrome), and manufacturing optimization. These challenges require synthesis of evidence across clinical trials, molecular biology, regulatory submissions, real-world outcomes, and patient genomics---a cognitive task well-suited to AI augmentation.</w:t>
      </w:r>
    </w:p>
    <w:p>
      <w:pPr>
        <w:pStyle w:val="Heading3"/>
      </w:pPr>
      <w:r>
        <w:t>1.3 Contribution of This Work</w:t>
      </w:r>
    </w:p>
    <w:p>
      <w:r>
        <w:t>This paper presents the HCLS AI Factory, an integrated platform that unifies genomic analysis, evidence-based variant interpretation, CAR-T therapy intelligence, and computational drug discovery into a single, end-to-end system. Our specific contributions include:</w:t>
      </w:r>
    </w:p>
    <w:p>
      <w:pPr>
        <w:pStyle w:val="ListNumber"/>
      </w:pPr>
      <w:r>
        <w:rPr>
          <w:b/>
        </w:rPr>
        <w:t>Architecture and implementation</w:t>
      </w:r>
      <w:r>
        <w:t xml:space="preserve"> of a four-stage pipeline executing on a single DGX Spark workstation, reducing both cost and complexity compared to distributed cloud solutions.</w:t>
      </w:r>
    </w:p>
    <w:p>
      <w:pPr>
        <w:pStyle w:val="ListNumber"/>
      </w:pPr>
      <w:r>
        <w:rPr>
          <w:b/>
        </w:rPr>
        <w:t>A CAR-T Intelligence Agent</w:t>
      </w:r>
      <w:r>
        <w:t xml:space="preserve"> with 11 specialized Milvus vector collections, 25 target antigen profiles, 12 query expansion maps (8,000+ terms), and autonomous reasoning capabilities for cross-functional therapy evaluation.</w:t>
      </w:r>
    </w:p>
    <w:p>
      <w:pPr>
        <w:pStyle w:val="ListNumber"/>
      </w:pPr>
      <w:r>
        <w:rPr>
          <w:b/>
        </w:rPr>
        <w:t>Integration analysis and research plan</w:t>
      </w:r>
      <w:r>
        <w:t xml:space="preserve"> identifying concrete opportunities for bidirectional communication between genomics, variant interpretation, CAR-T therapy selection, and drug discovery stages.</w:t>
      </w:r>
    </w:p>
    <w:p>
      <w:pPr>
        <w:pStyle w:val="ListNumber"/>
      </w:pPr>
      <w:r>
        <w:rPr>
          <w:b/>
        </w:rPr>
        <w:t>Open-source release</w:t>
      </w:r>
      <w:r>
        <w:t xml:space="preserve"> under Apache 2.0, enabling academic and clinical research organizations to deploy the complete system on commodity hardware.</w:t>
      </w:r>
    </w:p>
    <w:p>
      <w:pPr>
        <w:pStyle w:val="Heading3"/>
      </w:pPr>
      <w:r>
        <w:t>1.4 Demonstration Target</w:t>
      </w:r>
    </w:p>
    <w:p>
      <w:r>
        <w:t>Throughout this paper, we use the VCP gene (Valosin-Containing Protein, p97) as our demonstration target. VCP is an AAA+ ATPase involved in protein quality control whose mutations cause Frontotemporal Dementia with Inclusion Body Myopathy and Paget Disease (IBMPFD). The seed compound CB-5083 (a Phase I VCP inhibitor) and PDB structures 5FTK, 8OOI, 9DIL, and 7K56 serve as reference inputs for the drug discovery stage.</w:t>
      </w:r>
    </w:p>
    <w:p>
      <w:pPr>
        <w:spacing w:before="120" w:after="120"/>
        <w:pBdr>
          <w:bottom w:val="single" w:sz="4" w:space="1" w:color="76B900"/>
        </w:pBdr>
      </w:pPr>
    </w:p>
    <w:p>
      <w:r>
        <w:br w:type="page"/>
      </w:r>
    </w:p>
    <w:p>
      <w:pPr>
        <w:pStyle w:val="Heading2"/>
      </w:pPr>
      <w:r>
        <w:t>2. System Architecture Overview</w:t>
      </w:r>
    </w:p>
    <w:p>
      <w:pPr>
        <w:pStyle w:val="Heading3"/>
      </w:pPr>
      <w:r>
        <w:t>2.1 Pipeline Topology</w:t>
      </w:r>
    </w:p>
    <w:p>
      <w:r>
        <w:t>The HCLS AI Factory implements a linear four-stage pipeline with lateral connections through a shared vector database (Milvus 2.4+) and embedding model (BGE-small-en-v1.5, 384 dimensions):</w:t>
      </w:r>
    </w:p>
    <w:p>
      <w:pPr>
        <w:spacing w:before="80" w:after="80"/>
        <w:ind w:left="567"/>
        <w:shd w:fill="f5f5f5"/>
      </w:pPr>
      <w:r>
        <w:rPr>
          <w:rFonts w:ascii="Consolas" w:hAnsi="Consolas"/>
          <w:color w:val="2D2D2D"/>
          <w:sz w:val="17"/>
        </w:rPr>
        <w:t>FASTQ Reads (200GB)</w:t>
        <w:br/>
        <w:t xml:space="preserve">    │</w:t>
        <w:br/>
        <w:t xml:space="preserve">    ▼</w:t>
        <w:br/>
        <w:t>┌──────────────────────────────────────────┐</w:t>
        <w:br/>
        <w:t>│  STAGE 1: Genomics Pipeline (Port 5000)  │</w:t>
        <w:br/>
        <w:t>│  Parabricks 4.6 · BWA-MEM2 · DeepVariant│</w:t>
        <w:br/>
        <w:t>│  Input: FASTQ → Output: VCF (11.7M var)  │</w:t>
        <w:br/>
        <w:t>│  Duration: 120-240 minutes               │</w:t>
        <w:br/>
        <w:t>└──────────────────────────────────────────┘</w:t>
        <w:br/>
        <w:t xml:space="preserve">    │ VCF</w:t>
        <w:br/>
        <w:t xml:space="preserve">    ▼</w:t>
        <w:br/>
        <w:t>┌──────────────────────────────────────────┐</w:t>
        <w:br/>
        <w:t>│  STAGE 2: RAG Chat Pipeline (Port 8501)  │</w:t>
        <w:br/>
        <w:t>│  Milvus · ClinVar · AlphaMissense · KG  │</w:t>
        <w:br/>
        <w:t>│  35,616 annotated variants · 201 genes   │</w:t>
        <w:br/>
        <w:t>│  Duration: Interactive                   │</w:t>
        <w:br/>
        <w:t>└──────────────────────────────────────────┘</w:t>
        <w:br/>
        <w:t xml:space="preserve">    │ Target Hypothesis JSON</w:t>
        <w:br/>
        <w:t xml:space="preserve">    ▼</w:t>
        <w:br/>
        <w:t>┌──────────────────────────────────────────┐  ┌───────────────────────────────┐</w:t>
        <w:br/>
        <w:t>│  STAGE 3: Drug Discovery (Port 8505)     │  │  CAR-T Intelligence Agent     │</w:t>
        <w:br/>
        <w:t>│  MolMIM · DiffDock · RDKit · Ranking     │  │  (Port 8521)                  │</w:t>
        <w:br/>
        <w:t>│  10-stage pipeline · 20 molecules        │  │  11 collections · 6,266+ vec  │</w:t>
        <w:br/>
        <w:t>│  Duration: 8-16 minutes                  │  │  25 antigens · Agent reasoning│</w:t>
        <w:br/>
        <w:t>└──────────────────────────────────────────┘  └───────────────────────────────┘</w:t>
        <w:br/>
        <w:t xml:space="preserve">    │                                              │</w:t>
        <w:br/>
        <w:t xml:space="preserve">    ▼                                              ▼</w:t>
        <w:br/>
        <w:t>┌──────────────────────────────────────────────────────┐</w:t>
        <w:br/>
        <w:t>│              Unified Clinical Report                  │</w:t>
        <w:br/>
        <w:t>│  Genomic Profile + Targets + Therapies + Molecules   │</w:t>
        <w:br/>
        <w:t>└──────────────────────────────────────────────────────┘</w:t>
      </w:r>
    </w:p>
    <w:p>
      <w:pPr>
        <w:pStyle w:val="Heading3"/>
      </w:pPr>
      <w:r>
        <w:t>2.2 Service Architecture</w:t>
      </w:r>
    </w:p>
    <w:p>
      <w:r>
        <w:t>The platform deploys 15 services across distinct ports, monitored by a centralized landing page dashboard: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Service</w:t>
            </w:r>
          </w:p>
        </w:tc>
        <w:tc>
          <w:tcPr>
            <w:tcW w:type="dxa" w:w="2340"/>
            <w:shd w:fill="1a1a24"/>
          </w:tcPr>
          <w:p>
            <w:pPr>
              <w:spacing w:before="40" w:after="40"/>
            </w:pPr>
            <w:r>
              <w:rPr>
                <w:b/>
                <w:color w:val="FFFFFF"/>
                <w:sz w:val="19"/>
              </w:rPr>
            </w:r>
            <w:r>
              <w:rPr>
                <w:b/>
                <w:color w:val="FFFFFF"/>
                <w:sz w:val="19"/>
              </w:rPr>
              <w:t>Port</w:t>
            </w:r>
          </w:p>
        </w:tc>
        <w:tc>
          <w:tcPr>
            <w:tcW w:type="dxa" w:w="2340"/>
            <w:shd w:fill="1a1a24"/>
          </w:tcPr>
          <w:p>
            <w:pPr>
              <w:spacing w:before="40" w:after="40"/>
            </w:pPr>
            <w:r>
              <w:rPr>
                <w:b/>
                <w:color w:val="FFFFFF"/>
                <w:sz w:val="19"/>
              </w:rPr>
            </w:r>
            <w:r>
              <w:rPr>
                <w:b/>
                <w:color w:val="FFFFFF"/>
                <w:sz w:val="19"/>
              </w:rPr>
              <w:t>Technology</w:t>
            </w:r>
          </w:p>
        </w:tc>
        <w:tc>
          <w:tcPr>
            <w:tcW w:type="dxa" w:w="2340"/>
            <w:shd w:fill="1a1a24"/>
          </w:tcPr>
          <w:p>
            <w:pPr>
              <w:spacing w:before="40" w:after="40"/>
            </w:pPr>
            <w:r>
              <w:rPr>
                <w:b/>
                <w:color w:val="FFFFFF"/>
                <w:sz w:val="19"/>
              </w:rPr>
            </w:r>
            <w:r>
              <w:rPr>
                <w:b/>
                <w:color w:val="FFFFFF"/>
                <w:sz w:val="19"/>
              </w:rPr>
              <w:t>Purpose</w:t>
            </w:r>
          </w:p>
        </w:tc>
      </w:tr>
      <w:tr>
        <w:tc>
          <w:tcPr>
            <w:tcW w:type="dxa" w:w="2340"/>
          </w:tcPr>
          <w:p>
            <w:pPr>
              <w:spacing w:before="40" w:after="40"/>
            </w:pPr>
            <w:r>
              <w:rPr>
                <w:sz w:val="19"/>
              </w:rPr>
            </w:r>
            <w:r>
              <w:rPr>
                <w:sz w:val="19"/>
              </w:rPr>
              <w:t>Landing Page</w:t>
            </w:r>
          </w:p>
        </w:tc>
        <w:tc>
          <w:tcPr>
            <w:tcW w:type="dxa" w:w="2340"/>
          </w:tcPr>
          <w:p>
            <w:pPr>
              <w:spacing w:before="40" w:after="40"/>
            </w:pPr>
            <w:r>
              <w:rPr>
                <w:sz w:val="19"/>
              </w:rPr>
            </w:r>
            <w:r>
              <w:rPr>
                <w:sz w:val="19"/>
              </w:rPr>
              <w:t>8080</w:t>
            </w:r>
          </w:p>
        </w:tc>
        <w:tc>
          <w:tcPr>
            <w:tcW w:type="dxa" w:w="2340"/>
          </w:tcPr>
          <w:p>
            <w:pPr>
              <w:spacing w:before="40" w:after="40"/>
            </w:pPr>
            <w:r>
              <w:rPr>
                <w:sz w:val="19"/>
              </w:rPr>
            </w:r>
            <w:r>
              <w:rPr>
                <w:sz w:val="19"/>
              </w:rPr>
              <w:t>Flask</w:t>
            </w:r>
          </w:p>
        </w:tc>
        <w:tc>
          <w:tcPr>
            <w:tcW w:type="dxa" w:w="2340"/>
          </w:tcPr>
          <w:p>
            <w:pPr>
              <w:spacing w:before="40" w:after="40"/>
            </w:pPr>
            <w:r>
              <w:rPr>
                <w:sz w:val="19"/>
              </w:rPr>
            </w:r>
            <w:r>
              <w:rPr>
                <w:sz w:val="19"/>
              </w:rPr>
              <w:t>Service health dashboard</w:t>
            </w:r>
          </w:p>
        </w:tc>
      </w:tr>
      <w:tr>
        <w:tc>
          <w:tcPr>
            <w:tcW w:type="dxa" w:w="2340"/>
            <w:shd w:fill="f0f4e8"/>
          </w:tcPr>
          <w:p>
            <w:pPr>
              <w:spacing w:before="40" w:after="40"/>
            </w:pPr>
            <w:r>
              <w:rPr>
                <w:sz w:val="19"/>
              </w:rPr>
            </w:r>
            <w:r>
              <w:rPr>
                <w:sz w:val="19"/>
              </w:rPr>
              <w:t>Genomics Portal</w:t>
            </w:r>
          </w:p>
        </w:tc>
        <w:tc>
          <w:tcPr>
            <w:tcW w:type="dxa" w:w="2340"/>
            <w:shd w:fill="f0f4e8"/>
          </w:tcPr>
          <w:p>
            <w:pPr>
              <w:spacing w:before="40" w:after="40"/>
            </w:pPr>
            <w:r>
              <w:rPr>
                <w:sz w:val="19"/>
              </w:rPr>
            </w:r>
            <w:r>
              <w:rPr>
                <w:sz w:val="19"/>
              </w:rPr>
              <w:t>5000</w:t>
            </w:r>
          </w:p>
        </w:tc>
        <w:tc>
          <w:tcPr>
            <w:tcW w:type="dxa" w:w="2340"/>
            <w:shd w:fill="f0f4e8"/>
          </w:tcPr>
          <w:p>
            <w:pPr>
              <w:spacing w:before="40" w:after="40"/>
            </w:pPr>
            <w:r>
              <w:rPr>
                <w:sz w:val="19"/>
              </w:rPr>
            </w:r>
            <w:r>
              <w:rPr>
                <w:sz w:val="19"/>
              </w:rPr>
              <w:t>Flask</w:t>
            </w:r>
          </w:p>
        </w:tc>
        <w:tc>
          <w:tcPr>
            <w:tcW w:type="dxa" w:w="2340"/>
            <w:shd w:fill="f0f4e8"/>
          </w:tcPr>
          <w:p>
            <w:pPr>
              <w:spacing w:before="40" w:after="40"/>
            </w:pPr>
            <w:r>
              <w:rPr>
                <w:sz w:val="19"/>
              </w:rPr>
            </w:r>
            <w:r>
              <w:rPr>
                <w:sz w:val="19"/>
              </w:rPr>
              <w:t>Variant calling control</w:t>
            </w:r>
          </w:p>
        </w:tc>
      </w:tr>
      <w:tr>
        <w:tc>
          <w:tcPr>
            <w:tcW w:type="dxa" w:w="2340"/>
          </w:tcPr>
          <w:p>
            <w:pPr>
              <w:spacing w:before="40" w:after="40"/>
            </w:pPr>
            <w:r>
              <w:rPr>
                <w:sz w:val="19"/>
              </w:rPr>
            </w:r>
            <w:r>
              <w:rPr>
                <w:sz w:val="19"/>
              </w:rPr>
              <w:t>RAG API</w:t>
            </w:r>
          </w:p>
        </w:tc>
        <w:tc>
          <w:tcPr>
            <w:tcW w:type="dxa" w:w="2340"/>
          </w:tcPr>
          <w:p>
            <w:pPr>
              <w:spacing w:before="40" w:after="40"/>
            </w:pPr>
            <w:r>
              <w:rPr>
                <w:sz w:val="19"/>
              </w:rPr>
            </w:r>
            <w:r>
              <w:rPr>
                <w:sz w:val="19"/>
              </w:rPr>
              <w:t>5001</w:t>
            </w:r>
          </w:p>
        </w:tc>
        <w:tc>
          <w:tcPr>
            <w:tcW w:type="dxa" w:w="2340"/>
          </w:tcPr>
          <w:p>
            <w:pPr>
              <w:spacing w:before="40" w:after="40"/>
            </w:pPr>
            <w:r>
              <w:rPr>
                <w:sz w:val="19"/>
              </w:rPr>
            </w:r>
            <w:r>
              <w:rPr>
                <w:sz w:val="19"/>
              </w:rPr>
              <w:t>Flask/FastAPI</w:t>
            </w:r>
          </w:p>
        </w:tc>
        <w:tc>
          <w:tcPr>
            <w:tcW w:type="dxa" w:w="2340"/>
          </w:tcPr>
          <w:p>
            <w:pPr>
              <w:spacing w:before="40" w:after="40"/>
            </w:pPr>
            <w:r>
              <w:rPr>
                <w:sz w:val="19"/>
              </w:rPr>
            </w:r>
            <w:r>
              <w:rPr>
                <w:sz w:val="19"/>
              </w:rPr>
              <w:t>Programmatic variant queries</w:t>
            </w:r>
          </w:p>
        </w:tc>
      </w:tr>
      <w:tr>
        <w:tc>
          <w:tcPr>
            <w:tcW w:type="dxa" w:w="2340"/>
            <w:shd w:fill="f0f4e8"/>
          </w:tcPr>
          <w:p>
            <w:pPr>
              <w:spacing w:before="40" w:after="40"/>
            </w:pPr>
            <w:r>
              <w:rPr>
                <w:sz w:val="19"/>
              </w:rPr>
            </w:r>
            <w:r>
              <w:rPr>
                <w:sz w:val="19"/>
              </w:rPr>
              <w:t>RAG Chat UI</w:t>
            </w:r>
          </w:p>
        </w:tc>
        <w:tc>
          <w:tcPr>
            <w:tcW w:type="dxa" w:w="2340"/>
            <w:shd w:fill="f0f4e8"/>
          </w:tcPr>
          <w:p>
            <w:pPr>
              <w:spacing w:before="40" w:after="40"/>
            </w:pPr>
            <w:r>
              <w:rPr>
                <w:sz w:val="19"/>
              </w:rPr>
            </w:r>
            <w:r>
              <w:rPr>
                <w:sz w:val="19"/>
              </w:rPr>
              <w:t>8501</w:t>
            </w:r>
          </w:p>
        </w:tc>
        <w:tc>
          <w:tcPr>
            <w:tcW w:type="dxa" w:w="2340"/>
            <w:shd w:fill="f0f4e8"/>
          </w:tcPr>
          <w:p>
            <w:pPr>
              <w:spacing w:before="40" w:after="40"/>
            </w:pPr>
            <w:r>
              <w:rPr>
                <w:sz w:val="19"/>
              </w:rPr>
            </w:r>
            <w:r>
              <w:rPr>
                <w:sz w:val="19"/>
              </w:rPr>
              <w:t>Streamlit</w:t>
            </w:r>
          </w:p>
        </w:tc>
        <w:tc>
          <w:tcPr>
            <w:tcW w:type="dxa" w:w="2340"/>
            <w:shd w:fill="f0f4e8"/>
          </w:tcPr>
          <w:p>
            <w:pPr>
              <w:spacing w:before="40" w:after="40"/>
            </w:pPr>
            <w:r>
              <w:rPr>
                <w:sz w:val="19"/>
              </w:rPr>
            </w:r>
            <w:r>
              <w:rPr>
                <w:sz w:val="19"/>
              </w:rPr>
              <w:t>Interactive variant analysis</w:t>
            </w:r>
          </w:p>
        </w:tc>
      </w:tr>
      <w:tr>
        <w:tc>
          <w:tcPr>
            <w:tcW w:type="dxa" w:w="2340"/>
          </w:tcPr>
          <w:p>
            <w:pPr>
              <w:spacing w:before="40" w:after="40"/>
            </w:pPr>
            <w:r>
              <w:rPr>
                <w:sz w:val="19"/>
              </w:rPr>
            </w:r>
            <w:r>
              <w:rPr>
                <w:sz w:val="19"/>
              </w:rPr>
              <w:t>Drug Discovery UI</w:t>
            </w:r>
          </w:p>
        </w:tc>
        <w:tc>
          <w:tcPr>
            <w:tcW w:type="dxa" w:w="2340"/>
          </w:tcPr>
          <w:p>
            <w:pPr>
              <w:spacing w:before="40" w:after="40"/>
            </w:pPr>
            <w:r>
              <w:rPr>
                <w:sz w:val="19"/>
              </w:rPr>
            </w:r>
            <w:r>
              <w:rPr>
                <w:sz w:val="19"/>
              </w:rPr>
              <w:t>8505</w:t>
            </w:r>
          </w:p>
        </w:tc>
        <w:tc>
          <w:tcPr>
            <w:tcW w:type="dxa" w:w="2340"/>
          </w:tcPr>
          <w:p>
            <w:pPr>
              <w:spacing w:before="40" w:after="40"/>
            </w:pPr>
            <w:r>
              <w:rPr>
                <w:sz w:val="19"/>
              </w:rPr>
            </w:r>
            <w:r>
              <w:rPr>
                <w:sz w:val="19"/>
              </w:rPr>
              <w:t>Streamlit</w:t>
            </w:r>
          </w:p>
        </w:tc>
        <w:tc>
          <w:tcPr>
            <w:tcW w:type="dxa" w:w="2340"/>
          </w:tcPr>
          <w:p>
            <w:pPr>
              <w:spacing w:before="40" w:after="40"/>
            </w:pPr>
            <w:r>
              <w:rPr>
                <w:sz w:val="19"/>
              </w:rPr>
            </w:r>
            <w:r>
              <w:rPr>
                <w:sz w:val="19"/>
              </w:rPr>
              <w:t>Molecule generation</w:t>
            </w:r>
          </w:p>
        </w:tc>
      </w:tr>
      <w:tr>
        <w:tc>
          <w:tcPr>
            <w:tcW w:type="dxa" w:w="2340"/>
            <w:shd w:fill="f0f4e8"/>
          </w:tcPr>
          <w:p>
            <w:pPr>
              <w:spacing w:before="40" w:after="40"/>
            </w:pPr>
            <w:r>
              <w:rPr>
                <w:sz w:val="19"/>
              </w:rPr>
            </w:r>
            <w:r>
              <w:rPr>
                <w:sz w:val="19"/>
              </w:rPr>
              <w:t>Discovery Portal</w:t>
            </w:r>
          </w:p>
        </w:tc>
        <w:tc>
          <w:tcPr>
            <w:tcW w:type="dxa" w:w="2340"/>
            <w:shd w:fill="f0f4e8"/>
          </w:tcPr>
          <w:p>
            <w:pPr>
              <w:spacing w:before="40" w:after="40"/>
            </w:pPr>
            <w:r>
              <w:rPr>
                <w:sz w:val="19"/>
              </w:rPr>
            </w:r>
            <w:r>
              <w:rPr>
                <w:sz w:val="19"/>
              </w:rPr>
              <w:t>8510</w:t>
            </w:r>
          </w:p>
        </w:tc>
        <w:tc>
          <w:tcPr>
            <w:tcW w:type="dxa" w:w="2340"/>
            <w:shd w:fill="f0f4e8"/>
          </w:tcPr>
          <w:p>
            <w:pPr>
              <w:spacing w:before="40" w:after="40"/>
            </w:pPr>
            <w:r>
              <w:rPr>
                <w:sz w:val="19"/>
              </w:rPr>
            </w:r>
            <w:r>
              <w:rPr>
                <w:sz w:val="19"/>
              </w:rPr>
              <w:t>Streamlit</w:t>
            </w:r>
          </w:p>
        </w:tc>
        <w:tc>
          <w:tcPr>
            <w:tcW w:type="dxa" w:w="2340"/>
            <w:shd w:fill="f0f4e8"/>
          </w:tcPr>
          <w:p>
            <w:pPr>
              <w:spacing w:before="40" w:after="40"/>
            </w:pPr>
            <w:r>
              <w:rPr>
                <w:sz w:val="19"/>
              </w:rPr>
            </w:r>
            <w:r>
              <w:rPr>
                <w:sz w:val="19"/>
              </w:rPr>
              <w:t>Unified drug discovery</w:t>
            </w:r>
          </w:p>
        </w:tc>
      </w:tr>
      <w:tr>
        <w:tc>
          <w:tcPr>
            <w:tcW w:type="dxa" w:w="2340"/>
          </w:tcPr>
          <w:p>
            <w:pPr>
              <w:spacing w:before="40" w:after="40"/>
            </w:pPr>
            <w:r>
              <w:rPr>
                <w:sz w:val="19"/>
              </w:rPr>
            </w:r>
            <w:r>
              <w:rPr>
                <w:sz w:val="19"/>
              </w:rPr>
              <w:t>CAR-T Agent UI</w:t>
            </w:r>
          </w:p>
        </w:tc>
        <w:tc>
          <w:tcPr>
            <w:tcW w:type="dxa" w:w="2340"/>
          </w:tcPr>
          <w:p>
            <w:pPr>
              <w:spacing w:before="40" w:after="40"/>
            </w:pPr>
            <w:r>
              <w:rPr>
                <w:sz w:val="19"/>
              </w:rPr>
            </w:r>
            <w:r>
              <w:rPr>
                <w:sz w:val="19"/>
              </w:rPr>
              <w:t>8521</w:t>
            </w:r>
          </w:p>
        </w:tc>
        <w:tc>
          <w:tcPr>
            <w:tcW w:type="dxa" w:w="2340"/>
          </w:tcPr>
          <w:p>
            <w:pPr>
              <w:spacing w:before="40" w:after="40"/>
            </w:pPr>
            <w:r>
              <w:rPr>
                <w:sz w:val="19"/>
              </w:rPr>
            </w:r>
            <w:r>
              <w:rPr>
                <w:sz w:val="19"/>
              </w:rPr>
              <w:t>Streamlit</w:t>
            </w:r>
          </w:p>
        </w:tc>
        <w:tc>
          <w:tcPr>
            <w:tcW w:type="dxa" w:w="2340"/>
          </w:tcPr>
          <w:p>
            <w:pPr>
              <w:spacing w:before="40" w:after="40"/>
            </w:pPr>
            <w:r>
              <w:rPr>
                <w:sz w:val="19"/>
              </w:rPr>
            </w:r>
            <w:r>
              <w:rPr>
                <w:sz w:val="19"/>
              </w:rPr>
              <w:t>CAR-T therapy intelligence</w:t>
            </w:r>
          </w:p>
        </w:tc>
      </w:tr>
      <w:tr>
        <w:tc>
          <w:tcPr>
            <w:tcW w:type="dxa" w:w="2340"/>
            <w:shd w:fill="f0f4e8"/>
          </w:tcPr>
          <w:p>
            <w:pPr>
              <w:spacing w:before="40" w:after="40"/>
            </w:pPr>
            <w:r>
              <w:rPr>
                <w:sz w:val="19"/>
              </w:rPr>
            </w:r>
            <w:r>
              <w:rPr>
                <w:sz w:val="19"/>
              </w:rPr>
              <w:t>Milvus</w:t>
            </w:r>
          </w:p>
        </w:tc>
        <w:tc>
          <w:tcPr>
            <w:tcW w:type="dxa" w:w="2340"/>
            <w:shd w:fill="f0f4e8"/>
          </w:tcPr>
          <w:p>
            <w:pPr>
              <w:spacing w:before="40" w:after="40"/>
            </w:pPr>
            <w:r>
              <w:rPr>
                <w:sz w:val="19"/>
              </w:rPr>
            </w:r>
            <w:r>
              <w:rPr>
                <w:sz w:val="19"/>
              </w:rPr>
              <w:t>19530</w:t>
            </w:r>
          </w:p>
        </w:tc>
        <w:tc>
          <w:tcPr>
            <w:tcW w:type="dxa" w:w="2340"/>
            <w:shd w:fill="f0f4e8"/>
          </w:tcPr>
          <w:p>
            <w:pPr>
              <w:spacing w:before="40" w:after="40"/>
            </w:pPr>
            <w:r>
              <w:rPr>
                <w:sz w:val="19"/>
              </w:rPr>
            </w:r>
            <w:r>
              <w:rPr>
                <w:sz w:val="19"/>
              </w:rPr>
              <w:t>Milvus 2.4</w:t>
            </w:r>
          </w:p>
        </w:tc>
        <w:tc>
          <w:tcPr>
            <w:tcW w:type="dxa" w:w="2340"/>
            <w:shd w:fill="f0f4e8"/>
          </w:tcPr>
          <w:p>
            <w:pPr>
              <w:spacing w:before="40" w:after="40"/>
            </w:pPr>
            <w:r>
              <w:rPr>
                <w:sz w:val="19"/>
              </w:rPr>
            </w:r>
            <w:r>
              <w:rPr>
                <w:sz w:val="19"/>
              </w:rPr>
              <w:t>Vector database</w:t>
            </w:r>
          </w:p>
        </w:tc>
      </w:tr>
      <w:tr>
        <w:tc>
          <w:tcPr>
            <w:tcW w:type="dxa" w:w="2340"/>
          </w:tcPr>
          <w:p>
            <w:pPr>
              <w:spacing w:before="40" w:after="40"/>
            </w:pPr>
            <w:r>
              <w:rPr>
                <w:sz w:val="19"/>
              </w:rPr>
            </w:r>
            <w:r>
              <w:rPr>
                <w:sz w:val="19"/>
              </w:rPr>
              <w:t>Attu</w:t>
            </w:r>
          </w:p>
        </w:tc>
        <w:tc>
          <w:tcPr>
            <w:tcW w:type="dxa" w:w="2340"/>
          </w:tcPr>
          <w:p>
            <w:pPr>
              <w:spacing w:before="40" w:after="40"/>
            </w:pPr>
            <w:r>
              <w:rPr>
                <w:sz w:val="19"/>
              </w:rPr>
            </w:r>
            <w:r>
              <w:rPr>
                <w:sz w:val="19"/>
              </w:rPr>
              <w:t>8000</w:t>
            </w:r>
          </w:p>
        </w:tc>
        <w:tc>
          <w:tcPr>
            <w:tcW w:type="dxa" w:w="2340"/>
          </w:tcPr>
          <w:p>
            <w:pPr>
              <w:spacing w:before="40" w:after="40"/>
            </w:pPr>
            <w:r>
              <w:rPr>
                <w:sz w:val="19"/>
              </w:rPr>
            </w:r>
            <w:r>
              <w:rPr>
                <w:sz w:val="19"/>
              </w:rPr>
              <w:t>Web UI</w:t>
            </w:r>
          </w:p>
        </w:tc>
        <w:tc>
          <w:tcPr>
            <w:tcW w:type="dxa" w:w="2340"/>
          </w:tcPr>
          <w:p>
            <w:pPr>
              <w:spacing w:before="40" w:after="40"/>
            </w:pPr>
            <w:r>
              <w:rPr>
                <w:sz w:val="19"/>
              </w:rPr>
            </w:r>
            <w:r>
              <w:rPr>
                <w:sz w:val="19"/>
              </w:rPr>
              <w:t>Milvus administration</w:t>
            </w:r>
          </w:p>
        </w:tc>
      </w:tr>
      <w:tr>
        <w:tc>
          <w:tcPr>
            <w:tcW w:type="dxa" w:w="2340"/>
            <w:shd w:fill="f0f4e8"/>
          </w:tcPr>
          <w:p>
            <w:pPr>
              <w:spacing w:before="40" w:after="40"/>
            </w:pPr>
            <w:r>
              <w:rPr>
                <w:sz w:val="19"/>
              </w:rPr>
            </w:r>
            <w:r>
              <w:rPr>
                <w:sz w:val="19"/>
              </w:rPr>
              <w:t>MolMIM NIM</w:t>
            </w:r>
          </w:p>
        </w:tc>
        <w:tc>
          <w:tcPr>
            <w:tcW w:type="dxa" w:w="2340"/>
            <w:shd w:fill="f0f4e8"/>
          </w:tcPr>
          <w:p>
            <w:pPr>
              <w:spacing w:before="40" w:after="40"/>
            </w:pPr>
            <w:r>
              <w:rPr>
                <w:sz w:val="19"/>
              </w:rPr>
            </w:r>
            <w:r>
              <w:rPr>
                <w:sz w:val="19"/>
              </w:rPr>
              <w:t>8001</w:t>
            </w:r>
          </w:p>
        </w:tc>
        <w:tc>
          <w:tcPr>
            <w:tcW w:type="dxa" w:w="2340"/>
            <w:shd w:fill="f0f4e8"/>
          </w:tcPr>
          <w:p>
            <w:pPr>
              <w:spacing w:before="40" w:after="40"/>
            </w:pPr>
            <w:r>
              <w:rPr>
                <w:sz w:val="19"/>
              </w:rPr>
            </w:r>
            <w:r>
              <w:rPr>
                <w:sz w:val="19"/>
              </w:rPr>
              <w:t>BioNeMo</w:t>
            </w:r>
          </w:p>
        </w:tc>
        <w:tc>
          <w:tcPr>
            <w:tcW w:type="dxa" w:w="2340"/>
            <w:shd w:fill="f0f4e8"/>
          </w:tcPr>
          <w:p>
            <w:pPr>
              <w:spacing w:before="40" w:after="40"/>
            </w:pPr>
            <w:r>
              <w:rPr>
                <w:sz w:val="19"/>
              </w:rPr>
            </w:r>
            <w:r>
              <w:rPr>
                <w:sz w:val="19"/>
              </w:rPr>
              <w:t>Molecule generation</w:t>
            </w:r>
          </w:p>
        </w:tc>
      </w:tr>
      <w:tr>
        <w:tc>
          <w:tcPr>
            <w:tcW w:type="dxa" w:w="2340"/>
          </w:tcPr>
          <w:p>
            <w:pPr>
              <w:spacing w:before="40" w:after="40"/>
            </w:pPr>
            <w:r>
              <w:rPr>
                <w:sz w:val="19"/>
              </w:rPr>
            </w:r>
            <w:r>
              <w:rPr>
                <w:sz w:val="19"/>
              </w:rPr>
              <w:t>DiffDock NIM</w:t>
            </w:r>
          </w:p>
        </w:tc>
        <w:tc>
          <w:tcPr>
            <w:tcW w:type="dxa" w:w="2340"/>
          </w:tcPr>
          <w:p>
            <w:pPr>
              <w:spacing w:before="40" w:after="40"/>
            </w:pPr>
            <w:r>
              <w:rPr>
                <w:sz w:val="19"/>
              </w:rPr>
            </w:r>
            <w:r>
              <w:rPr>
                <w:sz w:val="19"/>
              </w:rPr>
              <w:t>8002</w:t>
            </w:r>
          </w:p>
        </w:tc>
        <w:tc>
          <w:tcPr>
            <w:tcW w:type="dxa" w:w="2340"/>
          </w:tcPr>
          <w:p>
            <w:pPr>
              <w:spacing w:before="40" w:after="40"/>
            </w:pPr>
            <w:r>
              <w:rPr>
                <w:sz w:val="19"/>
              </w:rPr>
            </w:r>
            <w:r>
              <w:rPr>
                <w:sz w:val="19"/>
              </w:rPr>
              <w:t>BioNeMo</w:t>
            </w:r>
          </w:p>
        </w:tc>
        <w:tc>
          <w:tcPr>
            <w:tcW w:type="dxa" w:w="2340"/>
          </w:tcPr>
          <w:p>
            <w:pPr>
              <w:spacing w:before="40" w:after="40"/>
            </w:pPr>
            <w:r>
              <w:rPr>
                <w:sz w:val="19"/>
              </w:rPr>
            </w:r>
            <w:r>
              <w:rPr>
                <w:sz w:val="19"/>
              </w:rPr>
              <w:t>Molecular docking</w:t>
            </w:r>
          </w:p>
        </w:tc>
      </w:tr>
      <w:tr>
        <w:tc>
          <w:tcPr>
            <w:tcW w:type="dxa" w:w="2340"/>
            <w:shd w:fill="f0f4e8"/>
          </w:tcPr>
          <w:p>
            <w:pPr>
              <w:spacing w:before="40" w:after="40"/>
            </w:pPr>
            <w:r>
              <w:rPr>
                <w:sz w:val="19"/>
              </w:rPr>
            </w:r>
            <w:r>
              <w:rPr>
                <w:sz w:val="19"/>
              </w:rPr>
              <w:t>Grafana</w:t>
            </w:r>
          </w:p>
        </w:tc>
        <w:tc>
          <w:tcPr>
            <w:tcW w:type="dxa" w:w="2340"/>
            <w:shd w:fill="f0f4e8"/>
          </w:tcPr>
          <w:p>
            <w:pPr>
              <w:spacing w:before="40" w:after="40"/>
            </w:pPr>
            <w:r>
              <w:rPr>
                <w:sz w:val="19"/>
              </w:rPr>
            </w:r>
            <w:r>
              <w:rPr>
                <w:sz w:val="19"/>
              </w:rPr>
              <w:t>3000</w:t>
            </w:r>
          </w:p>
        </w:tc>
        <w:tc>
          <w:tcPr>
            <w:tcW w:type="dxa" w:w="2340"/>
            <w:shd w:fill="f0f4e8"/>
          </w:tcPr>
          <w:p>
            <w:pPr>
              <w:spacing w:before="40" w:after="40"/>
            </w:pPr>
            <w:r>
              <w:rPr>
                <w:sz w:val="19"/>
              </w:rPr>
            </w:r>
            <w:r>
              <w:rPr>
                <w:sz w:val="19"/>
              </w:rPr>
              <w:t>Grafana</w:t>
            </w:r>
          </w:p>
        </w:tc>
        <w:tc>
          <w:tcPr>
            <w:tcW w:type="dxa" w:w="2340"/>
            <w:shd w:fill="f0f4e8"/>
          </w:tcPr>
          <w:p>
            <w:pPr>
              <w:spacing w:before="40" w:after="40"/>
            </w:pPr>
            <w:r>
              <w:rPr>
                <w:sz w:val="19"/>
              </w:rPr>
            </w:r>
            <w:r>
              <w:rPr>
                <w:sz w:val="19"/>
              </w:rPr>
              <w:t>Metrics visualization</w:t>
            </w:r>
          </w:p>
        </w:tc>
      </w:tr>
      <w:tr>
        <w:tc>
          <w:tcPr>
            <w:tcW w:type="dxa" w:w="2340"/>
          </w:tcPr>
          <w:p>
            <w:pPr>
              <w:spacing w:before="40" w:after="40"/>
            </w:pPr>
            <w:r>
              <w:rPr>
                <w:sz w:val="19"/>
              </w:rPr>
            </w:r>
            <w:r>
              <w:rPr>
                <w:sz w:val="19"/>
              </w:rPr>
              <w:t>Prometheus</w:t>
            </w:r>
          </w:p>
        </w:tc>
        <w:tc>
          <w:tcPr>
            <w:tcW w:type="dxa" w:w="2340"/>
          </w:tcPr>
          <w:p>
            <w:pPr>
              <w:spacing w:before="40" w:after="40"/>
            </w:pPr>
            <w:r>
              <w:rPr>
                <w:sz w:val="19"/>
              </w:rPr>
            </w:r>
            <w:r>
              <w:rPr>
                <w:sz w:val="19"/>
              </w:rPr>
              <w:t>9099</w:t>
            </w:r>
          </w:p>
        </w:tc>
        <w:tc>
          <w:tcPr>
            <w:tcW w:type="dxa" w:w="2340"/>
          </w:tcPr>
          <w:p>
            <w:pPr>
              <w:spacing w:before="40" w:after="40"/>
            </w:pPr>
            <w:r>
              <w:rPr>
                <w:sz w:val="19"/>
              </w:rPr>
            </w:r>
            <w:r>
              <w:rPr>
                <w:sz w:val="19"/>
              </w:rPr>
              <w:t>Prometheus</w:t>
            </w:r>
          </w:p>
        </w:tc>
        <w:tc>
          <w:tcPr>
            <w:tcW w:type="dxa" w:w="2340"/>
          </w:tcPr>
          <w:p>
            <w:pPr>
              <w:spacing w:before="40" w:after="40"/>
            </w:pPr>
            <w:r>
              <w:rPr>
                <w:sz w:val="19"/>
              </w:rPr>
            </w:r>
            <w:r>
              <w:rPr>
                <w:sz w:val="19"/>
              </w:rPr>
              <w:t>Metrics collection</w:t>
            </w:r>
          </w:p>
        </w:tc>
      </w:tr>
      <w:tr>
        <w:tc>
          <w:tcPr>
            <w:tcW w:type="dxa" w:w="2340"/>
            <w:shd w:fill="f0f4e8"/>
          </w:tcPr>
          <w:p>
            <w:pPr>
              <w:spacing w:before="40" w:after="40"/>
            </w:pPr>
            <w:r>
              <w:rPr>
                <w:sz w:val="19"/>
              </w:rPr>
            </w:r>
            <w:r>
              <w:rPr>
                <w:sz w:val="19"/>
              </w:rPr>
              <w:t>Node Exporter</w:t>
            </w:r>
          </w:p>
        </w:tc>
        <w:tc>
          <w:tcPr>
            <w:tcW w:type="dxa" w:w="2340"/>
            <w:shd w:fill="f0f4e8"/>
          </w:tcPr>
          <w:p>
            <w:pPr>
              <w:spacing w:before="40" w:after="40"/>
            </w:pPr>
            <w:r>
              <w:rPr>
                <w:sz w:val="19"/>
              </w:rPr>
            </w:r>
            <w:r>
              <w:rPr>
                <w:sz w:val="19"/>
              </w:rPr>
              <w:t>9100</w:t>
            </w:r>
          </w:p>
        </w:tc>
        <w:tc>
          <w:tcPr>
            <w:tcW w:type="dxa" w:w="2340"/>
            <w:shd w:fill="f0f4e8"/>
          </w:tcPr>
          <w:p>
            <w:pPr>
              <w:spacing w:before="40" w:after="40"/>
            </w:pPr>
            <w:r>
              <w:rPr>
                <w:sz w:val="19"/>
              </w:rPr>
            </w:r>
            <w:r>
              <w:rPr>
                <w:sz w:val="19"/>
              </w:rPr>
              <w:t>Prometheus</w:t>
            </w:r>
          </w:p>
        </w:tc>
        <w:tc>
          <w:tcPr>
            <w:tcW w:type="dxa" w:w="2340"/>
            <w:shd w:fill="f0f4e8"/>
          </w:tcPr>
          <w:p>
            <w:pPr>
              <w:spacing w:before="40" w:after="40"/>
            </w:pPr>
            <w:r>
              <w:rPr>
                <w:sz w:val="19"/>
              </w:rPr>
            </w:r>
            <w:r>
              <w:rPr>
                <w:sz w:val="19"/>
              </w:rPr>
              <w:t>System metrics</w:t>
            </w:r>
          </w:p>
        </w:tc>
      </w:tr>
      <w:tr>
        <w:tc>
          <w:tcPr>
            <w:tcW w:type="dxa" w:w="2340"/>
          </w:tcPr>
          <w:p>
            <w:pPr>
              <w:spacing w:before="40" w:after="40"/>
            </w:pPr>
            <w:r>
              <w:rPr>
                <w:sz w:val="19"/>
              </w:rPr>
            </w:r>
            <w:r>
              <w:rPr>
                <w:sz w:val="19"/>
              </w:rPr>
              <w:t>DCGM Exporter</w:t>
            </w:r>
          </w:p>
        </w:tc>
        <w:tc>
          <w:tcPr>
            <w:tcW w:type="dxa" w:w="2340"/>
          </w:tcPr>
          <w:p>
            <w:pPr>
              <w:spacing w:before="40" w:after="40"/>
            </w:pPr>
            <w:r>
              <w:rPr>
                <w:sz w:val="19"/>
              </w:rPr>
            </w:r>
            <w:r>
              <w:rPr>
                <w:sz w:val="19"/>
              </w:rPr>
              <w:t>9400</w:t>
            </w:r>
          </w:p>
        </w:tc>
        <w:tc>
          <w:tcPr>
            <w:tcW w:type="dxa" w:w="2340"/>
          </w:tcPr>
          <w:p>
            <w:pPr>
              <w:spacing w:before="40" w:after="40"/>
            </w:pPr>
            <w:r>
              <w:rPr>
                <w:sz w:val="19"/>
              </w:rPr>
            </w:r>
            <w:r>
              <w:rPr>
                <w:sz w:val="19"/>
              </w:rPr>
              <w:t>NVIDIA</w:t>
            </w:r>
          </w:p>
        </w:tc>
        <w:tc>
          <w:tcPr>
            <w:tcW w:type="dxa" w:w="2340"/>
          </w:tcPr>
          <w:p>
            <w:pPr>
              <w:spacing w:before="40" w:after="40"/>
            </w:pPr>
            <w:r>
              <w:rPr>
                <w:sz w:val="19"/>
              </w:rPr>
            </w:r>
            <w:r>
              <w:rPr>
                <w:sz w:val="19"/>
              </w:rPr>
              <w:t>GPU metrics</w:t>
            </w:r>
          </w:p>
        </w:tc>
      </w:tr>
    </w:tbl>
    <w:p/>
    <w:p>
      <w:pPr>
        <w:pStyle w:val="Heading3"/>
      </w:pPr>
      <w:r>
        <w:t>2.3 Shared Infrastructure</w:t>
      </w:r>
    </w:p>
    <w:p>
      <w:r>
        <w:t>All stages share three critical components:</w:t>
      </w:r>
    </w:p>
    <w:p>
      <w:pPr>
        <w:pStyle w:val="ListNumber"/>
      </w:pPr>
      <w:r>
        <w:rPr>
          <w:b/>
        </w:rPr>
        <w:t>Milvus 2.4+ Vector Database</w:t>
      </w:r>
      <w:r>
        <w:t xml:space="preserve"> (port 19530): Stores all embedding vectors using IVF_FLAT indexing with COSINE similarity metric, 1,024 partitions (nlist), and 16 probes per search (nprobe).</w:t>
      </w:r>
    </w:p>
    <w:p>
      <w:pPr>
        <w:pStyle w:val="ListNumber"/>
      </w:pPr>
      <w:r>
        <w:rPr>
          <w:b/>
        </w:rPr>
        <w:t>BGE-small-en-v1.5 Embedding Model</w:t>
      </w:r>
      <w:r>
        <w:t>: 384-dimensional embeddings from the BAAI/bge-small-en-v1.5 sentence-transformer model, used identically across the RAG pipeline and CAR-T Agent.</w:t>
      </w:r>
    </w:p>
    <w:p>
      <w:pPr>
        <w:pStyle w:val="ListNumber"/>
      </w:pPr>
      <w:r>
        <w:rPr>
          <w:b/>
        </w:rPr>
        <w:t>Claude API</w:t>
      </w:r>
      <w:r>
        <w:t xml:space="preserve"> (Anthropic): Both the RAG pipeline and CAR-T Agent use Claude Sonnet/Opus for response synthesis, with domain-specific system prompts.</w:t>
      </w:r>
    </w:p>
    <w:p>
      <w:pPr>
        <w:spacing w:before="120" w:after="120"/>
        <w:pBdr>
          <w:bottom w:val="single" w:sz="4" w:space="1" w:color="76B900"/>
        </w:pBdr>
      </w:pPr>
    </w:p>
    <w:p>
      <w:r>
        <w:br w:type="page"/>
      </w:r>
    </w:p>
    <w:p>
      <w:pPr>
        <w:pStyle w:val="Heading2"/>
      </w:pPr>
      <w:r>
        <w:t>3. Hardware Platform: NVIDIA DGX Spark</w:t>
      </w:r>
    </w:p>
    <w:p>
      <w:pPr>
        <w:pStyle w:val="Heading3"/>
      </w:pPr>
      <w:r>
        <w:t>3.1 Specifications</w:t>
      </w:r>
    </w:p>
    <w:p>
      <w:r>
        <w:t>The entire platform is designed to execute on a single NVIDIA DGX Spark workstation:</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a1a24"/>
          </w:tcPr>
          <w:p>
            <w:pPr>
              <w:spacing w:before="40" w:after="40"/>
            </w:pPr>
            <w:r>
              <w:rPr>
                <w:b/>
                <w:color w:val="FFFFFF"/>
                <w:sz w:val="19"/>
              </w:rPr>
            </w:r>
            <w:r>
              <w:rPr>
                <w:b/>
                <w:color w:val="FFFFFF"/>
                <w:sz w:val="19"/>
              </w:rPr>
              <w:t>Component</w:t>
            </w:r>
          </w:p>
        </w:tc>
        <w:tc>
          <w:tcPr>
            <w:tcW w:type="dxa" w:w="4680"/>
            <w:shd w:fill="1a1a24"/>
          </w:tcPr>
          <w:p>
            <w:pPr>
              <w:spacing w:before="40" w:after="40"/>
            </w:pPr>
            <w:r>
              <w:rPr>
                <w:b/>
                <w:color w:val="FFFFFF"/>
                <w:sz w:val="19"/>
              </w:rPr>
            </w:r>
            <w:r>
              <w:rPr>
                <w:b/>
                <w:color w:val="FFFFFF"/>
                <w:sz w:val="19"/>
              </w:rPr>
              <w:t>Specification</w:t>
            </w:r>
          </w:p>
        </w:tc>
      </w:tr>
      <w:tr>
        <w:tc>
          <w:tcPr>
            <w:tcW w:type="dxa" w:w="4680"/>
          </w:tcPr>
          <w:p>
            <w:pPr>
              <w:spacing w:before="40" w:after="40"/>
            </w:pPr>
            <w:r>
              <w:rPr>
                <w:sz w:val="19"/>
              </w:rPr>
            </w:r>
            <w:r>
              <w:rPr>
                <w:sz w:val="19"/>
              </w:rPr>
              <w:t>GPU</w:t>
            </w:r>
          </w:p>
        </w:tc>
        <w:tc>
          <w:tcPr>
            <w:tcW w:type="dxa" w:w="4680"/>
          </w:tcPr>
          <w:p>
            <w:pPr>
              <w:spacing w:before="40" w:after="40"/>
            </w:pPr>
            <w:r>
              <w:rPr>
                <w:sz w:val="19"/>
              </w:rPr>
            </w:r>
            <w:r>
              <w:rPr>
                <w:sz w:val="19"/>
              </w:rPr>
              <w:t>NVIDIA GB10</w:t>
            </w:r>
          </w:p>
        </w:tc>
      </w:tr>
      <w:tr>
        <w:tc>
          <w:tcPr>
            <w:tcW w:type="dxa" w:w="4680"/>
            <w:shd w:fill="f0f4e8"/>
          </w:tcPr>
          <w:p>
            <w:pPr>
              <w:spacing w:before="40" w:after="40"/>
            </w:pPr>
            <w:r>
              <w:rPr>
                <w:sz w:val="19"/>
              </w:rPr>
            </w:r>
            <w:r>
              <w:rPr>
                <w:sz w:val="19"/>
              </w:rPr>
              <w:t>CPU</w:t>
            </w:r>
          </w:p>
        </w:tc>
        <w:tc>
          <w:tcPr>
            <w:tcW w:type="dxa" w:w="4680"/>
            <w:shd w:fill="f0f4e8"/>
          </w:tcPr>
          <w:p>
            <w:pPr>
              <w:spacing w:before="40" w:after="40"/>
            </w:pPr>
            <w:r>
              <w:rPr>
                <w:sz w:val="19"/>
              </w:rPr>
            </w:r>
            <w:r>
              <w:rPr>
                <w:sz w:val="19"/>
              </w:rPr>
              <w:t>20 ARM cores (NVIDIA Grace)</w:t>
            </w:r>
          </w:p>
        </w:tc>
      </w:tr>
      <w:tr>
        <w:tc>
          <w:tcPr>
            <w:tcW w:type="dxa" w:w="4680"/>
          </w:tcPr>
          <w:p>
            <w:pPr>
              <w:spacing w:before="40" w:after="40"/>
            </w:pPr>
            <w:r>
              <w:rPr>
                <w:sz w:val="19"/>
              </w:rPr>
            </w:r>
            <w:r>
              <w:rPr>
                <w:sz w:val="19"/>
              </w:rPr>
              <w:t>Memory</w:t>
            </w:r>
          </w:p>
        </w:tc>
        <w:tc>
          <w:tcPr>
            <w:tcW w:type="dxa" w:w="4680"/>
          </w:tcPr>
          <w:p>
            <w:pPr>
              <w:spacing w:before="40" w:after="40"/>
            </w:pPr>
            <w:r>
              <w:rPr>
                <w:sz w:val="19"/>
              </w:rPr>
            </w:r>
            <w:r>
              <w:rPr>
                <w:sz w:val="19"/>
              </w:rPr>
              <w:t>128GB unified LPDDR5x</w:t>
            </w:r>
          </w:p>
        </w:tc>
      </w:tr>
      <w:tr>
        <w:tc>
          <w:tcPr>
            <w:tcW w:type="dxa" w:w="4680"/>
            <w:shd w:fill="f0f4e8"/>
          </w:tcPr>
          <w:p>
            <w:pPr>
              <w:spacing w:before="40" w:after="40"/>
            </w:pPr>
            <w:r>
              <w:rPr>
                <w:sz w:val="19"/>
              </w:rPr>
            </w:r>
            <w:r>
              <w:rPr>
                <w:sz w:val="19"/>
              </w:rPr>
              <w:t>Interconnect</w:t>
            </w:r>
          </w:p>
        </w:tc>
        <w:tc>
          <w:tcPr>
            <w:tcW w:type="dxa" w:w="4680"/>
            <w:shd w:fill="f0f4e8"/>
          </w:tcPr>
          <w:p>
            <w:pPr>
              <w:spacing w:before="40" w:after="40"/>
            </w:pPr>
            <w:r>
              <w:rPr>
                <w:sz w:val="19"/>
              </w:rPr>
            </w:r>
            <w:r>
              <w:rPr>
                <w:sz w:val="19"/>
              </w:rPr>
              <w:t>NVLink-C2C (CPU-GPU)</w:t>
            </w:r>
          </w:p>
        </w:tc>
      </w:tr>
      <w:tr>
        <w:tc>
          <w:tcPr>
            <w:tcW w:type="dxa" w:w="4680"/>
          </w:tcPr>
          <w:p>
            <w:pPr>
              <w:spacing w:before="40" w:after="40"/>
            </w:pPr>
            <w:r>
              <w:rPr>
                <w:sz w:val="19"/>
              </w:rPr>
            </w:r>
            <w:r>
              <w:rPr>
                <w:sz w:val="19"/>
              </w:rPr>
              <w:t>Storage</w:t>
            </w:r>
          </w:p>
        </w:tc>
        <w:tc>
          <w:tcPr>
            <w:tcW w:type="dxa" w:w="4680"/>
          </w:tcPr>
          <w:p>
            <w:pPr>
              <w:spacing w:before="40" w:after="40"/>
            </w:pPr>
            <w:r>
              <w:rPr>
                <w:sz w:val="19"/>
              </w:rPr>
            </w:r>
            <w:r>
              <w:rPr>
                <w:sz w:val="19"/>
              </w:rPr>
              <w:t>NVMe SSD (500GB minimum)</w:t>
            </w:r>
          </w:p>
        </w:tc>
      </w:tr>
      <w:tr>
        <w:tc>
          <w:tcPr>
            <w:tcW w:type="dxa" w:w="4680"/>
            <w:shd w:fill="f0f4e8"/>
          </w:tcPr>
          <w:p>
            <w:pPr>
              <w:spacing w:before="40" w:after="40"/>
            </w:pPr>
            <w:r>
              <w:rPr>
                <w:sz w:val="19"/>
              </w:rPr>
            </w:r>
            <w:r>
              <w:rPr>
                <w:sz w:val="19"/>
              </w:rPr>
              <w:t>Price</w:t>
            </w:r>
          </w:p>
        </w:tc>
        <w:tc>
          <w:tcPr>
            <w:tcW w:type="dxa" w:w="4680"/>
            <w:shd w:fill="f0f4e8"/>
          </w:tcPr>
          <w:p>
            <w:pPr>
              <w:spacing w:before="40" w:after="40"/>
            </w:pPr>
            <w:r>
              <w:rPr>
                <w:sz w:val="19"/>
              </w:rPr>
            </w:r>
            <w:r>
              <w:rPr>
                <w:sz w:val="19"/>
              </w:rPr>
              <w:t>$3,999</w:t>
            </w:r>
          </w:p>
        </w:tc>
      </w:tr>
      <w:tr>
        <w:tc>
          <w:tcPr>
            <w:tcW w:type="dxa" w:w="4680"/>
          </w:tcPr>
          <w:p>
            <w:pPr>
              <w:spacing w:before="40" w:after="40"/>
            </w:pPr>
            <w:r>
              <w:rPr>
                <w:sz w:val="19"/>
              </w:rPr>
            </w:r>
            <w:r>
              <w:rPr>
                <w:sz w:val="19"/>
              </w:rPr>
              <w:t>Power</w:t>
            </w:r>
          </w:p>
        </w:tc>
        <w:tc>
          <w:tcPr>
            <w:tcW w:type="dxa" w:w="4680"/>
          </w:tcPr>
          <w:p>
            <w:pPr>
              <w:spacing w:before="40" w:after="40"/>
            </w:pPr>
            <w:r>
              <w:rPr>
                <w:sz w:val="19"/>
              </w:rPr>
            </w:r>
            <w:r>
              <w:rPr>
                <w:sz w:val="19"/>
              </w:rPr>
              <w:t>Desktop form factor</w:t>
            </w:r>
          </w:p>
        </w:tc>
      </w:tr>
    </w:tbl>
    <w:p/>
    <w:p>
      <w:pPr>
        <w:pStyle w:val="Heading3"/>
      </w:pPr>
      <w:r>
        <w:t>3.2 Design Rationale</w:t>
      </w:r>
    </w:p>
    <w:p>
      <w:r>
        <w:t>The DGX Spark provides sufficient compute for each pipeline stage: Parabricks 4.6 requires a minimum of 8GB GPU memory for variant calling, the BGE-small-en-v1.5 model fits within 1GB, Milvus operates efficiently with 8-16GB RAM for million-scale vector collections, and the BioNeMo NIM services (MolMIM, DiffDock) run within the GPU memory budget. The 128GB unified memory architecture eliminates PCIe bottlenecks through NVLink-C2C, enabling seamless data movement between CPU and GPU memory spaces.</w:t>
      </w:r>
    </w:p>
    <w:p>
      <w:pPr>
        <w:pStyle w:val="Heading3"/>
      </w:pPr>
      <w:r>
        <w:t>3.3 Resource Allocation Strategy</w:t>
      </w:r>
    </w:p>
    <w:p>
      <w:r>
        <w:t>The Nextflow orchestrator configures resource allocation per stage: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1a24"/>
          </w:tcPr>
          <w:p>
            <w:pPr>
              <w:spacing w:before="40" w:after="40"/>
            </w:pPr>
            <w:r>
              <w:rPr>
                <w:b/>
                <w:color w:val="FFFFFF"/>
                <w:sz w:val="19"/>
              </w:rPr>
            </w:r>
            <w:r>
              <w:rPr>
                <w:b/>
                <w:color w:val="FFFFFF"/>
                <w:sz w:val="19"/>
              </w:rPr>
              <w:t>Process Label</w:t>
            </w:r>
          </w:p>
        </w:tc>
        <w:tc>
          <w:tcPr>
            <w:tcW w:type="dxa" w:w="1872"/>
            <w:shd w:fill="1a1a24"/>
          </w:tcPr>
          <w:p>
            <w:pPr>
              <w:spacing w:before="40" w:after="40"/>
            </w:pPr>
            <w:r>
              <w:rPr>
                <w:b/>
                <w:color w:val="FFFFFF"/>
                <w:sz w:val="19"/>
              </w:rPr>
            </w:r>
            <w:r>
              <w:rPr>
                <w:b/>
                <w:color w:val="FFFFFF"/>
                <w:sz w:val="19"/>
              </w:rPr>
              <w:t>CPUs</w:t>
            </w:r>
          </w:p>
        </w:tc>
        <w:tc>
          <w:tcPr>
            <w:tcW w:type="dxa" w:w="1872"/>
            <w:shd w:fill="1a1a24"/>
          </w:tcPr>
          <w:p>
            <w:pPr>
              <w:spacing w:before="40" w:after="40"/>
            </w:pPr>
            <w:r>
              <w:rPr>
                <w:b/>
                <w:color w:val="FFFFFF"/>
                <w:sz w:val="19"/>
              </w:rPr>
            </w:r>
            <w:r>
              <w:rPr>
                <w:b/>
                <w:color w:val="FFFFFF"/>
                <w:sz w:val="19"/>
              </w:rPr>
              <w:t>Memory</w:t>
            </w:r>
          </w:p>
        </w:tc>
        <w:tc>
          <w:tcPr>
            <w:tcW w:type="dxa" w:w="1872"/>
            <w:shd w:fill="1a1a24"/>
          </w:tcPr>
          <w:p>
            <w:pPr>
              <w:spacing w:before="40" w:after="40"/>
            </w:pPr>
            <w:r>
              <w:rPr>
                <w:b/>
                <w:color w:val="FFFFFF"/>
                <w:sz w:val="19"/>
              </w:rPr>
            </w:r>
            <w:r>
              <w:rPr>
                <w:b/>
                <w:color w:val="FFFFFF"/>
                <w:sz w:val="19"/>
              </w:rPr>
              <w:t>GPU</w:t>
            </w:r>
          </w:p>
        </w:tc>
        <w:tc>
          <w:tcPr>
            <w:tcW w:type="dxa" w:w="1872"/>
            <w:shd w:fill="1a1a24"/>
          </w:tcPr>
          <w:p>
            <w:pPr>
              <w:spacing w:before="40" w:after="40"/>
            </w:pPr>
            <w:r>
              <w:rPr>
                <w:b/>
                <w:color w:val="FFFFFF"/>
                <w:sz w:val="19"/>
              </w:rPr>
            </w:r>
            <w:r>
              <w:rPr>
                <w:b/>
                <w:color w:val="FFFFFF"/>
                <w:sz w:val="19"/>
              </w:rPr>
              <w:t>Use Case</w:t>
            </w:r>
          </w:p>
        </w:tc>
      </w:tr>
      <w:tr>
        <w:tc>
          <w:tcPr>
            <w:tcW w:type="dxa" w:w="1872"/>
          </w:tcPr>
          <w:p>
            <w:pPr>
              <w:spacing w:before="40" w:after="40"/>
            </w:pPr>
            <w:r>
              <w:rPr>
                <w:sz w:val="19"/>
              </w:rPr>
            </w:r>
            <w:r>
              <w:rPr>
                <w:rFonts w:ascii="Consolas" w:hAnsi="Consolas"/>
                <w:color w:val="1A6B1A"/>
                <w:sz w:val="19"/>
              </w:rPr>
              <w:t>process_low</w:t>
            </w:r>
          </w:p>
        </w:tc>
        <w:tc>
          <w:tcPr>
            <w:tcW w:type="dxa" w:w="1872"/>
          </w:tcPr>
          <w:p>
            <w:pPr>
              <w:spacing w:before="40" w:after="40"/>
            </w:pPr>
            <w:r>
              <w:rPr>
                <w:sz w:val="19"/>
              </w:rPr>
            </w:r>
            <w:r>
              <w:rPr>
                <w:sz w:val="19"/>
              </w:rPr>
              <w:t>2</w:t>
            </w:r>
          </w:p>
        </w:tc>
        <w:tc>
          <w:tcPr>
            <w:tcW w:type="dxa" w:w="1872"/>
          </w:tcPr>
          <w:p>
            <w:pPr>
              <w:spacing w:before="40" w:after="40"/>
            </w:pPr>
            <w:r>
              <w:rPr>
                <w:sz w:val="19"/>
              </w:rPr>
            </w:r>
            <w:r>
              <w:rPr>
                <w:sz w:val="19"/>
              </w:rPr>
              <w:t>4 GB</w:t>
            </w:r>
          </w:p>
        </w:tc>
        <w:tc>
          <w:tcPr>
            <w:tcW w:type="dxa" w:w="1872"/>
          </w:tcPr>
          <w:p>
            <w:pPr>
              <w:spacing w:before="40" w:after="40"/>
            </w:pPr>
            <w:r>
              <w:rPr>
                <w:sz w:val="19"/>
              </w:rPr>
            </w:r>
            <w:r>
              <w:rPr>
                <w:sz w:val="19"/>
              </w:rPr>
              <w:t>0</w:t>
            </w:r>
          </w:p>
        </w:tc>
        <w:tc>
          <w:tcPr>
            <w:tcW w:type="dxa" w:w="1872"/>
          </w:tcPr>
          <w:p>
            <w:pPr>
              <w:spacing w:before="40" w:after="40"/>
            </w:pPr>
            <w:r>
              <w:rPr>
                <w:sz w:val="19"/>
              </w:rPr>
            </w:r>
            <w:r>
              <w:rPr>
                <w:sz w:val="19"/>
              </w:rPr>
              <w:t>Lightweight tasks</w:t>
            </w:r>
          </w:p>
        </w:tc>
      </w:tr>
      <w:tr>
        <w:tc>
          <w:tcPr>
            <w:tcW w:type="dxa" w:w="1872"/>
            <w:shd w:fill="f0f4e8"/>
          </w:tcPr>
          <w:p>
            <w:pPr>
              <w:spacing w:before="40" w:after="40"/>
            </w:pPr>
            <w:r>
              <w:rPr>
                <w:sz w:val="19"/>
              </w:rPr>
            </w:r>
            <w:r>
              <w:rPr>
                <w:rFonts w:ascii="Consolas" w:hAnsi="Consolas"/>
                <w:color w:val="1A6B1A"/>
                <w:sz w:val="19"/>
              </w:rPr>
              <w:t>process_medium</w:t>
            </w:r>
          </w:p>
        </w:tc>
        <w:tc>
          <w:tcPr>
            <w:tcW w:type="dxa" w:w="1872"/>
            <w:shd w:fill="f0f4e8"/>
          </w:tcPr>
          <w:p>
            <w:pPr>
              <w:spacing w:before="40" w:after="40"/>
            </w:pPr>
            <w:r>
              <w:rPr>
                <w:sz w:val="19"/>
              </w:rPr>
            </w:r>
            <w:r>
              <w:rPr>
                <w:sz w:val="19"/>
              </w:rPr>
              <w:t>8</w:t>
            </w:r>
          </w:p>
        </w:tc>
        <w:tc>
          <w:tcPr>
            <w:tcW w:type="dxa" w:w="1872"/>
            <w:shd w:fill="f0f4e8"/>
          </w:tcPr>
          <w:p>
            <w:pPr>
              <w:spacing w:before="40" w:after="40"/>
            </w:pPr>
            <w:r>
              <w:rPr>
                <w:sz w:val="19"/>
              </w:rPr>
            </w:r>
            <w:r>
              <w:rPr>
                <w:sz w:val="19"/>
              </w:rPr>
              <w:t>32 GB</w:t>
            </w:r>
          </w:p>
        </w:tc>
        <w:tc>
          <w:tcPr>
            <w:tcW w:type="dxa" w:w="1872"/>
            <w:shd w:fill="f0f4e8"/>
          </w:tcPr>
          <w:p>
            <w:pPr>
              <w:spacing w:before="40" w:after="40"/>
            </w:pPr>
            <w:r>
              <w:rPr>
                <w:sz w:val="19"/>
              </w:rPr>
            </w:r>
            <w:r>
              <w:rPr>
                <w:sz w:val="19"/>
              </w:rPr>
              <w:t>0</w:t>
            </w:r>
          </w:p>
        </w:tc>
        <w:tc>
          <w:tcPr>
            <w:tcW w:type="dxa" w:w="1872"/>
            <w:shd w:fill="f0f4e8"/>
          </w:tcPr>
          <w:p>
            <w:pPr>
              <w:spacing w:before="40" w:after="40"/>
            </w:pPr>
            <w:r>
              <w:rPr>
                <w:sz w:val="19"/>
              </w:rPr>
            </w:r>
            <w:r>
              <w:rPr>
                <w:sz w:val="19"/>
              </w:rPr>
              <w:t>Standard processing</w:t>
            </w:r>
          </w:p>
        </w:tc>
      </w:tr>
      <w:tr>
        <w:tc>
          <w:tcPr>
            <w:tcW w:type="dxa" w:w="1872"/>
          </w:tcPr>
          <w:p>
            <w:pPr>
              <w:spacing w:before="40" w:after="40"/>
            </w:pPr>
            <w:r>
              <w:rPr>
                <w:sz w:val="19"/>
              </w:rPr>
            </w:r>
            <w:r>
              <w:rPr>
                <w:rFonts w:ascii="Consolas" w:hAnsi="Consolas"/>
                <w:color w:val="1A6B1A"/>
                <w:sz w:val="19"/>
              </w:rPr>
              <w:t>process_high</w:t>
            </w:r>
          </w:p>
        </w:tc>
        <w:tc>
          <w:tcPr>
            <w:tcW w:type="dxa" w:w="1872"/>
          </w:tcPr>
          <w:p>
            <w:pPr>
              <w:spacing w:before="40" w:after="40"/>
            </w:pPr>
            <w:r>
              <w:rPr>
                <w:sz w:val="19"/>
              </w:rPr>
            </w:r>
            <w:r>
              <w:rPr>
                <w:sz w:val="19"/>
              </w:rPr>
              <w:t>16</w:t>
            </w:r>
          </w:p>
        </w:tc>
        <w:tc>
          <w:tcPr>
            <w:tcW w:type="dxa" w:w="1872"/>
          </w:tcPr>
          <w:p>
            <w:pPr>
              <w:spacing w:before="40" w:after="40"/>
            </w:pPr>
            <w:r>
              <w:rPr>
                <w:sz w:val="19"/>
              </w:rPr>
            </w:r>
            <w:r>
              <w:rPr>
                <w:sz w:val="19"/>
              </w:rPr>
              <w:t>64 GB</w:t>
            </w:r>
          </w:p>
        </w:tc>
        <w:tc>
          <w:tcPr>
            <w:tcW w:type="dxa" w:w="1872"/>
          </w:tcPr>
          <w:p>
            <w:pPr>
              <w:spacing w:before="40" w:after="40"/>
            </w:pPr>
            <w:r>
              <w:rPr>
                <w:sz w:val="19"/>
              </w:rPr>
            </w:r>
            <w:r>
              <w:rPr>
                <w:sz w:val="19"/>
              </w:rPr>
              <w:t>0</w:t>
            </w:r>
          </w:p>
        </w:tc>
        <w:tc>
          <w:tcPr>
            <w:tcW w:type="dxa" w:w="1872"/>
          </w:tcPr>
          <w:p>
            <w:pPr>
              <w:spacing w:before="40" w:after="40"/>
            </w:pPr>
            <w:r>
              <w:rPr>
                <w:sz w:val="19"/>
              </w:rPr>
            </w:r>
            <w:r>
              <w:rPr>
                <w:sz w:val="19"/>
              </w:rPr>
              <w:t>Memory-intensive</w:t>
            </w:r>
          </w:p>
        </w:tc>
      </w:tr>
      <w:tr>
        <w:tc>
          <w:tcPr>
            <w:tcW w:type="dxa" w:w="1872"/>
            <w:shd w:fill="f0f4e8"/>
          </w:tcPr>
          <w:p>
            <w:pPr>
              <w:spacing w:before="40" w:after="40"/>
            </w:pPr>
            <w:r>
              <w:rPr>
                <w:sz w:val="19"/>
              </w:rPr>
            </w:r>
            <w:r>
              <w:rPr>
                <w:rFonts w:ascii="Consolas" w:hAnsi="Consolas"/>
                <w:color w:val="1A6B1A"/>
                <w:sz w:val="19"/>
              </w:rPr>
              <w:t>gpu</w:t>
            </w:r>
          </w:p>
        </w:tc>
        <w:tc>
          <w:tcPr>
            <w:tcW w:type="dxa" w:w="1872"/>
            <w:shd w:fill="f0f4e8"/>
          </w:tcPr>
          <w:p>
            <w:pPr>
              <w:spacing w:before="40" w:after="40"/>
            </w:pPr>
            <w:r>
              <w:rPr>
                <w:sz w:val="19"/>
              </w:rPr>
            </w:r>
            <w:r>
              <w:rPr>
                <w:sz w:val="19"/>
              </w:rPr>
              <w:t>8</w:t>
            </w:r>
          </w:p>
        </w:tc>
        <w:tc>
          <w:tcPr>
            <w:tcW w:type="dxa" w:w="1872"/>
            <w:shd w:fill="f0f4e8"/>
          </w:tcPr>
          <w:p>
            <w:pPr>
              <w:spacing w:before="40" w:after="40"/>
            </w:pPr>
            <w:r>
              <w:rPr>
                <w:sz w:val="19"/>
              </w:rPr>
            </w:r>
            <w:r>
              <w:rPr>
                <w:sz w:val="19"/>
              </w:rPr>
              <w:t>32 GB</w:t>
            </w:r>
          </w:p>
        </w:tc>
        <w:tc>
          <w:tcPr>
            <w:tcW w:type="dxa" w:w="1872"/>
            <w:shd w:fill="f0f4e8"/>
          </w:tcPr>
          <w:p>
            <w:pPr>
              <w:spacing w:before="40" w:after="40"/>
            </w:pPr>
            <w:r>
              <w:rPr>
                <w:sz w:val="19"/>
              </w:rPr>
            </w:r>
            <w:r>
              <w:rPr>
                <w:sz w:val="19"/>
              </w:rPr>
              <w:t>1</w:t>
            </w:r>
          </w:p>
        </w:tc>
        <w:tc>
          <w:tcPr>
            <w:tcW w:type="dxa" w:w="1872"/>
            <w:shd w:fill="f0f4e8"/>
          </w:tcPr>
          <w:p>
            <w:pPr>
              <w:spacing w:before="40" w:after="40"/>
            </w:pPr>
            <w:r>
              <w:rPr>
                <w:sz w:val="19"/>
              </w:rPr>
            </w:r>
            <w:r>
              <w:rPr>
                <w:sz w:val="19"/>
              </w:rPr>
              <w:t>GPU-accelerated workloads</w:t>
            </w:r>
          </w:p>
        </w:tc>
      </w:tr>
    </w:tbl>
    <w:p/>
    <w:p>
      <w:r>
        <w:t>Error recovery uses exit code-based retry with codes [143, 137, 104, 134, 139] triggering up to 2 retries.</w:t>
      </w:r>
    </w:p>
    <w:p>
      <w:pPr>
        <w:spacing w:before="120" w:after="120"/>
        <w:pBdr>
          <w:bottom w:val="single" w:sz="4" w:space="1" w:color="76B900"/>
        </w:pBdr>
      </w:pPr>
    </w:p>
    <w:p>
      <w:r>
        <w:br w:type="page"/>
      </w:r>
    </w:p>
    <w:p>
      <w:pPr>
        <w:pStyle w:val="Heading2"/>
      </w:pPr>
      <w:r>
        <w:t>4. Stage 1: GPU-Accelerated Genomics Pipeline</w:t>
      </w:r>
    </w:p>
    <w:p>
      <w:pPr>
        <w:pStyle w:val="Heading3"/>
      </w:pPr>
      <w:r>
        <w:t>4.1 Overview</w:t>
      </w:r>
    </w:p>
    <w:p>
      <w:r>
        <w:t>The genomics pipeline transforms raw whole-genome sequencing data (FASTQ format) into variant calls (VCF format) using NVIDIA Parabricks 4.6.0-1 with GPU acceleration. The pipeline processes the GIAB HG002 reference sample (Ashkenazi individual, Illumina 2x250bp paired-end, 30x depth) through four computational steps.</w:t>
      </w:r>
    </w:p>
    <w:p>
      <w:pPr>
        <w:pStyle w:val="Heading3"/>
      </w:pPr>
      <w:r>
        <w:t>4.2 Processing Steps</w:t>
      </w:r>
    </w:p>
    <w:p>
      <w:pPr>
        <w:jc w:val="center"/>
      </w:pPr>
      <w:r>
        <w:rPr>
          <w:b/>
        </w:rPr>
        <w:t>Step 1: Read Alignment (fq2bam)</w:t>
      </w:r>
    </w:p>
    <w:p>
      <w:r>
        <w:t xml:space="preserve">The </w:t>
      </w:r>
      <w:r>
        <w:rPr>
          <w:rFonts w:ascii="Consolas" w:hAnsi="Consolas"/>
          <w:color w:val="1A6B1A"/>
          <w:sz w:val="19"/>
        </w:rPr>
        <w:t>pbrun fq2bam</w:t>
      </w:r>
      <w:r>
        <w:t xml:space="preserve"> command executes GPU-accelerated BWA-MEM2 alignment:</w:t>
      </w:r>
    </w:p>
    <w:p>
      <w:pPr>
        <w:spacing w:before="80" w:after="80"/>
        <w:ind w:left="567"/>
        <w:shd w:fill="f5f5f5"/>
      </w:pPr>
      <w:r>
        <w:rPr>
          <w:rFonts w:ascii="Consolas" w:hAnsi="Consolas"/>
          <w:color w:val="2D2D2D"/>
          <w:sz w:val="17"/>
        </w:rPr>
        <w:t>pbrun fq2bam \</w:t>
        <w:br/>
        <w:t xml:space="preserve">    --ref GRCh38.fa \</w:t>
        <w:br/>
        <w:t xml:space="preserve">    --in-fq HG002_R1.fastq.gz HG002_R2.fastq.gz \</w:t>
        <w:br/>
        <w:t xml:space="preserve">    --out-bam HG002.genome.bam \</w:t>
        <w:br/>
        <w:t xml:space="preserve">    --num-gpus 1</w:t>
      </w:r>
    </w:p>
    <w:p>
      <w:r>
        <w:t>BWA-MEM2 aligns ~800 million read pairs against the GRCh38 reference genome (3.1GB), producing a coordinate-sorted, deduplicated BAM file of approximately 100-120GB. GPU utilization peaks at 80-95% during seeding and extension, consuming 12-16GB of GPU memory. Duration: 60-180 minutes for full genome.</w:t>
      </w:r>
    </w:p>
    <w:p>
      <w:pPr>
        <w:jc w:val="center"/>
      </w:pPr>
      <w:r>
        <w:rPr>
          <w:b/>
        </w:rPr>
        <w:t>Step 2: BAM Indexing and Quality Control</w:t>
      </w:r>
    </w:p>
    <w:p>
      <w:r>
        <w:t>Samtools generates a BAM index (</w:t>
      </w:r>
      <w:r>
        <w:rPr>
          <w:rFonts w:ascii="Consolas" w:hAnsi="Consolas"/>
          <w:color w:val="1A6B1A"/>
          <w:sz w:val="19"/>
        </w:rPr>
        <w:t>.bai</w:t>
      </w:r>
      <w:r>
        <w:t xml:space="preserve">) for random access and produces alignment quality metrics via </w:t>
      </w:r>
      <w:r>
        <w:rPr>
          <w:rFonts w:ascii="Consolas" w:hAnsi="Consolas"/>
          <w:color w:val="1A6B1A"/>
          <w:sz w:val="19"/>
        </w:rPr>
        <w:t>flagstat</w:t>
      </w:r>
      <w:r>
        <w:t>. Expected metrics for HG002: 98.7% mapping rate, 96.8% proper pairing, ~10M duplicate reads. Duration: 2-5 minutes.</w:t>
      </w:r>
    </w:p>
    <w:p>
      <w:pPr>
        <w:jc w:val="center"/>
      </w:pPr>
      <w:r>
        <w:rPr>
          <w:b/>
        </w:rPr>
        <w:t>Step 3: Variant Calling (DeepVariant)</w:t>
      </w:r>
    </w:p>
    <w:p>
      <w:r>
        <w:t xml:space="preserve">The </w:t>
      </w:r>
      <w:r>
        <w:rPr>
          <w:rFonts w:ascii="Consolas" w:hAnsi="Consolas"/>
          <w:color w:val="1A6B1A"/>
          <w:sz w:val="19"/>
        </w:rPr>
        <w:t>pbrun deepvariant</w:t>
      </w:r>
      <w:r>
        <w:t xml:space="preserve"> command uses a convolutional neural network (CNN) trained on millions of validated variants to call SNPs and indels:</w:t>
      </w:r>
    </w:p>
    <w:p>
      <w:pPr>
        <w:spacing w:before="80" w:after="80"/>
        <w:ind w:left="567"/>
        <w:shd w:fill="f5f5f5"/>
      </w:pPr>
      <w:r>
        <w:rPr>
          <w:rFonts w:ascii="Consolas" w:hAnsi="Consolas"/>
          <w:color w:val="2D2D2D"/>
          <w:sz w:val="17"/>
        </w:rPr>
        <w:t>pbrun deepvariant \</w:t>
        <w:br/>
        <w:t xml:space="preserve">    --ref GRCh38.fa \</w:t>
        <w:br/>
        <w:t xml:space="preserve">    --in-bam HG002.genome.bam \</w:t>
        <w:br/>
        <w:t xml:space="preserve">    --out-variants HG002.genome.vcf.gz \</w:t>
        <w:br/>
        <w:t xml:space="preserve">    --num-gpus 1</w:t>
      </w:r>
    </w:p>
    <w:p>
      <w:r>
        <w:t>DeepVariant achieves &gt;99% concordance with GIAB truth sets. Output: ~11.7 million variants (4-5M SNPs, 600-800K indels, 100K+ multi-allelic sites) in a gzip-compressed, tabix-indexed VCF file of 2-3GB. Duration: 60-90 minutes.</w:t>
      </w:r>
    </w:p>
    <w:p>
      <w:pPr>
        <w:jc w:val="center"/>
      </w:pPr>
      <w:r>
        <w:rPr>
          <w:b/>
        </w:rPr>
        <w:t>Step 4: VCF Indexing</w:t>
      </w:r>
    </w:p>
    <w:p>
      <w:r>
        <w:t xml:space="preserve">Tabix creates a block-based index enabling region-specific queries (e.g., </w:t>
      </w:r>
      <w:r>
        <w:rPr>
          <w:rFonts w:ascii="Consolas" w:hAnsi="Consolas"/>
          <w:color w:val="1A6B1A"/>
          <w:sz w:val="19"/>
        </w:rPr>
        <w:t>tabix file.vcf.gz chr1:100000-200000</w:t>
      </w:r>
      <w:r>
        <w:t>). Duration: 1-2 minutes.</w:t>
      </w:r>
    </w:p>
    <w:p>
      <w:pPr>
        <w:pStyle w:val="Heading3"/>
      </w:pPr>
      <w:r>
        <w:t>4.3 Web Portal</w:t>
      </w:r>
    </w:p>
    <w:p>
      <w:r>
        <w:t>A Flask-based web portal (port 5000, 1,157 lines) provides:</w:t>
      </w:r>
    </w:p>
    <w:p>
      <w:pPr>
        <w:pStyle w:val="ListBullet"/>
      </w:pPr>
      <w:r>
        <w:rPr>
          <w:b/>
        </w:rPr>
        <w:t>Real-time monitoring</w:t>
      </w:r>
      <w:r>
        <w:t xml:space="preserve"> via Server-Sent Events (SSE) at 5 Hz update frequency</w:t>
      </w:r>
    </w:p>
    <w:p>
      <w:pPr>
        <w:pStyle w:val="ListBullet"/>
      </w:pPr>
      <w:r>
        <w:rPr>
          <w:b/>
        </w:rPr>
        <w:t>GPU metrics</w:t>
      </w:r>
      <w:r>
        <w:t xml:space="preserve"> via pynvml: utilization, memory, power draw, temperature</w:t>
      </w:r>
    </w:p>
    <w:p>
      <w:pPr>
        <w:pStyle w:val="ListBullet"/>
      </w:pPr>
      <w:r>
        <w:rPr>
          <w:b/>
        </w:rPr>
        <w:t>Pipeline control</w:t>
      </w:r>
      <w:r>
        <w:t xml:space="preserve"> endpoints: run, stop, reset with API key authentication</w:t>
      </w:r>
    </w:p>
    <w:p>
      <w:pPr>
        <w:pStyle w:val="ListBullet"/>
      </w:pPr>
      <w:r>
        <w:rPr>
          <w:b/>
        </w:rPr>
        <w:t>Rate limiting</w:t>
      </w:r>
      <w:r>
        <w:t>: 60 requests per 60-second window per IP</w:t>
      </w:r>
    </w:p>
    <w:p>
      <w:pPr>
        <w:pStyle w:val="ListBullet"/>
      </w:pPr>
      <w:r>
        <w:rPr>
          <w:b/>
        </w:rPr>
        <w:t>Security</w:t>
      </w:r>
      <w:r>
        <w:t>: shell metacharacter filtering, path traversal prevention, CSRF tokens, security headers (X-Frame-Options, CSP, X-XSS-Protection)</w:t>
      </w:r>
    </w:p>
    <w:p>
      <w:pPr>
        <w:pStyle w:val="ListBullet"/>
      </w:pPr>
      <w:r>
        <w:rPr>
          <w:b/>
        </w:rPr>
        <w:t>Error resilience</w:t>
      </w:r>
      <w:r>
        <w:t>: 6-retry verification for BAM output, 3-retry DeepVariant with 30-second delays, and a custom nvidia-smi wrapper to handle DGX Spark GPU memory reporting quirks</w:t>
      </w:r>
    </w:p>
    <w:p>
      <w:pPr>
        <w:pStyle w:val="Heading3"/>
      </w:pPr>
      <w:r>
        <w:t>4.4 Output Specification</w:t>
      </w:r>
    </w:p>
    <w:p>
      <w:r>
        <w:t>The VCF output conforms to VCF 4.2 format with genotype fields (GT:GQ:DP:AD), enabling downstream annotation with ClinVar clinical significance, AlphaMissense pathogenicity scores, and Ensembl VEP consequence predictions.</w:t>
      </w:r>
    </w:p>
    <w:p>
      <w:pPr>
        <w:spacing w:before="120" w:after="120"/>
        <w:pBdr>
          <w:bottom w:val="single" w:sz="4" w:space="1" w:color="76B900"/>
        </w:pBdr>
      </w:pPr>
    </w:p>
    <w:p>
      <w:r>
        <w:br w:type="page"/>
      </w:r>
    </w:p>
    <w:p>
      <w:pPr>
        <w:pStyle w:val="Heading2"/>
      </w:pPr>
      <w:r>
        <w:t>5. Stage 2: RAG-Powered Variant Interpretation</w:t>
      </w:r>
    </w:p>
    <w:p>
      <w:pPr>
        <w:pStyle w:val="Heading3"/>
      </w:pPr>
      <w:r>
        <w:t>5.1 Architecture</w:t>
      </w:r>
    </w:p>
    <w:p>
      <w:r>
        <w:t>The RAG Chat Pipeline implements a Retrieval-Augmented Generation system for genomic variant interpretation. The pipeline ingests the VCF output from Stage 1, annotates variants with clinical and functional data, generates 384-dimensional embeddings, stores them in Milvus, and provides an interactive Streamlit chat interface for evidence-based variant analysis.</w:t>
      </w:r>
    </w:p>
    <w:p>
      <w:pPr>
        <w:pStyle w:val="Heading3"/>
      </w:pPr>
      <w:r>
        <w:t>5.2 Annotation Pipeline</w:t>
      </w:r>
    </w:p>
    <w:p>
      <w:r>
        <w:t>Variants undergo three annotation layers:</w:t>
      </w:r>
    </w:p>
    <w:p>
      <w:r>
        <w:rPr>
          <w:b/>
        </w:rPr>
        <w:t>ClinVar Annotation</w:t>
      </w:r>
      <w:r>
        <w:t>: The ClinVarAnnotator loads the variant</w:t>
      </w:r>
      <w:r>
        <w:rPr>
          <w:i/>
        </w:rPr>
        <w:t>summary.txt.gz database (~2.7 million GRCh38 variants) into memory, creating lookup keys of the form `chrom</w:t>
      </w:r>
      <w:r>
        <w:t>pos</w:t>
      </w:r>
      <w:r>
        <w:rPr>
          <w:i/>
        </w:rPr>
        <w:t>ref</w:t>
      </w:r>
      <w:r>
        <w:t>alt`. Each matched variant receives: clinical significance (Pathogenic, Benign, VUS, etc.), phenotype associations, dbSNP rsID, HGVS nomenclature, and review status.</w:t>
      </w:r>
    </w:p>
    <w:p>
      <w:r>
        <w:rPr>
          <w:b/>
        </w:rPr>
        <w:t>AlphaMissense Annotation</w:t>
      </w:r>
      <w:r>
        <w:t xml:space="preserve">: The AlphaMissenseAnnotator loads Google DeepMind's 71 million missense variant predictions (requiring 8-10GB RAM), assigning pathogenicity scores (0-1) and classifications: likely benign (&lt;0.34), ambiguous (0.34-0.564), or likely pathogenic (&gt;0.564). Variants scoring &gt;=0.8 receive a </w:t>
      </w:r>
      <w:r>
        <w:rPr>
          <w:rFonts w:ascii="Consolas" w:hAnsi="Consolas"/>
          <w:color w:val="1A6B1A"/>
          <w:sz w:val="19"/>
        </w:rPr>
        <w:t>high_pathogenic</w:t>
      </w:r>
      <w:r>
        <w:t xml:space="preserve"> tag.</w:t>
      </w:r>
    </w:p>
    <w:p>
      <w:r>
        <w:rPr>
          <w:b/>
        </w:rPr>
        <w:t>VEP Annotation</w:t>
      </w:r>
      <w:r>
        <w:t>: The LocalVEPAnnotator runs Ensembl VEP (release 110.1) via Docker in offline mode, adding gene symbol, biotype, consequence, impact level (HIGH/MODERATE/LOW/MODIFIER), SIFT, and PolyPhen predictions.</w:t>
      </w:r>
    </w:p>
    <w:p>
      <w:pPr>
        <w:pStyle w:val="Heading3"/>
      </w:pPr>
      <w:r>
        <w:t>5.3 Vector Database Schema</w:t>
      </w:r>
    </w:p>
    <w:p>
      <w:r>
        <w:t xml:space="preserve">The </w:t>
      </w:r>
      <w:r>
        <w:rPr>
          <w:rFonts w:ascii="Consolas" w:hAnsi="Consolas"/>
          <w:color w:val="1A6B1A"/>
          <w:sz w:val="19"/>
        </w:rPr>
        <w:t>genomic_evidence</w:t>
      </w:r>
      <w:r>
        <w:t xml:space="preserve"> collection stores 35,616 annotated variants with the following schema:</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Field</w:t>
            </w:r>
          </w:p>
        </w:tc>
        <w:tc>
          <w:tcPr>
            <w:tcW w:type="dxa" w:w="3120"/>
            <w:shd w:fill="1a1a24"/>
          </w:tcPr>
          <w:p>
            <w:pPr>
              <w:spacing w:before="40" w:after="40"/>
            </w:pPr>
            <w:r>
              <w:rPr>
                <w:b/>
                <w:color w:val="FFFFFF"/>
                <w:sz w:val="19"/>
              </w:rPr>
            </w:r>
            <w:r>
              <w:rPr>
                <w:b/>
                <w:color w:val="FFFFFF"/>
                <w:sz w:val="19"/>
              </w:rPr>
              <w:t>Type</w:t>
            </w:r>
          </w:p>
        </w:tc>
        <w:tc>
          <w:tcPr>
            <w:tcW w:type="dxa" w:w="3120"/>
            <w:shd w:fill="1a1a24"/>
          </w:tcPr>
          <w:p>
            <w:pPr>
              <w:spacing w:before="40" w:after="40"/>
            </w:pPr>
            <w:r>
              <w:rPr>
                <w:b/>
                <w:color w:val="FFFFFF"/>
                <w:sz w:val="19"/>
              </w:rPr>
            </w:r>
            <w:r>
              <w:rPr>
                <w:b/>
                <w:color w:val="FFFFFF"/>
                <w:sz w:val="19"/>
              </w:rPr>
              <w:t>Description</w:t>
            </w:r>
          </w:p>
        </w:tc>
      </w:tr>
      <w:tr>
        <w:tc>
          <w:tcPr>
            <w:tcW w:type="dxa" w:w="3120"/>
          </w:tcPr>
          <w:p>
            <w:pPr>
              <w:spacing w:before="40" w:after="40"/>
            </w:pPr>
            <w:r>
              <w:rPr>
                <w:sz w:val="19"/>
              </w:rPr>
            </w:r>
            <w:r>
              <w:rPr>
                <w:sz w:val="19"/>
              </w:rPr>
              <w:t>id</w:t>
            </w:r>
          </w:p>
        </w:tc>
        <w:tc>
          <w:tcPr>
            <w:tcW w:type="dxa" w:w="3120"/>
          </w:tcPr>
          <w:p>
            <w:pPr>
              <w:spacing w:before="40" w:after="40"/>
            </w:pPr>
            <w:r>
              <w:rPr>
                <w:sz w:val="19"/>
              </w:rPr>
            </w:r>
            <w:r>
              <w:rPr>
                <w:sz w:val="19"/>
              </w:rPr>
              <w:t>VARCHAR(200)</w:t>
            </w:r>
          </w:p>
        </w:tc>
        <w:tc>
          <w:tcPr>
            <w:tcW w:type="dxa" w:w="3120"/>
          </w:tcPr>
          <w:p>
            <w:pPr>
              <w:spacing w:before="40" w:after="40"/>
            </w:pPr>
            <w:r>
              <w:rPr>
                <w:sz w:val="19"/>
              </w:rPr>
            </w:r>
            <w:r>
              <w:rPr>
                <w:sz w:val="19"/>
              </w:rPr>
              <w:t>chr</w:t>
            </w:r>
            <w:r>
              <w:rPr>
                <w:i/>
                <w:sz w:val="19"/>
              </w:rPr>
              <w:t>pos</w:t>
            </w:r>
            <w:r>
              <w:rPr>
                <w:sz w:val="19"/>
              </w:rPr>
              <w:t>ref_alt (primary key)</w:t>
            </w:r>
          </w:p>
        </w:tc>
      </w:tr>
      <w:tr>
        <w:tc>
          <w:tcPr>
            <w:tcW w:type="dxa" w:w="3120"/>
            <w:shd w:fill="f0f4e8"/>
          </w:tcPr>
          <w:p>
            <w:pPr>
              <w:spacing w:before="40" w:after="40"/>
            </w:pPr>
            <w:r>
              <w:rPr>
                <w:sz w:val="19"/>
              </w:rPr>
            </w:r>
            <w:r>
              <w:rPr>
                <w:sz w:val="19"/>
              </w:rPr>
              <w:t>embedding</w:t>
            </w:r>
          </w:p>
        </w:tc>
        <w:tc>
          <w:tcPr>
            <w:tcW w:type="dxa" w:w="3120"/>
            <w:shd w:fill="f0f4e8"/>
          </w:tcPr>
          <w:p>
            <w:pPr>
              <w:spacing w:before="40" w:after="40"/>
            </w:pPr>
            <w:r>
              <w:rPr>
                <w:sz w:val="19"/>
              </w:rPr>
            </w:r>
            <w:r>
              <w:rPr>
                <w:sz w:val="19"/>
              </w:rPr>
              <w:t>FLOAT_VECTOR(384)</w:t>
            </w:r>
          </w:p>
        </w:tc>
        <w:tc>
          <w:tcPr>
            <w:tcW w:type="dxa" w:w="3120"/>
            <w:shd w:fill="f0f4e8"/>
          </w:tcPr>
          <w:p>
            <w:pPr>
              <w:spacing w:before="40" w:after="40"/>
            </w:pPr>
            <w:r>
              <w:rPr>
                <w:sz w:val="19"/>
              </w:rPr>
            </w:r>
            <w:r>
              <w:rPr>
                <w:sz w:val="19"/>
              </w:rPr>
              <w:t>BGE-small-en-v1.5 embedding</w:t>
            </w:r>
          </w:p>
        </w:tc>
      </w:tr>
      <w:tr>
        <w:tc>
          <w:tcPr>
            <w:tcW w:type="dxa" w:w="3120"/>
          </w:tcPr>
          <w:p>
            <w:pPr>
              <w:spacing w:before="40" w:after="40"/>
            </w:pPr>
            <w:r>
              <w:rPr>
                <w:sz w:val="19"/>
              </w:rPr>
            </w:r>
            <w:r>
              <w:rPr>
                <w:sz w:val="19"/>
              </w:rPr>
              <w:t>chrom</w:t>
            </w:r>
          </w:p>
        </w:tc>
        <w:tc>
          <w:tcPr>
            <w:tcW w:type="dxa" w:w="3120"/>
          </w:tcPr>
          <w:p>
            <w:pPr>
              <w:spacing w:before="40" w:after="40"/>
            </w:pPr>
            <w:r>
              <w:rPr>
                <w:sz w:val="19"/>
              </w:rPr>
            </w:r>
            <w:r>
              <w:rPr>
                <w:sz w:val="19"/>
              </w:rPr>
              <w:t>VARCHAR(10)</w:t>
            </w:r>
          </w:p>
        </w:tc>
        <w:tc>
          <w:tcPr>
            <w:tcW w:type="dxa" w:w="3120"/>
          </w:tcPr>
          <w:p>
            <w:pPr>
              <w:spacing w:before="40" w:after="40"/>
            </w:pPr>
            <w:r>
              <w:rPr>
                <w:sz w:val="19"/>
              </w:rPr>
            </w:r>
            <w:r>
              <w:rPr>
                <w:sz w:val="19"/>
              </w:rPr>
              <w:t>Chromosome</w:t>
            </w:r>
          </w:p>
        </w:tc>
      </w:tr>
      <w:tr>
        <w:tc>
          <w:tcPr>
            <w:tcW w:type="dxa" w:w="3120"/>
            <w:shd w:fill="f0f4e8"/>
          </w:tcPr>
          <w:p>
            <w:pPr>
              <w:spacing w:before="40" w:after="40"/>
            </w:pPr>
            <w:r>
              <w:rPr>
                <w:sz w:val="19"/>
              </w:rPr>
            </w:r>
            <w:r>
              <w:rPr>
                <w:sz w:val="19"/>
              </w:rPr>
              <w:t>pos</w:t>
            </w:r>
          </w:p>
        </w:tc>
        <w:tc>
          <w:tcPr>
            <w:tcW w:type="dxa" w:w="3120"/>
            <w:shd w:fill="f0f4e8"/>
          </w:tcPr>
          <w:p>
            <w:pPr>
              <w:spacing w:before="40" w:after="40"/>
            </w:pPr>
            <w:r>
              <w:rPr>
                <w:sz w:val="19"/>
              </w:rPr>
            </w:r>
            <w:r>
              <w:rPr>
                <w:sz w:val="19"/>
              </w:rPr>
              <w:t>INT64</w:t>
            </w:r>
          </w:p>
        </w:tc>
        <w:tc>
          <w:tcPr>
            <w:tcW w:type="dxa" w:w="3120"/>
            <w:shd w:fill="f0f4e8"/>
          </w:tcPr>
          <w:p>
            <w:pPr>
              <w:spacing w:before="40" w:after="40"/>
            </w:pPr>
            <w:r>
              <w:rPr>
                <w:sz w:val="19"/>
              </w:rPr>
            </w:r>
            <w:r>
              <w:rPr>
                <w:sz w:val="19"/>
              </w:rPr>
              <w:t>Genomic position</w:t>
            </w:r>
          </w:p>
        </w:tc>
      </w:tr>
      <w:tr>
        <w:tc>
          <w:tcPr>
            <w:tcW w:type="dxa" w:w="3120"/>
          </w:tcPr>
          <w:p>
            <w:pPr>
              <w:spacing w:before="40" w:after="40"/>
            </w:pPr>
            <w:r>
              <w:rPr>
                <w:sz w:val="19"/>
              </w:rPr>
            </w:r>
            <w:r>
              <w:rPr>
                <w:sz w:val="19"/>
              </w:rPr>
              <w:t>ref / alt</w:t>
            </w:r>
          </w:p>
        </w:tc>
        <w:tc>
          <w:tcPr>
            <w:tcW w:type="dxa" w:w="3120"/>
          </w:tcPr>
          <w:p>
            <w:pPr>
              <w:spacing w:before="40" w:after="40"/>
            </w:pPr>
            <w:r>
              <w:rPr>
                <w:sz w:val="19"/>
              </w:rPr>
            </w:r>
            <w:r>
              <w:rPr>
                <w:sz w:val="19"/>
              </w:rPr>
              <w:t>VARCHAR(500)</w:t>
            </w:r>
          </w:p>
        </w:tc>
        <w:tc>
          <w:tcPr>
            <w:tcW w:type="dxa" w:w="3120"/>
          </w:tcPr>
          <w:p>
            <w:pPr>
              <w:spacing w:before="40" w:after="40"/>
            </w:pPr>
            <w:r>
              <w:rPr>
                <w:sz w:val="19"/>
              </w:rPr>
            </w:r>
            <w:r>
              <w:rPr>
                <w:sz w:val="19"/>
              </w:rPr>
              <w:t>Reference/alternate alleles</w:t>
            </w:r>
          </w:p>
        </w:tc>
      </w:tr>
      <w:tr>
        <w:tc>
          <w:tcPr>
            <w:tcW w:type="dxa" w:w="3120"/>
            <w:shd w:fill="f0f4e8"/>
          </w:tcPr>
          <w:p>
            <w:pPr>
              <w:spacing w:before="40" w:after="40"/>
            </w:pPr>
            <w:r>
              <w:rPr>
                <w:sz w:val="19"/>
              </w:rPr>
            </w:r>
            <w:r>
              <w:rPr>
                <w:sz w:val="19"/>
              </w:rPr>
              <w:t>qual</w:t>
            </w:r>
          </w:p>
        </w:tc>
        <w:tc>
          <w:tcPr>
            <w:tcW w:type="dxa" w:w="3120"/>
            <w:shd w:fill="f0f4e8"/>
          </w:tcPr>
          <w:p>
            <w:pPr>
              <w:spacing w:before="40" w:after="40"/>
            </w:pPr>
            <w:r>
              <w:rPr>
                <w:sz w:val="19"/>
              </w:rPr>
            </w:r>
            <w:r>
              <w:rPr>
                <w:sz w:val="19"/>
              </w:rPr>
              <w:t>FLOAT</w:t>
            </w:r>
          </w:p>
        </w:tc>
        <w:tc>
          <w:tcPr>
            <w:tcW w:type="dxa" w:w="3120"/>
            <w:shd w:fill="f0f4e8"/>
          </w:tcPr>
          <w:p>
            <w:pPr>
              <w:spacing w:before="40" w:after="40"/>
            </w:pPr>
            <w:r>
              <w:rPr>
                <w:sz w:val="19"/>
              </w:rPr>
            </w:r>
            <w:r>
              <w:rPr>
                <w:sz w:val="19"/>
              </w:rPr>
              <w:t>Quality score</w:t>
            </w:r>
          </w:p>
        </w:tc>
      </w:tr>
      <w:tr>
        <w:tc>
          <w:tcPr>
            <w:tcW w:type="dxa" w:w="3120"/>
          </w:tcPr>
          <w:p>
            <w:pPr>
              <w:spacing w:before="40" w:after="40"/>
            </w:pPr>
            <w:r>
              <w:rPr>
                <w:sz w:val="19"/>
              </w:rPr>
            </w:r>
            <w:r>
              <w:rPr>
                <w:sz w:val="19"/>
              </w:rPr>
              <w:t>gene</w:t>
            </w:r>
          </w:p>
        </w:tc>
        <w:tc>
          <w:tcPr>
            <w:tcW w:type="dxa" w:w="3120"/>
          </w:tcPr>
          <w:p>
            <w:pPr>
              <w:spacing w:before="40" w:after="40"/>
            </w:pPr>
            <w:r>
              <w:rPr>
                <w:sz w:val="19"/>
              </w:rPr>
            </w:r>
            <w:r>
              <w:rPr>
                <w:sz w:val="19"/>
              </w:rPr>
              <w:t>VARCHAR(50)</w:t>
            </w:r>
          </w:p>
        </w:tc>
        <w:tc>
          <w:tcPr>
            <w:tcW w:type="dxa" w:w="3120"/>
          </w:tcPr>
          <w:p>
            <w:pPr>
              <w:spacing w:before="40" w:after="40"/>
            </w:pPr>
            <w:r>
              <w:rPr>
                <w:sz w:val="19"/>
              </w:rPr>
            </w:r>
            <w:r>
              <w:rPr>
                <w:sz w:val="19"/>
              </w:rPr>
              <w:t>Gene symbol (HGNC)</w:t>
            </w:r>
          </w:p>
        </w:tc>
      </w:tr>
      <w:tr>
        <w:tc>
          <w:tcPr>
            <w:tcW w:type="dxa" w:w="3120"/>
            <w:shd w:fill="f0f4e8"/>
          </w:tcPr>
          <w:p>
            <w:pPr>
              <w:spacing w:before="40" w:after="40"/>
            </w:pPr>
            <w:r>
              <w:rPr>
                <w:sz w:val="19"/>
              </w:rPr>
            </w:r>
            <w:r>
              <w:rPr>
                <w:sz w:val="19"/>
              </w:rPr>
              <w:t>consequence</w:t>
            </w:r>
          </w:p>
        </w:tc>
        <w:tc>
          <w:tcPr>
            <w:tcW w:type="dxa" w:w="3120"/>
            <w:shd w:fill="f0f4e8"/>
          </w:tcPr>
          <w:p>
            <w:pPr>
              <w:spacing w:before="40" w:after="40"/>
            </w:pPr>
            <w:r>
              <w:rPr>
                <w:sz w:val="19"/>
              </w:rPr>
            </w:r>
            <w:r>
              <w:rPr>
                <w:sz w:val="19"/>
              </w:rPr>
              <w:t>VARCHAR(100)</w:t>
            </w:r>
          </w:p>
        </w:tc>
        <w:tc>
          <w:tcPr>
            <w:tcW w:type="dxa" w:w="3120"/>
            <w:shd w:fill="f0f4e8"/>
          </w:tcPr>
          <w:p>
            <w:pPr>
              <w:spacing w:before="40" w:after="40"/>
            </w:pPr>
            <w:r>
              <w:rPr>
                <w:sz w:val="19"/>
              </w:rPr>
            </w:r>
            <w:r>
              <w:rPr>
                <w:sz w:val="19"/>
              </w:rPr>
              <w:t>VEP consequence</w:t>
            </w:r>
          </w:p>
        </w:tc>
      </w:tr>
      <w:tr>
        <w:tc>
          <w:tcPr>
            <w:tcW w:type="dxa" w:w="3120"/>
          </w:tcPr>
          <w:p>
            <w:pPr>
              <w:spacing w:before="40" w:after="40"/>
            </w:pPr>
            <w:r>
              <w:rPr>
                <w:sz w:val="19"/>
              </w:rPr>
            </w:r>
            <w:r>
              <w:rPr>
                <w:sz w:val="19"/>
              </w:rPr>
              <w:t>impact</w:t>
            </w:r>
          </w:p>
        </w:tc>
        <w:tc>
          <w:tcPr>
            <w:tcW w:type="dxa" w:w="3120"/>
          </w:tcPr>
          <w:p>
            <w:pPr>
              <w:spacing w:before="40" w:after="40"/>
            </w:pPr>
            <w:r>
              <w:rPr>
                <w:sz w:val="19"/>
              </w:rPr>
            </w:r>
            <w:r>
              <w:rPr>
                <w:sz w:val="19"/>
              </w:rPr>
              <w:t>VARCHAR(20)</w:t>
            </w:r>
          </w:p>
        </w:tc>
        <w:tc>
          <w:tcPr>
            <w:tcW w:type="dxa" w:w="3120"/>
          </w:tcPr>
          <w:p>
            <w:pPr>
              <w:spacing w:before="40" w:after="40"/>
            </w:pPr>
            <w:r>
              <w:rPr>
                <w:sz w:val="19"/>
              </w:rPr>
            </w:r>
            <w:r>
              <w:rPr>
                <w:sz w:val="19"/>
              </w:rPr>
              <w:t>Impact level</w:t>
            </w:r>
          </w:p>
        </w:tc>
      </w:tr>
      <w:tr>
        <w:tc>
          <w:tcPr>
            <w:tcW w:type="dxa" w:w="3120"/>
            <w:shd w:fill="f0f4e8"/>
          </w:tcPr>
          <w:p>
            <w:pPr>
              <w:spacing w:before="40" w:after="40"/>
            </w:pPr>
            <w:r>
              <w:rPr>
                <w:sz w:val="19"/>
              </w:rPr>
            </w:r>
            <w:r>
              <w:rPr>
                <w:sz w:val="19"/>
              </w:rPr>
              <w:t>genotype</w:t>
            </w:r>
          </w:p>
        </w:tc>
        <w:tc>
          <w:tcPr>
            <w:tcW w:type="dxa" w:w="3120"/>
            <w:shd w:fill="f0f4e8"/>
          </w:tcPr>
          <w:p>
            <w:pPr>
              <w:spacing w:before="40" w:after="40"/>
            </w:pPr>
            <w:r>
              <w:rPr>
                <w:sz w:val="19"/>
              </w:rPr>
            </w:r>
            <w:r>
              <w:rPr>
                <w:sz w:val="19"/>
              </w:rPr>
              <w:t>VARCHAR(10)</w:t>
            </w:r>
          </w:p>
        </w:tc>
        <w:tc>
          <w:tcPr>
            <w:tcW w:type="dxa" w:w="3120"/>
            <w:shd w:fill="f0f4e8"/>
          </w:tcPr>
          <w:p>
            <w:pPr>
              <w:spacing w:before="40" w:after="40"/>
            </w:pPr>
            <w:r>
              <w:rPr>
                <w:sz w:val="19"/>
              </w:rPr>
            </w:r>
            <w:r>
              <w:rPr>
                <w:sz w:val="19"/>
              </w:rPr>
              <w:t>Sample genotype</w:t>
            </w:r>
          </w:p>
        </w:tc>
      </w:tr>
      <w:tr>
        <w:tc>
          <w:tcPr>
            <w:tcW w:type="dxa" w:w="3120"/>
          </w:tcPr>
          <w:p>
            <w:pPr>
              <w:spacing w:before="40" w:after="40"/>
            </w:pPr>
            <w:r>
              <w:rPr>
                <w:sz w:val="19"/>
              </w:rPr>
            </w:r>
            <w:r>
              <w:rPr>
                <w:sz w:val="19"/>
              </w:rPr>
              <w:t>text_summary</w:t>
            </w:r>
          </w:p>
        </w:tc>
        <w:tc>
          <w:tcPr>
            <w:tcW w:type="dxa" w:w="3120"/>
          </w:tcPr>
          <w:p>
            <w:pPr>
              <w:spacing w:before="40" w:after="40"/>
            </w:pPr>
            <w:r>
              <w:rPr>
                <w:sz w:val="19"/>
              </w:rPr>
            </w:r>
            <w:r>
              <w:rPr>
                <w:sz w:val="19"/>
              </w:rPr>
              <w:t>VARCHAR(2000)</w:t>
            </w:r>
          </w:p>
        </w:tc>
        <w:tc>
          <w:tcPr>
            <w:tcW w:type="dxa" w:w="3120"/>
          </w:tcPr>
          <w:p>
            <w:pPr>
              <w:spacing w:before="40" w:after="40"/>
            </w:pPr>
            <w:r>
              <w:rPr>
                <w:sz w:val="19"/>
              </w:rPr>
            </w:r>
            <w:r>
              <w:rPr>
                <w:sz w:val="19"/>
              </w:rPr>
              <w:t>Human-readable summary</w:t>
            </w:r>
          </w:p>
        </w:tc>
      </w:tr>
      <w:tr>
        <w:tc>
          <w:tcPr>
            <w:tcW w:type="dxa" w:w="3120"/>
            <w:shd w:fill="f0f4e8"/>
          </w:tcPr>
          <w:p>
            <w:pPr>
              <w:spacing w:before="40" w:after="40"/>
            </w:pPr>
            <w:r>
              <w:rPr>
                <w:sz w:val="19"/>
              </w:rPr>
            </w:r>
            <w:r>
              <w:rPr>
                <w:sz w:val="19"/>
              </w:rPr>
              <w:t>clinical_significance</w:t>
            </w:r>
          </w:p>
        </w:tc>
        <w:tc>
          <w:tcPr>
            <w:tcW w:type="dxa" w:w="3120"/>
            <w:shd w:fill="f0f4e8"/>
          </w:tcPr>
          <w:p>
            <w:pPr>
              <w:spacing w:before="40" w:after="40"/>
            </w:pPr>
            <w:r>
              <w:rPr>
                <w:sz w:val="19"/>
              </w:rPr>
            </w:r>
            <w:r>
              <w:rPr>
                <w:sz w:val="19"/>
              </w:rPr>
              <w:t>VARCHAR(200)</w:t>
            </w:r>
          </w:p>
        </w:tc>
        <w:tc>
          <w:tcPr>
            <w:tcW w:type="dxa" w:w="3120"/>
            <w:shd w:fill="f0f4e8"/>
          </w:tcPr>
          <w:p>
            <w:pPr>
              <w:spacing w:before="40" w:after="40"/>
            </w:pPr>
            <w:r>
              <w:rPr>
                <w:sz w:val="19"/>
              </w:rPr>
            </w:r>
            <w:r>
              <w:rPr>
                <w:sz w:val="19"/>
              </w:rPr>
              <w:t>ClinVar annotation</w:t>
            </w:r>
          </w:p>
        </w:tc>
      </w:tr>
      <w:tr>
        <w:tc>
          <w:tcPr>
            <w:tcW w:type="dxa" w:w="3120"/>
          </w:tcPr>
          <w:p>
            <w:pPr>
              <w:spacing w:before="40" w:after="40"/>
            </w:pPr>
            <w:r>
              <w:rPr>
                <w:sz w:val="19"/>
              </w:rPr>
            </w:r>
            <w:r>
              <w:rPr>
                <w:sz w:val="19"/>
              </w:rPr>
              <w:t>rsid</w:t>
            </w:r>
          </w:p>
        </w:tc>
        <w:tc>
          <w:tcPr>
            <w:tcW w:type="dxa" w:w="3120"/>
          </w:tcPr>
          <w:p>
            <w:pPr>
              <w:spacing w:before="40" w:after="40"/>
            </w:pPr>
            <w:r>
              <w:rPr>
                <w:sz w:val="19"/>
              </w:rPr>
            </w:r>
            <w:r>
              <w:rPr>
                <w:sz w:val="19"/>
              </w:rPr>
              <w:t>VARCHAR(20)</w:t>
            </w:r>
          </w:p>
        </w:tc>
        <w:tc>
          <w:tcPr>
            <w:tcW w:type="dxa" w:w="3120"/>
          </w:tcPr>
          <w:p>
            <w:pPr>
              <w:spacing w:before="40" w:after="40"/>
            </w:pPr>
            <w:r>
              <w:rPr>
                <w:sz w:val="19"/>
              </w:rPr>
            </w:r>
            <w:r>
              <w:rPr>
                <w:sz w:val="19"/>
              </w:rPr>
              <w:t>dbSNP identifier</w:t>
            </w:r>
          </w:p>
        </w:tc>
      </w:tr>
      <w:tr>
        <w:tc>
          <w:tcPr>
            <w:tcW w:type="dxa" w:w="3120"/>
            <w:shd w:fill="f0f4e8"/>
          </w:tcPr>
          <w:p>
            <w:pPr>
              <w:spacing w:before="40" w:after="40"/>
            </w:pPr>
            <w:r>
              <w:rPr>
                <w:sz w:val="19"/>
              </w:rPr>
            </w:r>
            <w:r>
              <w:rPr>
                <w:sz w:val="19"/>
              </w:rPr>
              <w:t>am_pathogenicity</w:t>
            </w:r>
          </w:p>
        </w:tc>
        <w:tc>
          <w:tcPr>
            <w:tcW w:type="dxa" w:w="3120"/>
            <w:shd w:fill="f0f4e8"/>
          </w:tcPr>
          <w:p>
            <w:pPr>
              <w:spacing w:before="40" w:after="40"/>
            </w:pPr>
            <w:r>
              <w:rPr>
                <w:sz w:val="19"/>
              </w:rPr>
            </w:r>
            <w:r>
              <w:rPr>
                <w:sz w:val="19"/>
              </w:rPr>
              <w:t>FLOAT</w:t>
            </w:r>
          </w:p>
        </w:tc>
        <w:tc>
          <w:tcPr>
            <w:tcW w:type="dxa" w:w="3120"/>
            <w:shd w:fill="f0f4e8"/>
          </w:tcPr>
          <w:p>
            <w:pPr>
              <w:spacing w:before="40" w:after="40"/>
            </w:pPr>
            <w:r>
              <w:rPr>
                <w:sz w:val="19"/>
              </w:rPr>
            </w:r>
            <w:r>
              <w:rPr>
                <w:sz w:val="19"/>
              </w:rPr>
              <w:t>AlphaMissense score</w:t>
            </w:r>
          </w:p>
        </w:tc>
      </w:tr>
      <w:tr>
        <w:tc>
          <w:tcPr>
            <w:tcW w:type="dxa" w:w="3120"/>
          </w:tcPr>
          <w:p>
            <w:pPr>
              <w:spacing w:before="40" w:after="40"/>
            </w:pPr>
            <w:r>
              <w:rPr>
                <w:sz w:val="19"/>
              </w:rPr>
            </w:r>
            <w:r>
              <w:rPr>
                <w:sz w:val="19"/>
              </w:rPr>
              <w:t>am_class</w:t>
            </w:r>
          </w:p>
        </w:tc>
        <w:tc>
          <w:tcPr>
            <w:tcW w:type="dxa" w:w="3120"/>
          </w:tcPr>
          <w:p>
            <w:pPr>
              <w:spacing w:before="40" w:after="40"/>
            </w:pPr>
            <w:r>
              <w:rPr>
                <w:sz w:val="19"/>
              </w:rPr>
            </w:r>
            <w:r>
              <w:rPr>
                <w:sz w:val="19"/>
              </w:rPr>
              <w:t>VARCHAR(30)</w:t>
            </w:r>
          </w:p>
        </w:tc>
        <w:tc>
          <w:tcPr>
            <w:tcW w:type="dxa" w:w="3120"/>
          </w:tcPr>
          <w:p>
            <w:pPr>
              <w:spacing w:before="40" w:after="40"/>
            </w:pPr>
            <w:r>
              <w:rPr>
                <w:sz w:val="19"/>
              </w:rPr>
            </w:r>
            <w:r>
              <w:rPr>
                <w:sz w:val="19"/>
              </w:rPr>
              <w:t>AlphaMissense classification</w:t>
            </w:r>
          </w:p>
        </w:tc>
      </w:tr>
    </w:tbl>
    <w:p/>
    <w:p>
      <w:r>
        <w:t xml:space="preserve">Each variant's </w:t>
      </w:r>
      <w:r>
        <w:rPr>
          <w:rFonts w:ascii="Consolas" w:hAnsi="Consolas"/>
          <w:color w:val="1A6B1A"/>
          <w:sz w:val="19"/>
        </w:rPr>
        <w:t>text_summary</w:t>
      </w:r>
      <w:r>
        <w:t xml:space="preserve"> is a composite narrative: </w:t>
      </w:r>
      <w:r>
        <w:rPr>
          <w:i/>
        </w:rPr>
        <w:t>"Variant at chr9:35065000 A&gt;G in gene VCP (missense_variant) with HIGH impact. HGVS: p.Arg159His. dbSNP: rs188935092. Clinical: Pathogenic. AlphaMissense: 0.912 (likely_pathogenic)."</w:t>
      </w:r>
    </w:p>
    <w:p>
      <w:pPr>
        <w:pStyle w:val="Heading3"/>
      </w:pPr>
      <w:r>
        <w:t>5.4 Knowledge Graph</w:t>
      </w:r>
    </w:p>
    <w:p>
      <w:r>
        <w:t>The system includes a Clinker-style knowledge graph mapping 201 genes across 13 therapeutic domains: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Domain</w:t>
            </w:r>
          </w:p>
        </w:tc>
        <w:tc>
          <w:tcPr>
            <w:tcW w:type="dxa" w:w="3120"/>
            <w:shd w:fill="1a1a24"/>
          </w:tcPr>
          <w:p>
            <w:pPr>
              <w:spacing w:before="40" w:after="40"/>
            </w:pPr>
            <w:r>
              <w:rPr>
                <w:b/>
                <w:color w:val="FFFFFF"/>
                <w:sz w:val="19"/>
              </w:rPr>
            </w:r>
            <w:r>
              <w:rPr>
                <w:b/>
                <w:color w:val="FFFFFF"/>
                <w:sz w:val="19"/>
              </w:rPr>
              <w:t>Genes</w:t>
            </w:r>
          </w:p>
        </w:tc>
        <w:tc>
          <w:tcPr>
            <w:tcW w:type="dxa" w:w="3120"/>
            <w:shd w:fill="1a1a24"/>
          </w:tcPr>
          <w:p>
            <w:pPr>
              <w:spacing w:before="40" w:after="40"/>
            </w:pPr>
            <w:r>
              <w:rPr>
                <w:b/>
                <w:color w:val="FFFFFF"/>
                <w:sz w:val="19"/>
              </w:rPr>
            </w:r>
            <w:r>
              <w:rPr>
                <w:b/>
                <w:color w:val="FFFFFF"/>
                <w:sz w:val="19"/>
              </w:rPr>
              <w:t>Examples</w:t>
            </w:r>
          </w:p>
        </w:tc>
      </w:tr>
      <w:tr>
        <w:tc>
          <w:tcPr>
            <w:tcW w:type="dxa" w:w="3120"/>
          </w:tcPr>
          <w:p>
            <w:pPr>
              <w:spacing w:before="40" w:after="40"/>
            </w:pPr>
            <w:r>
              <w:rPr>
                <w:sz w:val="19"/>
              </w:rPr>
            </w:r>
            <w:r>
              <w:rPr>
                <w:sz w:val="19"/>
              </w:rPr>
              <w:t>Neurodegeneration</w:t>
            </w:r>
          </w:p>
        </w:tc>
        <w:tc>
          <w:tcPr>
            <w:tcW w:type="dxa" w:w="3120"/>
          </w:tcPr>
          <w:p>
            <w:pPr>
              <w:spacing w:before="40" w:after="40"/>
            </w:pPr>
            <w:r>
              <w:rPr>
                <w:sz w:val="19"/>
              </w:rPr>
            </w:r>
            <w:r>
              <w:rPr>
                <w:sz w:val="19"/>
              </w:rPr>
              <w:t>36</w:t>
            </w:r>
          </w:p>
        </w:tc>
        <w:tc>
          <w:tcPr>
            <w:tcW w:type="dxa" w:w="3120"/>
          </w:tcPr>
          <w:p>
            <w:pPr>
              <w:spacing w:before="40" w:after="40"/>
            </w:pPr>
            <w:r>
              <w:rPr>
                <w:sz w:val="19"/>
              </w:rPr>
            </w:r>
            <w:r>
              <w:rPr>
                <w:sz w:val="19"/>
              </w:rPr>
              <w:t>VCP, C9orf72, GRN, MAPT, TBK1, FUS, TARDBP, SOD1</w:t>
            </w:r>
          </w:p>
        </w:tc>
      </w:tr>
      <w:tr>
        <w:tc>
          <w:tcPr>
            <w:tcW w:type="dxa" w:w="3120"/>
            <w:shd w:fill="f0f4e8"/>
          </w:tcPr>
          <w:p>
            <w:pPr>
              <w:spacing w:before="40" w:after="40"/>
            </w:pPr>
            <w:r>
              <w:rPr>
                <w:sz w:val="19"/>
              </w:rPr>
            </w:r>
            <w:r>
              <w:rPr>
                <w:sz w:val="19"/>
              </w:rPr>
              <w:t>Oncology</w:t>
            </w:r>
          </w:p>
        </w:tc>
        <w:tc>
          <w:tcPr>
            <w:tcW w:type="dxa" w:w="3120"/>
            <w:shd w:fill="f0f4e8"/>
          </w:tcPr>
          <w:p>
            <w:pPr>
              <w:spacing w:before="40" w:after="40"/>
            </w:pPr>
            <w:r>
              <w:rPr>
                <w:sz w:val="19"/>
              </w:rPr>
            </w:r>
            <w:r>
              <w:rPr>
                <w:sz w:val="19"/>
              </w:rPr>
              <w:t>27</w:t>
            </w:r>
          </w:p>
        </w:tc>
        <w:tc>
          <w:tcPr>
            <w:tcW w:type="dxa" w:w="3120"/>
            <w:shd w:fill="f0f4e8"/>
          </w:tcPr>
          <w:p>
            <w:pPr>
              <w:spacing w:before="40" w:after="40"/>
            </w:pPr>
            <w:r>
              <w:rPr>
                <w:sz w:val="19"/>
              </w:rPr>
            </w:r>
            <w:r>
              <w:rPr>
                <w:sz w:val="19"/>
              </w:rPr>
              <w:t>BRCA1, EGFR, ALK, BRAF, KRAS, ERBB2, PIK3CA</w:t>
            </w:r>
          </w:p>
        </w:tc>
      </w:tr>
      <w:tr>
        <w:tc>
          <w:tcPr>
            <w:tcW w:type="dxa" w:w="3120"/>
          </w:tcPr>
          <w:p>
            <w:pPr>
              <w:spacing w:before="40" w:after="40"/>
            </w:pPr>
            <w:r>
              <w:rPr>
                <w:sz w:val="19"/>
              </w:rPr>
            </w:r>
            <w:r>
              <w:rPr>
                <w:sz w:val="19"/>
              </w:rPr>
              <w:t>Metabolic</w:t>
            </w:r>
          </w:p>
        </w:tc>
        <w:tc>
          <w:tcPr>
            <w:tcW w:type="dxa" w:w="3120"/>
          </w:tcPr>
          <w:p>
            <w:pPr>
              <w:spacing w:before="40" w:after="40"/>
            </w:pPr>
            <w:r>
              <w:rPr>
                <w:sz w:val="19"/>
              </w:rPr>
            </w:r>
            <w:r>
              <w:rPr>
                <w:sz w:val="19"/>
              </w:rPr>
              <w:t>22</w:t>
            </w:r>
          </w:p>
        </w:tc>
        <w:tc>
          <w:tcPr>
            <w:tcW w:type="dxa" w:w="3120"/>
          </w:tcPr>
          <w:p>
            <w:pPr>
              <w:spacing w:before="40" w:after="40"/>
            </w:pPr>
            <w:r>
              <w:rPr>
                <w:sz w:val="19"/>
              </w:rPr>
            </w:r>
            <w:r>
              <w:rPr>
                <w:sz w:val="19"/>
              </w:rPr>
              <w:t>GLP1R, GIPR, INSR, PPARG, PCSK9, HMGCR</w:t>
            </w:r>
          </w:p>
        </w:tc>
      </w:tr>
      <w:tr>
        <w:tc>
          <w:tcPr>
            <w:tcW w:type="dxa" w:w="3120"/>
            <w:shd w:fill="f0f4e8"/>
          </w:tcPr>
          <w:p>
            <w:pPr>
              <w:spacing w:before="40" w:after="40"/>
            </w:pPr>
            <w:r>
              <w:rPr>
                <w:sz w:val="19"/>
              </w:rPr>
            </w:r>
            <w:r>
              <w:rPr>
                <w:sz w:val="19"/>
              </w:rPr>
              <w:t>Infectious Disease</w:t>
            </w:r>
          </w:p>
        </w:tc>
        <w:tc>
          <w:tcPr>
            <w:tcW w:type="dxa" w:w="3120"/>
            <w:shd w:fill="f0f4e8"/>
          </w:tcPr>
          <w:p>
            <w:pPr>
              <w:spacing w:before="40" w:after="40"/>
            </w:pPr>
            <w:r>
              <w:rPr>
                <w:sz w:val="19"/>
              </w:rPr>
            </w:r>
            <w:r>
              <w:rPr>
                <w:sz w:val="19"/>
              </w:rPr>
              <w:t>21</w:t>
            </w:r>
          </w:p>
        </w:tc>
        <w:tc>
          <w:tcPr>
            <w:tcW w:type="dxa" w:w="3120"/>
            <w:shd w:fill="f0f4e8"/>
          </w:tcPr>
          <w:p>
            <w:pPr>
              <w:spacing w:before="40" w:after="40"/>
            </w:pPr>
            <w:r>
              <w:rPr>
                <w:sz w:val="19"/>
              </w:rPr>
            </w:r>
            <w:r>
              <w:rPr>
                <w:sz w:val="19"/>
              </w:rPr>
              <w:t>HIV1</w:t>
            </w:r>
            <w:r>
              <w:rPr>
                <w:i/>
                <w:sz w:val="19"/>
              </w:rPr>
              <w:t>RT, HCV</w:t>
            </w:r>
            <w:r>
              <w:rPr>
                <w:sz w:val="19"/>
              </w:rPr>
              <w:t>NS3, SARS2_MPRO, ACE2</w:t>
            </w:r>
          </w:p>
        </w:tc>
      </w:tr>
      <w:tr>
        <w:tc>
          <w:tcPr>
            <w:tcW w:type="dxa" w:w="3120"/>
          </w:tcPr>
          <w:p>
            <w:pPr>
              <w:spacing w:before="40" w:after="40"/>
            </w:pPr>
            <w:r>
              <w:rPr>
                <w:sz w:val="19"/>
              </w:rPr>
            </w:r>
            <w:r>
              <w:rPr>
                <w:sz w:val="19"/>
              </w:rPr>
              <w:t>Pharmacogenomics</w:t>
            </w:r>
          </w:p>
        </w:tc>
        <w:tc>
          <w:tcPr>
            <w:tcW w:type="dxa" w:w="3120"/>
          </w:tcPr>
          <w:p>
            <w:pPr>
              <w:spacing w:before="40" w:after="40"/>
            </w:pPr>
            <w:r>
              <w:rPr>
                <w:sz w:val="19"/>
              </w:rPr>
            </w:r>
            <w:r>
              <w:rPr>
                <w:sz w:val="19"/>
              </w:rPr>
              <w:t>11</w:t>
            </w:r>
          </w:p>
        </w:tc>
        <w:tc>
          <w:tcPr>
            <w:tcW w:type="dxa" w:w="3120"/>
          </w:tcPr>
          <w:p>
            <w:pPr>
              <w:spacing w:before="40" w:after="40"/>
            </w:pPr>
            <w:r>
              <w:rPr>
                <w:sz w:val="19"/>
              </w:rPr>
            </w:r>
            <w:r>
              <w:rPr>
                <w:sz w:val="19"/>
              </w:rPr>
              <w:t>CYP2D6, CYP2C19, CYP3A4, VKORC1, DPYD</w:t>
            </w:r>
          </w:p>
        </w:tc>
      </w:tr>
      <w:tr>
        <w:tc>
          <w:tcPr>
            <w:tcW w:type="dxa" w:w="3120"/>
            <w:shd w:fill="f0f4e8"/>
          </w:tcPr>
          <w:p>
            <w:pPr>
              <w:spacing w:before="40" w:after="40"/>
            </w:pPr>
            <w:r>
              <w:rPr>
                <w:sz w:val="19"/>
              </w:rPr>
            </w:r>
            <w:r>
              <w:rPr>
                <w:sz w:val="19"/>
              </w:rPr>
              <w:t>Cardiovascular</w:t>
            </w:r>
          </w:p>
        </w:tc>
        <w:tc>
          <w:tcPr>
            <w:tcW w:type="dxa" w:w="3120"/>
            <w:shd w:fill="f0f4e8"/>
          </w:tcPr>
          <w:p>
            <w:pPr>
              <w:spacing w:before="40" w:after="40"/>
            </w:pPr>
            <w:r>
              <w:rPr>
                <w:sz w:val="19"/>
              </w:rPr>
            </w:r>
            <w:r>
              <w:rPr>
                <w:sz w:val="19"/>
              </w:rPr>
              <w:t>10</w:t>
            </w:r>
          </w:p>
        </w:tc>
        <w:tc>
          <w:tcPr>
            <w:tcW w:type="dxa" w:w="3120"/>
            <w:shd w:fill="f0f4e8"/>
          </w:tcPr>
          <w:p>
            <w:pPr>
              <w:spacing w:before="40" w:after="40"/>
            </w:pPr>
            <w:r>
              <w:rPr>
                <w:sz w:val="19"/>
              </w:rPr>
            </w:r>
            <w:r>
              <w:rPr>
                <w:sz w:val="19"/>
              </w:rPr>
              <w:t>PCSK9, TTR, MYBPC3, SCN5A</w:t>
            </w:r>
          </w:p>
        </w:tc>
      </w:tr>
      <w:tr>
        <w:tc>
          <w:tcPr>
            <w:tcW w:type="dxa" w:w="3120"/>
          </w:tcPr>
          <w:p>
            <w:pPr>
              <w:spacing w:before="40" w:after="40"/>
            </w:pPr>
            <w:r>
              <w:rPr>
                <w:sz w:val="19"/>
              </w:rPr>
            </w:r>
            <w:r>
              <w:rPr>
                <w:sz w:val="19"/>
              </w:rPr>
              <w:t>Respiratory</w:t>
            </w:r>
          </w:p>
        </w:tc>
        <w:tc>
          <w:tcPr>
            <w:tcW w:type="dxa" w:w="3120"/>
          </w:tcPr>
          <w:p>
            <w:pPr>
              <w:spacing w:before="40" w:after="40"/>
            </w:pPr>
            <w:r>
              <w:rPr>
                <w:sz w:val="19"/>
              </w:rPr>
            </w:r>
            <w:r>
              <w:rPr>
                <w:sz w:val="19"/>
              </w:rPr>
              <w:t>13</w:t>
            </w:r>
          </w:p>
        </w:tc>
        <w:tc>
          <w:tcPr>
            <w:tcW w:type="dxa" w:w="3120"/>
          </w:tcPr>
          <w:p>
            <w:pPr>
              <w:spacing w:before="40" w:after="40"/>
            </w:pPr>
            <w:r>
              <w:rPr>
                <w:sz w:val="19"/>
              </w:rPr>
            </w:r>
            <w:r>
              <w:rPr>
                <w:sz w:val="19"/>
              </w:rPr>
              <w:t>ADRB2, IL4R, IL5, BMPR2</w:t>
            </w:r>
          </w:p>
        </w:tc>
      </w:tr>
      <w:tr>
        <w:tc>
          <w:tcPr>
            <w:tcW w:type="dxa" w:w="3120"/>
            <w:shd w:fill="f0f4e8"/>
          </w:tcPr>
          <w:p>
            <w:pPr>
              <w:spacing w:before="40" w:after="40"/>
            </w:pPr>
            <w:r>
              <w:rPr>
                <w:sz w:val="19"/>
              </w:rPr>
            </w:r>
            <w:r>
              <w:rPr>
                <w:sz w:val="19"/>
              </w:rPr>
              <w:t>Ophthalmology</w:t>
            </w:r>
          </w:p>
        </w:tc>
        <w:tc>
          <w:tcPr>
            <w:tcW w:type="dxa" w:w="3120"/>
            <w:shd w:fill="f0f4e8"/>
          </w:tcPr>
          <w:p>
            <w:pPr>
              <w:spacing w:before="40" w:after="40"/>
            </w:pPr>
            <w:r>
              <w:rPr>
                <w:sz w:val="19"/>
              </w:rPr>
            </w:r>
            <w:r>
              <w:rPr>
                <w:sz w:val="19"/>
              </w:rPr>
              <w:t>11</w:t>
            </w:r>
          </w:p>
        </w:tc>
        <w:tc>
          <w:tcPr>
            <w:tcW w:type="dxa" w:w="3120"/>
            <w:shd w:fill="f0f4e8"/>
          </w:tcPr>
          <w:p>
            <w:pPr>
              <w:spacing w:before="40" w:after="40"/>
            </w:pPr>
            <w:r>
              <w:rPr>
                <w:sz w:val="19"/>
              </w:rPr>
            </w:r>
            <w:r>
              <w:rPr>
                <w:sz w:val="19"/>
              </w:rPr>
              <w:t>VEGFA, CFH, RPE65</w:t>
            </w:r>
          </w:p>
        </w:tc>
      </w:tr>
      <w:tr>
        <w:tc>
          <w:tcPr>
            <w:tcW w:type="dxa" w:w="3120"/>
          </w:tcPr>
          <w:p>
            <w:pPr>
              <w:spacing w:before="40" w:after="40"/>
            </w:pPr>
            <w:r>
              <w:rPr>
                <w:sz w:val="19"/>
              </w:rPr>
            </w:r>
            <w:r>
              <w:rPr>
                <w:sz w:val="19"/>
              </w:rPr>
              <w:t>Hematology</w:t>
            </w:r>
          </w:p>
        </w:tc>
        <w:tc>
          <w:tcPr>
            <w:tcW w:type="dxa" w:w="3120"/>
          </w:tcPr>
          <w:p>
            <w:pPr>
              <w:spacing w:before="40" w:after="40"/>
            </w:pPr>
            <w:r>
              <w:rPr>
                <w:sz w:val="19"/>
              </w:rPr>
            </w:r>
            <w:r>
              <w:rPr>
                <w:sz w:val="19"/>
              </w:rPr>
              <w:t>12</w:t>
            </w:r>
          </w:p>
        </w:tc>
        <w:tc>
          <w:tcPr>
            <w:tcW w:type="dxa" w:w="3120"/>
          </w:tcPr>
          <w:p>
            <w:pPr>
              <w:spacing w:before="40" w:after="40"/>
            </w:pPr>
            <w:r>
              <w:rPr>
                <w:sz w:val="19"/>
              </w:rPr>
            </w:r>
            <w:r>
              <w:rPr>
                <w:sz w:val="19"/>
              </w:rPr>
              <w:t>SYK, THPO, F10, ADAMTS13</w:t>
            </w:r>
          </w:p>
        </w:tc>
      </w:tr>
      <w:tr>
        <w:tc>
          <w:tcPr>
            <w:tcW w:type="dxa" w:w="3120"/>
            <w:shd w:fill="f0f4e8"/>
          </w:tcPr>
          <w:p>
            <w:pPr>
              <w:spacing w:before="40" w:after="40"/>
            </w:pPr>
            <w:r>
              <w:rPr>
                <w:sz w:val="19"/>
              </w:rPr>
            </w:r>
            <w:r>
              <w:rPr>
                <w:sz w:val="19"/>
              </w:rPr>
              <w:t>GI/Hepatology</w:t>
            </w:r>
          </w:p>
        </w:tc>
        <w:tc>
          <w:tcPr>
            <w:tcW w:type="dxa" w:w="3120"/>
            <w:shd w:fill="f0f4e8"/>
          </w:tcPr>
          <w:p>
            <w:pPr>
              <w:spacing w:before="40" w:after="40"/>
            </w:pPr>
            <w:r>
              <w:rPr>
                <w:sz w:val="19"/>
              </w:rPr>
            </w:r>
            <w:r>
              <w:rPr>
                <w:sz w:val="19"/>
              </w:rPr>
              <w:t>12</w:t>
            </w:r>
          </w:p>
        </w:tc>
        <w:tc>
          <w:tcPr>
            <w:tcW w:type="dxa" w:w="3120"/>
            <w:shd w:fill="f0f4e8"/>
          </w:tcPr>
          <w:p>
            <w:pPr>
              <w:spacing w:before="40" w:after="40"/>
            </w:pPr>
            <w:r>
              <w:rPr>
                <w:sz w:val="19"/>
              </w:rPr>
            </w:r>
            <w:r>
              <w:rPr>
                <w:sz w:val="19"/>
              </w:rPr>
              <w:t>NOD2, S1PR1, PNPLA3</w:t>
            </w:r>
          </w:p>
        </w:tc>
      </w:tr>
      <w:tr>
        <w:tc>
          <w:tcPr>
            <w:tcW w:type="dxa" w:w="3120"/>
          </w:tcPr>
          <w:p>
            <w:pPr>
              <w:spacing w:before="40" w:after="40"/>
            </w:pPr>
            <w:r>
              <w:rPr>
                <w:sz w:val="19"/>
              </w:rPr>
            </w:r>
            <w:r>
              <w:rPr>
                <w:sz w:val="19"/>
              </w:rPr>
              <w:t>Immunology</w:t>
            </w:r>
          </w:p>
        </w:tc>
        <w:tc>
          <w:tcPr>
            <w:tcW w:type="dxa" w:w="3120"/>
          </w:tcPr>
          <w:p>
            <w:pPr>
              <w:spacing w:before="40" w:after="40"/>
            </w:pPr>
            <w:r>
              <w:rPr>
                <w:sz w:val="19"/>
              </w:rPr>
            </w:r>
            <w:r>
              <w:rPr>
                <w:sz w:val="19"/>
              </w:rPr>
              <w:t>9</w:t>
            </w:r>
          </w:p>
        </w:tc>
        <w:tc>
          <w:tcPr>
            <w:tcW w:type="dxa" w:w="3120"/>
          </w:tcPr>
          <w:p>
            <w:pPr>
              <w:spacing w:before="40" w:after="40"/>
            </w:pPr>
            <w:r>
              <w:rPr>
                <w:sz w:val="19"/>
              </w:rPr>
            </w:r>
            <w:r>
              <w:rPr>
                <w:sz w:val="19"/>
              </w:rPr>
              <w:t>IL6, TNF, JAK1, IL17A</w:t>
            </w:r>
          </w:p>
        </w:tc>
      </w:tr>
      <w:tr>
        <w:tc>
          <w:tcPr>
            <w:tcW w:type="dxa" w:w="3120"/>
            <w:shd w:fill="f0f4e8"/>
          </w:tcPr>
          <w:p>
            <w:pPr>
              <w:spacing w:before="40" w:after="40"/>
            </w:pPr>
            <w:r>
              <w:rPr>
                <w:sz w:val="19"/>
              </w:rPr>
            </w:r>
            <w:r>
              <w:rPr>
                <w:sz w:val="19"/>
              </w:rPr>
              <w:t>Dermatology</w:t>
            </w:r>
          </w:p>
        </w:tc>
        <w:tc>
          <w:tcPr>
            <w:tcW w:type="dxa" w:w="3120"/>
            <w:shd w:fill="f0f4e8"/>
          </w:tcPr>
          <w:p>
            <w:pPr>
              <w:spacing w:before="40" w:after="40"/>
            </w:pPr>
            <w:r>
              <w:rPr>
                <w:sz w:val="19"/>
              </w:rPr>
            </w:r>
            <w:r>
              <w:rPr>
                <w:sz w:val="19"/>
              </w:rPr>
              <w:t>9</w:t>
            </w:r>
          </w:p>
        </w:tc>
        <w:tc>
          <w:tcPr>
            <w:tcW w:type="dxa" w:w="3120"/>
            <w:shd w:fill="f0f4e8"/>
          </w:tcPr>
          <w:p>
            <w:pPr>
              <w:spacing w:before="40" w:after="40"/>
            </w:pPr>
            <w:r>
              <w:rPr>
                <w:sz w:val="19"/>
              </w:rPr>
            </w:r>
            <w:r>
              <w:rPr>
                <w:sz w:val="19"/>
              </w:rPr>
              <w:t>IL31RA, TYK2, KIT</w:t>
            </w:r>
          </w:p>
        </w:tc>
      </w:tr>
      <w:tr>
        <w:tc>
          <w:tcPr>
            <w:tcW w:type="dxa" w:w="3120"/>
          </w:tcPr>
          <w:p>
            <w:pPr>
              <w:spacing w:before="40" w:after="40"/>
            </w:pPr>
            <w:r>
              <w:rPr>
                <w:sz w:val="19"/>
              </w:rPr>
            </w:r>
            <w:r>
              <w:rPr>
                <w:sz w:val="19"/>
              </w:rPr>
              <w:t>Rare Disease</w:t>
            </w:r>
          </w:p>
        </w:tc>
        <w:tc>
          <w:tcPr>
            <w:tcW w:type="dxa" w:w="3120"/>
          </w:tcPr>
          <w:p>
            <w:pPr>
              <w:spacing w:before="40" w:after="40"/>
            </w:pPr>
            <w:r>
              <w:rPr>
                <w:sz w:val="19"/>
              </w:rPr>
            </w:r>
            <w:r>
              <w:rPr>
                <w:sz w:val="19"/>
              </w:rPr>
              <w:t>12</w:t>
            </w:r>
          </w:p>
        </w:tc>
        <w:tc>
          <w:tcPr>
            <w:tcW w:type="dxa" w:w="3120"/>
          </w:tcPr>
          <w:p>
            <w:pPr>
              <w:spacing w:before="40" w:after="40"/>
            </w:pPr>
            <w:r>
              <w:rPr>
                <w:sz w:val="19"/>
              </w:rPr>
            </w:r>
            <w:r>
              <w:rPr>
                <w:sz w:val="19"/>
              </w:rPr>
              <w:t>Various monogenic targets</w:t>
            </w:r>
          </w:p>
        </w:tc>
      </w:tr>
    </w:tbl>
    <w:p/>
    <w:p>
      <w:r>
        <w:t>Each gene entry maps: protein name, molecular function, biological pathway, disease associations, known drugs (with development status), PDB structure identifiers, and druggability classification. Of 201 genes, 171 (85%) are classified as druggable.</w:t>
      </w:r>
    </w:p>
    <w:p>
      <w:pPr>
        <w:pStyle w:val="Heading3"/>
      </w:pPr>
      <w:r>
        <w:t>5.5 RAG Engine</w:t>
      </w:r>
    </w:p>
    <w:p>
      <w:r>
        <w:t>The RAGEngine class implements the complete retrieval-generation pipeline:</w:t>
      </w:r>
    </w:p>
    <w:p>
      <w:pPr>
        <w:pStyle w:val="ListNumber"/>
      </w:pPr>
      <w:r>
        <w:rPr>
          <w:b/>
        </w:rPr>
        <w:t>Query Embedding</w:t>
      </w:r>
      <w:r>
        <w:t>: Text is prepended with the BGE instruction prefix (</w:t>
      </w:r>
      <w:r>
        <w:rPr>
          <w:i/>
        </w:rPr>
        <w:t>"Represent this sentence for searching relevant passages:"</w:t>
      </w:r>
      <w:r>
        <w:t>) before encoding to a 384-dimensional vector.</w:t>
      </w:r>
    </w:p>
    <w:p>
      <w:pPr>
        <w:pStyle w:val="ListNumber"/>
      </w:pPr>
      <w:r>
        <w:rPr>
          <w:b/>
        </w:rPr>
        <w:t>Semantic Search</w:t>
      </w:r>
      <w:r>
        <w:t>: The query vector is searched against the genomic_evidence collection with a default score threshold of 0.5, returning the top 10 results ranked by cosine similarity.</w:t>
      </w:r>
    </w:p>
    <w:p>
      <w:pPr>
        <w:pStyle w:val="ListNumber"/>
      </w:pPr>
      <w:r>
        <w:rPr>
          <w:b/>
        </w:rPr>
        <w:t>Therapeutic Domain Expansion</w:t>
      </w:r>
      <w:r>
        <w:t xml:space="preserve">: Query keywords are matched against 13 therapeutic area mappings, triggering gene-specific retrieval with a synthetic confidence score of 0.85. For example, the query </w:t>
      </w:r>
      <w:r>
        <w:rPr>
          <w:i/>
        </w:rPr>
        <w:t>"What variants affect FTD treatment?"</w:t>
      </w:r>
      <w:r>
        <w:t xml:space="preserve"> expands to genes [VCP, C9orf72, GRN, MAPT, TBK1, FUS, TARDBP, SOD1].</w:t>
      </w:r>
    </w:p>
    <w:p>
      <w:pPr>
        <w:pStyle w:val="ListNumber"/>
      </w:pPr>
      <w:r>
        <w:rPr>
          <w:b/>
        </w:rPr>
        <w:t>Knowledge Graph Augmentation</w:t>
      </w:r>
      <w:r>
        <w:t>: Matched genes are enriched with pathway context, drug candidates, PDB structures, and disease associations from the KNOWLEDGE_CONNECTIONS dictionary.</w:t>
      </w:r>
    </w:p>
    <w:p>
      <w:pPr>
        <w:pStyle w:val="ListNumber"/>
      </w:pPr>
      <w:r>
        <w:rPr>
          <w:b/>
        </w:rPr>
        <w:t>LLM Synthesis</w:t>
      </w:r>
      <w:r>
        <w:t>: Evidence and knowledge context are assembled into a prompt for Claude, which generates a comprehensive response with variant-level citations.</w:t>
      </w:r>
    </w:p>
    <w:p>
      <w:pPr>
        <w:pStyle w:val="Heading3"/>
      </w:pPr>
      <w:r>
        <w:t>5.6 Target Hypothesis Management</w:t>
      </w:r>
    </w:p>
    <w:p>
      <w:r>
        <w:t>The system tracks therapeutic target candidates through a structured lifecycle:</w:t>
      </w:r>
    </w:p>
    <w:p>
      <w:pPr>
        <w:spacing w:before="80" w:after="80"/>
        <w:ind w:left="567"/>
        <w:shd w:fill="f5f5f5"/>
      </w:pPr>
      <w:r>
        <w:rPr>
          <w:rFonts w:ascii="Consolas" w:hAnsi="Consolas"/>
          <w:color w:val="2D2D2D"/>
          <w:sz w:val="17"/>
        </w:rPr>
        <w:t>class TargetHypothesis:</w:t>
        <w:br/>
        <w:t xml:space="preserve">    gene: str                    # VCP</w:t>
        <w:br/>
        <w:t xml:space="preserve">    protein: str                 # p97/VCP ATPase</w:t>
        <w:br/>
        <w:t xml:space="preserve">    rationale: str               # Scientific justification</w:t>
        <w:br/>
        <w:t xml:space="preserve">    confidence: str              # low / medium / high</w:t>
        <w:br/>
        <w:t xml:space="preserve">    priority: int                # 1-5</w:t>
        <w:br/>
        <w:t xml:space="preserve">    status: str                  # hypothesis → validated → selected → rejected</w:t>
        <w:br/>
        <w:t xml:space="preserve">    pdb_ids: List[str]           # ["5FTK", "8OOI"]</w:t>
        <w:br/>
        <w:t xml:space="preserve">    reference_smiles: str        # CB-5083 SMILES</w:t>
        <w:br/>
        <w:t xml:space="preserve">    druggability: str            # high / medium / low</w:t>
      </w:r>
    </w:p>
    <w:p>
      <w:r>
        <w:t>Validated targets are exported as JSON for handoff to Stage 3 (Drug Discovery), preserving the complete chain of genomic evidence.</w:t>
      </w:r>
    </w:p>
    <w:p>
      <w:pPr>
        <w:pStyle w:val="Heading3"/>
      </w:pPr>
      <w:r>
        <w:t>5.7 Multi-Provider LLM Support</w:t>
      </w:r>
    </w:p>
    <w:p>
      <w:r>
        <w:t>The platform supports four LLM providers through a polymorphic client architecture: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Provider</w:t>
            </w:r>
          </w:p>
        </w:tc>
        <w:tc>
          <w:tcPr>
            <w:tcW w:type="dxa" w:w="3120"/>
            <w:shd w:fill="1a1a24"/>
          </w:tcPr>
          <w:p>
            <w:pPr>
              <w:spacing w:before="40" w:after="40"/>
            </w:pPr>
            <w:r>
              <w:rPr>
                <w:b/>
                <w:color w:val="FFFFFF"/>
                <w:sz w:val="19"/>
              </w:rPr>
            </w:r>
            <w:r>
              <w:rPr>
                <w:b/>
                <w:color w:val="FFFFFF"/>
                <w:sz w:val="19"/>
              </w:rPr>
              <w:t>Models</w:t>
            </w:r>
          </w:p>
        </w:tc>
        <w:tc>
          <w:tcPr>
            <w:tcW w:type="dxa" w:w="3120"/>
            <w:shd w:fill="1a1a24"/>
          </w:tcPr>
          <w:p>
            <w:pPr>
              <w:spacing w:before="40" w:after="40"/>
            </w:pPr>
            <w:r>
              <w:rPr>
                <w:b/>
                <w:color w:val="FFFFFF"/>
                <w:sz w:val="19"/>
              </w:rPr>
            </w:r>
            <w:r>
              <w:rPr>
                <w:b/>
                <w:color w:val="FFFFFF"/>
                <w:sz w:val="19"/>
              </w:rPr>
              <w:t>Deployment</w:t>
            </w:r>
          </w:p>
        </w:tc>
      </w:tr>
      <w:tr>
        <w:tc>
          <w:tcPr>
            <w:tcW w:type="dxa" w:w="3120"/>
          </w:tcPr>
          <w:p>
            <w:pPr>
              <w:spacing w:before="40" w:after="40"/>
            </w:pPr>
            <w:r>
              <w:rPr>
                <w:sz w:val="19"/>
              </w:rPr>
            </w:r>
            <w:r>
              <w:rPr>
                <w:sz w:val="19"/>
              </w:rPr>
              <w:t>Anthropic</w:t>
            </w:r>
          </w:p>
        </w:tc>
        <w:tc>
          <w:tcPr>
            <w:tcW w:type="dxa" w:w="3120"/>
          </w:tcPr>
          <w:p>
            <w:pPr>
              <w:spacing w:before="40" w:after="40"/>
            </w:pPr>
            <w:r>
              <w:rPr>
                <w:sz w:val="19"/>
              </w:rPr>
            </w:r>
            <w:r>
              <w:rPr>
                <w:sz w:val="19"/>
              </w:rPr>
              <w:t>Claude Sonnet 4, Claude Opus 4</w:t>
            </w:r>
          </w:p>
        </w:tc>
        <w:tc>
          <w:tcPr>
            <w:tcW w:type="dxa" w:w="3120"/>
          </w:tcPr>
          <w:p>
            <w:pPr>
              <w:spacing w:before="40" w:after="40"/>
            </w:pPr>
            <w:r>
              <w:rPr>
                <w:sz w:val="19"/>
              </w:rPr>
            </w:r>
            <w:r>
              <w:rPr>
                <w:sz w:val="19"/>
              </w:rPr>
              <w:t>Cloud API</w:t>
            </w:r>
          </w:p>
        </w:tc>
      </w:tr>
      <w:tr>
        <w:tc>
          <w:tcPr>
            <w:tcW w:type="dxa" w:w="3120"/>
            <w:shd w:fill="f0f4e8"/>
          </w:tcPr>
          <w:p>
            <w:pPr>
              <w:spacing w:before="40" w:after="40"/>
            </w:pPr>
            <w:r>
              <w:rPr>
                <w:sz w:val="19"/>
              </w:rPr>
            </w:r>
            <w:r>
              <w:rPr>
                <w:sz w:val="19"/>
              </w:rPr>
              <w:t>OpenAI</w:t>
            </w:r>
          </w:p>
        </w:tc>
        <w:tc>
          <w:tcPr>
            <w:tcW w:type="dxa" w:w="3120"/>
            <w:shd w:fill="f0f4e8"/>
          </w:tcPr>
          <w:p>
            <w:pPr>
              <w:spacing w:before="40" w:after="40"/>
            </w:pPr>
            <w:r>
              <w:rPr>
                <w:sz w:val="19"/>
              </w:rPr>
            </w:r>
            <w:r>
              <w:rPr>
                <w:sz w:val="19"/>
              </w:rPr>
              <w:t>GPT-4 Turbo, GPT-4</w:t>
            </w:r>
          </w:p>
        </w:tc>
        <w:tc>
          <w:tcPr>
            <w:tcW w:type="dxa" w:w="3120"/>
            <w:shd w:fill="f0f4e8"/>
          </w:tcPr>
          <w:p>
            <w:pPr>
              <w:spacing w:before="40" w:after="40"/>
            </w:pPr>
            <w:r>
              <w:rPr>
                <w:sz w:val="19"/>
              </w:rPr>
            </w:r>
            <w:r>
              <w:rPr>
                <w:sz w:val="19"/>
              </w:rPr>
              <w:t>Cloud API</w:t>
            </w:r>
          </w:p>
        </w:tc>
      </w:tr>
      <w:tr>
        <w:tc>
          <w:tcPr>
            <w:tcW w:type="dxa" w:w="3120"/>
          </w:tcPr>
          <w:p>
            <w:pPr>
              <w:spacing w:before="40" w:after="40"/>
            </w:pPr>
            <w:r>
              <w:rPr>
                <w:sz w:val="19"/>
              </w:rPr>
            </w:r>
            <w:r>
              <w:rPr>
                <w:sz w:val="19"/>
              </w:rPr>
              <w:t>Ollama</w:t>
            </w:r>
          </w:p>
        </w:tc>
        <w:tc>
          <w:tcPr>
            <w:tcW w:type="dxa" w:w="3120"/>
          </w:tcPr>
          <w:p>
            <w:pPr>
              <w:spacing w:before="40" w:after="40"/>
            </w:pPr>
            <w:r>
              <w:rPr>
                <w:sz w:val="19"/>
              </w:rPr>
            </w:r>
            <w:r>
              <w:rPr>
                <w:sz w:val="19"/>
              </w:rPr>
              <w:t>Llama 3.1 8B, Llama 3.1 70B</w:t>
            </w:r>
          </w:p>
        </w:tc>
        <w:tc>
          <w:tcPr>
            <w:tcW w:type="dxa" w:w="3120"/>
          </w:tcPr>
          <w:p>
            <w:pPr>
              <w:spacing w:before="40" w:after="40"/>
            </w:pPr>
            <w:r>
              <w:rPr>
                <w:sz w:val="19"/>
              </w:rPr>
            </w:r>
            <w:r>
              <w:rPr>
                <w:sz w:val="19"/>
              </w:rPr>
              <w:t>Local (ARM-optimized)</w:t>
            </w:r>
          </w:p>
        </w:tc>
      </w:tr>
      <w:tr>
        <w:tc>
          <w:tcPr>
            <w:tcW w:type="dxa" w:w="3120"/>
            <w:shd w:fill="f0f4e8"/>
          </w:tcPr>
          <w:p>
            <w:pPr>
              <w:spacing w:before="40" w:after="40"/>
            </w:pPr>
            <w:r>
              <w:rPr>
                <w:sz w:val="19"/>
              </w:rPr>
            </w:r>
            <w:r>
              <w:rPr>
                <w:sz w:val="19"/>
              </w:rPr>
              <w:t>vLLM</w:t>
            </w:r>
          </w:p>
        </w:tc>
        <w:tc>
          <w:tcPr>
            <w:tcW w:type="dxa" w:w="3120"/>
            <w:shd w:fill="f0f4e8"/>
          </w:tcPr>
          <w:p>
            <w:pPr>
              <w:spacing w:before="40" w:after="40"/>
            </w:pPr>
            <w:r>
              <w:rPr>
                <w:sz w:val="19"/>
              </w:rPr>
            </w:r>
            <w:r>
              <w:rPr>
                <w:sz w:val="19"/>
              </w:rPr>
              <w:t>Llama-3.1-70B-Instruct</w:t>
            </w:r>
          </w:p>
        </w:tc>
        <w:tc>
          <w:tcPr>
            <w:tcW w:type="dxa" w:w="3120"/>
            <w:shd w:fill="f0f4e8"/>
          </w:tcPr>
          <w:p>
            <w:pPr>
              <w:spacing w:before="40" w:after="40"/>
            </w:pPr>
            <w:r>
              <w:rPr>
                <w:sz w:val="19"/>
              </w:rPr>
            </w:r>
            <w:r>
              <w:rPr>
                <w:sz w:val="19"/>
              </w:rPr>
              <w:t>Local (x86)</w:t>
            </w:r>
          </w:p>
        </w:tc>
      </w:tr>
    </w:tbl>
    <w:p/>
    <w:p>
      <w:r>
        <w:t>This flexibility enables deployment across cloud-connected and air-gapped environments.</w:t>
      </w:r>
    </w:p>
    <w:p>
      <w:pPr>
        <w:spacing w:before="120" w:after="120"/>
        <w:pBdr>
          <w:bottom w:val="single" w:sz="4" w:space="1" w:color="76B900"/>
        </w:pBdr>
      </w:pPr>
    </w:p>
    <w:p>
      <w:r>
        <w:br w:type="page"/>
      </w:r>
    </w:p>
    <w:p>
      <w:pPr>
        <w:pStyle w:val="Heading2"/>
      </w:pPr>
      <w:r>
        <w:t>6. Stage 3: CAR-T Intelligence Agent</w:t>
      </w:r>
    </w:p>
    <w:p>
      <w:pPr>
        <w:pStyle w:val="Heading3"/>
      </w:pPr>
      <w:r>
        <w:t>6.1 Overview</w:t>
      </w:r>
    </w:p>
    <w:p>
      <w:r>
        <w:t>The CAR-T Intelligence Agent is an autonomous reasoning system for CAR-T cell therapy evaluation. Unlike the RAG pipeline's single-collection approach, the CAR-T Agent searches across 11 specialized Milvus collections simultaneously, applies domain-specific query expansion, and uses an agent reasoning loop for multi-step evidence gathering.</w:t>
      </w:r>
    </w:p>
    <w:p>
      <w:pPr>
        <w:pStyle w:val="Heading3"/>
      </w:pPr>
      <w:r>
        <w:t>6.2 Collection Architecture</w:t>
      </w:r>
    </w:p>
    <w:p>
      <w:r>
        <w:t>The agent manages 11 purpose-built collections, each with a domain-specific schema:</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Collection</w:t>
            </w:r>
          </w:p>
        </w:tc>
        <w:tc>
          <w:tcPr>
            <w:tcW w:type="dxa" w:w="2340"/>
            <w:shd w:fill="1a1a24"/>
          </w:tcPr>
          <w:p>
            <w:pPr>
              <w:spacing w:before="40" w:after="40"/>
            </w:pPr>
            <w:r>
              <w:rPr>
                <w:b/>
                <w:color w:val="FFFFFF"/>
                <w:sz w:val="19"/>
              </w:rPr>
            </w:r>
            <w:r>
              <w:rPr>
                <w:b/>
                <w:color w:val="FFFFFF"/>
                <w:sz w:val="19"/>
              </w:rPr>
              <w:t>Records</w:t>
            </w:r>
          </w:p>
        </w:tc>
        <w:tc>
          <w:tcPr>
            <w:tcW w:type="dxa" w:w="2340"/>
            <w:shd w:fill="1a1a24"/>
          </w:tcPr>
          <w:p>
            <w:pPr>
              <w:spacing w:before="40" w:after="40"/>
            </w:pPr>
            <w:r>
              <w:rPr>
                <w:b/>
                <w:color w:val="FFFFFF"/>
                <w:sz w:val="19"/>
              </w:rPr>
            </w:r>
            <w:r>
              <w:rPr>
                <w:b/>
                <w:color w:val="FFFFFF"/>
                <w:sz w:val="19"/>
              </w:rPr>
              <w:t>Weight</w:t>
            </w:r>
          </w:p>
        </w:tc>
        <w:tc>
          <w:tcPr>
            <w:tcW w:type="dxa" w:w="2340"/>
            <w:shd w:fill="1a1a24"/>
          </w:tcPr>
          <w:p>
            <w:pPr>
              <w:spacing w:before="40" w:after="40"/>
            </w:pPr>
            <w:r>
              <w:rPr>
                <w:b/>
                <w:color w:val="FFFFFF"/>
                <w:sz w:val="19"/>
              </w:rPr>
            </w:r>
            <w:r>
              <w:rPr>
                <w:b/>
                <w:color w:val="FFFFFF"/>
                <w:sz w:val="19"/>
              </w:rPr>
              <w:t>Key Fields</w:t>
            </w:r>
          </w:p>
        </w:tc>
      </w:tr>
      <w:tr>
        <w:tc>
          <w:tcPr>
            <w:tcW w:type="dxa" w:w="2340"/>
          </w:tcPr>
          <w:p>
            <w:pPr>
              <w:spacing w:before="40" w:after="40"/>
            </w:pPr>
            <w:r>
              <w:rPr>
                <w:sz w:val="19"/>
              </w:rPr>
            </w:r>
            <w:r>
              <w:rPr>
                <w:sz w:val="19"/>
              </w:rPr>
              <w:t>cart_literature</w:t>
            </w:r>
          </w:p>
        </w:tc>
        <w:tc>
          <w:tcPr>
            <w:tcW w:type="dxa" w:w="2340"/>
          </w:tcPr>
          <w:p>
            <w:pPr>
              <w:spacing w:before="40" w:after="40"/>
            </w:pPr>
            <w:r>
              <w:rPr>
                <w:sz w:val="19"/>
              </w:rPr>
            </w:r>
            <w:r>
              <w:rPr>
                <w:sz w:val="19"/>
              </w:rPr>
              <w:t>~1,200</w:t>
            </w:r>
          </w:p>
        </w:tc>
        <w:tc>
          <w:tcPr>
            <w:tcW w:type="dxa" w:w="2340"/>
          </w:tcPr>
          <w:p>
            <w:pPr>
              <w:spacing w:before="40" w:after="40"/>
            </w:pPr>
            <w:r>
              <w:rPr>
                <w:sz w:val="19"/>
              </w:rPr>
            </w:r>
            <w:r>
              <w:rPr>
                <w:sz w:val="19"/>
              </w:rPr>
              <w:t>1.2</w:t>
            </w:r>
          </w:p>
        </w:tc>
        <w:tc>
          <w:tcPr>
            <w:tcW w:type="dxa" w:w="2340"/>
          </w:tcPr>
          <w:p>
            <w:pPr>
              <w:spacing w:before="40" w:after="40"/>
            </w:pPr>
            <w:r>
              <w:rPr>
                <w:sz w:val="19"/>
              </w:rPr>
            </w:r>
            <w:r>
              <w:rPr>
                <w:sz w:val="19"/>
              </w:rPr>
              <w:t>PMID, journal, cart_stage, keywords</w:t>
            </w:r>
          </w:p>
        </w:tc>
      </w:tr>
      <w:tr>
        <w:tc>
          <w:tcPr>
            <w:tcW w:type="dxa" w:w="2340"/>
            <w:shd w:fill="f0f4e8"/>
          </w:tcPr>
          <w:p>
            <w:pPr>
              <w:spacing w:before="40" w:after="40"/>
            </w:pPr>
            <w:r>
              <w:rPr>
                <w:sz w:val="19"/>
              </w:rPr>
            </w:r>
            <w:r>
              <w:rPr>
                <w:sz w:val="19"/>
              </w:rPr>
              <w:t>cart_trials</w:t>
            </w:r>
          </w:p>
        </w:tc>
        <w:tc>
          <w:tcPr>
            <w:tcW w:type="dxa" w:w="2340"/>
            <w:shd w:fill="f0f4e8"/>
          </w:tcPr>
          <w:p>
            <w:pPr>
              <w:spacing w:before="40" w:after="40"/>
            </w:pPr>
            <w:r>
              <w:rPr>
                <w:sz w:val="19"/>
              </w:rPr>
            </w:r>
            <w:r>
              <w:rPr>
                <w:sz w:val="19"/>
              </w:rPr>
              <w:t>~800</w:t>
            </w:r>
          </w:p>
        </w:tc>
        <w:tc>
          <w:tcPr>
            <w:tcW w:type="dxa" w:w="2340"/>
            <w:shd w:fill="f0f4e8"/>
          </w:tcPr>
          <w:p>
            <w:pPr>
              <w:spacing w:before="40" w:after="40"/>
            </w:pPr>
            <w:r>
              <w:rPr>
                <w:sz w:val="19"/>
              </w:rPr>
            </w:r>
            <w:r>
              <w:rPr>
                <w:sz w:val="19"/>
              </w:rPr>
              <w:t>1.3</w:t>
            </w:r>
          </w:p>
        </w:tc>
        <w:tc>
          <w:tcPr>
            <w:tcW w:type="dxa" w:w="2340"/>
            <w:shd w:fill="f0f4e8"/>
          </w:tcPr>
          <w:p>
            <w:pPr>
              <w:spacing w:before="40" w:after="40"/>
            </w:pPr>
            <w:r>
              <w:rPr>
                <w:sz w:val="19"/>
              </w:rPr>
            </w:r>
            <w:r>
              <w:rPr>
                <w:sz w:val="19"/>
              </w:rPr>
              <w:t>NCT number, phase, sponsor, enrollment</w:t>
            </w:r>
          </w:p>
        </w:tc>
      </w:tr>
      <w:tr>
        <w:tc>
          <w:tcPr>
            <w:tcW w:type="dxa" w:w="2340"/>
          </w:tcPr>
          <w:p>
            <w:pPr>
              <w:spacing w:before="40" w:after="40"/>
            </w:pPr>
            <w:r>
              <w:rPr>
                <w:sz w:val="19"/>
              </w:rPr>
            </w:r>
            <w:r>
              <w:rPr>
                <w:sz w:val="19"/>
              </w:rPr>
              <w:t>cart_constructs</w:t>
            </w:r>
          </w:p>
        </w:tc>
        <w:tc>
          <w:tcPr>
            <w:tcW w:type="dxa" w:w="2340"/>
          </w:tcPr>
          <w:p>
            <w:pPr>
              <w:spacing w:before="40" w:after="40"/>
            </w:pPr>
            <w:r>
              <w:rPr>
                <w:sz w:val="19"/>
              </w:rPr>
            </w:r>
            <w:r>
              <w:rPr>
                <w:sz w:val="19"/>
              </w:rPr>
              <w:t>~400</w:t>
            </w:r>
          </w:p>
        </w:tc>
        <w:tc>
          <w:tcPr>
            <w:tcW w:type="dxa" w:w="2340"/>
          </w:tcPr>
          <w:p>
            <w:pPr>
              <w:spacing w:before="40" w:after="40"/>
            </w:pPr>
            <w:r>
              <w:rPr>
                <w:sz w:val="19"/>
              </w:rPr>
            </w:r>
            <w:r>
              <w:rPr>
                <w:sz w:val="19"/>
              </w:rPr>
              <w:t>1.1</w:t>
            </w:r>
          </w:p>
        </w:tc>
        <w:tc>
          <w:tcPr>
            <w:tcW w:type="dxa" w:w="2340"/>
          </w:tcPr>
          <w:p>
            <w:pPr>
              <w:spacing w:before="40" w:after="40"/>
            </w:pPr>
            <w:r>
              <w:rPr>
                <w:sz w:val="19"/>
              </w:rPr>
            </w:r>
            <w:r>
              <w:rPr>
                <w:sz w:val="19"/>
              </w:rPr>
              <w:t>scFv origin, costimulatory domain, vector type</w:t>
            </w:r>
          </w:p>
        </w:tc>
      </w:tr>
      <w:tr>
        <w:tc>
          <w:tcPr>
            <w:tcW w:type="dxa" w:w="2340"/>
            <w:shd w:fill="f0f4e8"/>
          </w:tcPr>
          <w:p>
            <w:pPr>
              <w:spacing w:before="40" w:after="40"/>
            </w:pPr>
            <w:r>
              <w:rPr>
                <w:sz w:val="19"/>
              </w:rPr>
            </w:r>
            <w:r>
              <w:rPr>
                <w:sz w:val="19"/>
              </w:rPr>
              <w:t>cart_assays</w:t>
            </w:r>
          </w:p>
        </w:tc>
        <w:tc>
          <w:tcPr>
            <w:tcW w:type="dxa" w:w="2340"/>
            <w:shd w:fill="f0f4e8"/>
          </w:tcPr>
          <w:p>
            <w:pPr>
              <w:spacing w:before="40" w:after="40"/>
            </w:pPr>
            <w:r>
              <w:rPr>
                <w:sz w:val="19"/>
              </w:rPr>
            </w:r>
            <w:r>
              <w:rPr>
                <w:sz w:val="19"/>
              </w:rPr>
              <w:t>~600</w:t>
            </w:r>
          </w:p>
        </w:tc>
        <w:tc>
          <w:tcPr>
            <w:tcW w:type="dxa" w:w="2340"/>
            <w:shd w:fill="f0f4e8"/>
          </w:tcPr>
          <w:p>
            <w:pPr>
              <w:spacing w:before="40" w:after="40"/>
            </w:pPr>
            <w:r>
              <w:rPr>
                <w:sz w:val="19"/>
              </w:rPr>
            </w:r>
            <w:r>
              <w:rPr>
                <w:sz w:val="19"/>
              </w:rPr>
              <w:t>1.0</w:t>
            </w:r>
          </w:p>
        </w:tc>
        <w:tc>
          <w:tcPr>
            <w:tcW w:type="dxa" w:w="2340"/>
            <w:shd w:fill="f0f4e8"/>
          </w:tcPr>
          <w:p>
            <w:pPr>
              <w:spacing w:before="40" w:after="40"/>
            </w:pPr>
            <w:r>
              <w:rPr>
                <w:sz w:val="19"/>
              </w:rPr>
            </w:r>
            <w:r>
              <w:rPr>
                <w:sz w:val="19"/>
              </w:rPr>
              <w:t>assay type, cell line, E:T ratio, key metric</w:t>
            </w:r>
          </w:p>
        </w:tc>
      </w:tr>
      <w:tr>
        <w:tc>
          <w:tcPr>
            <w:tcW w:type="dxa" w:w="2340"/>
          </w:tcPr>
          <w:p>
            <w:pPr>
              <w:spacing w:before="40" w:after="40"/>
            </w:pPr>
            <w:r>
              <w:rPr>
                <w:sz w:val="19"/>
              </w:rPr>
            </w:r>
            <w:r>
              <w:rPr>
                <w:sz w:val="19"/>
              </w:rPr>
              <w:t>cart_manufacturing</w:t>
            </w:r>
          </w:p>
        </w:tc>
        <w:tc>
          <w:tcPr>
            <w:tcW w:type="dxa" w:w="2340"/>
          </w:tcPr>
          <w:p>
            <w:pPr>
              <w:spacing w:before="40" w:after="40"/>
            </w:pPr>
            <w:r>
              <w:rPr>
                <w:sz w:val="19"/>
              </w:rPr>
            </w:r>
            <w:r>
              <w:rPr>
                <w:sz w:val="19"/>
              </w:rPr>
              <w:t>~500</w:t>
            </w:r>
          </w:p>
        </w:tc>
        <w:tc>
          <w:tcPr>
            <w:tcW w:type="dxa" w:w="2340"/>
          </w:tcPr>
          <w:p>
            <w:pPr>
              <w:spacing w:before="40" w:after="40"/>
            </w:pPr>
            <w:r>
              <w:rPr>
                <w:sz w:val="19"/>
              </w:rPr>
            </w:r>
            <w:r>
              <w:rPr>
                <w:sz w:val="19"/>
              </w:rPr>
              <w:t>0.9</w:t>
            </w:r>
          </w:p>
        </w:tc>
        <w:tc>
          <w:tcPr>
            <w:tcW w:type="dxa" w:w="2340"/>
          </w:tcPr>
          <w:p>
            <w:pPr>
              <w:spacing w:before="40" w:after="40"/>
            </w:pPr>
            <w:r>
              <w:rPr>
                <w:sz w:val="19"/>
              </w:rPr>
            </w:r>
            <w:r>
              <w:rPr>
                <w:sz w:val="19"/>
              </w:rPr>
              <w:t>process step, parameter, target spec</w:t>
            </w:r>
          </w:p>
        </w:tc>
      </w:tr>
      <w:tr>
        <w:tc>
          <w:tcPr>
            <w:tcW w:type="dxa" w:w="2340"/>
            <w:shd w:fill="f0f4e8"/>
          </w:tcPr>
          <w:p>
            <w:pPr>
              <w:spacing w:before="40" w:after="40"/>
            </w:pPr>
            <w:r>
              <w:rPr>
                <w:sz w:val="19"/>
              </w:rPr>
            </w:r>
            <w:r>
              <w:rPr>
                <w:sz w:val="19"/>
              </w:rPr>
              <w:t>cart_safety</w:t>
            </w:r>
          </w:p>
        </w:tc>
        <w:tc>
          <w:tcPr>
            <w:tcW w:type="dxa" w:w="2340"/>
            <w:shd w:fill="f0f4e8"/>
          </w:tcPr>
          <w:p>
            <w:pPr>
              <w:spacing w:before="40" w:after="40"/>
            </w:pPr>
            <w:r>
              <w:rPr>
                <w:sz w:val="19"/>
              </w:rPr>
            </w:r>
            <w:r>
              <w:rPr>
                <w:sz w:val="19"/>
              </w:rPr>
              <w:t>~700</w:t>
            </w:r>
          </w:p>
        </w:tc>
        <w:tc>
          <w:tcPr>
            <w:tcW w:type="dxa" w:w="2340"/>
            <w:shd w:fill="f0f4e8"/>
          </w:tcPr>
          <w:p>
            <w:pPr>
              <w:spacing w:before="40" w:after="40"/>
            </w:pPr>
            <w:r>
              <w:rPr>
                <w:sz w:val="19"/>
              </w:rPr>
            </w:r>
            <w:r>
              <w:rPr>
                <w:sz w:val="19"/>
              </w:rPr>
              <w:t>1.0</w:t>
            </w:r>
          </w:p>
        </w:tc>
        <w:tc>
          <w:tcPr>
            <w:tcW w:type="dxa" w:w="2340"/>
            <w:shd w:fill="f0f4e8"/>
          </w:tcPr>
          <w:p>
            <w:pPr>
              <w:spacing w:before="40" w:after="40"/>
            </w:pPr>
            <w:r>
              <w:rPr>
                <w:sz w:val="19"/>
              </w:rPr>
            </w:r>
            <w:r>
              <w:rPr>
                <w:sz w:val="19"/>
              </w:rPr>
              <w:t>event type, severity, onset timing, incidence</w:t>
            </w:r>
          </w:p>
        </w:tc>
      </w:tr>
      <w:tr>
        <w:tc>
          <w:tcPr>
            <w:tcW w:type="dxa" w:w="2340"/>
          </w:tcPr>
          <w:p>
            <w:pPr>
              <w:spacing w:before="40" w:after="40"/>
            </w:pPr>
            <w:r>
              <w:rPr>
                <w:sz w:val="19"/>
              </w:rPr>
            </w:r>
            <w:r>
              <w:rPr>
                <w:sz w:val="19"/>
              </w:rPr>
              <w:t>cart_biomarkers</w:t>
            </w:r>
          </w:p>
        </w:tc>
        <w:tc>
          <w:tcPr>
            <w:tcW w:type="dxa" w:w="2340"/>
          </w:tcPr>
          <w:p>
            <w:pPr>
              <w:spacing w:before="40" w:after="40"/>
            </w:pPr>
            <w:r>
              <w:rPr>
                <w:sz w:val="19"/>
              </w:rPr>
            </w:r>
            <w:r>
              <w:rPr>
                <w:sz w:val="19"/>
              </w:rPr>
              <w:t>~400</w:t>
            </w:r>
          </w:p>
        </w:tc>
        <w:tc>
          <w:tcPr>
            <w:tcW w:type="dxa" w:w="2340"/>
          </w:tcPr>
          <w:p>
            <w:pPr>
              <w:spacing w:before="40" w:after="40"/>
            </w:pPr>
            <w:r>
              <w:rPr>
                <w:sz w:val="19"/>
              </w:rPr>
            </w:r>
            <w:r>
              <w:rPr>
                <w:sz w:val="19"/>
              </w:rPr>
              <w:t>1.1</w:t>
            </w:r>
          </w:p>
        </w:tc>
        <w:tc>
          <w:tcPr>
            <w:tcW w:type="dxa" w:w="2340"/>
          </w:tcPr>
          <w:p>
            <w:pPr>
              <w:spacing w:before="40" w:after="40"/>
            </w:pPr>
            <w:r>
              <w:rPr>
                <w:sz w:val="19"/>
              </w:rPr>
            </w:r>
            <w:r>
              <w:rPr>
                <w:sz w:val="19"/>
              </w:rPr>
              <w:t>biomarker name, assay method, cutoff</w:t>
            </w:r>
          </w:p>
        </w:tc>
      </w:tr>
      <w:tr>
        <w:tc>
          <w:tcPr>
            <w:tcW w:type="dxa" w:w="2340"/>
            <w:shd w:fill="f0f4e8"/>
          </w:tcPr>
          <w:p>
            <w:pPr>
              <w:spacing w:before="40" w:after="40"/>
            </w:pPr>
            <w:r>
              <w:rPr>
                <w:sz w:val="19"/>
              </w:rPr>
            </w:r>
            <w:r>
              <w:rPr>
                <w:sz w:val="19"/>
              </w:rPr>
              <w:t>cart_regulatory</w:t>
            </w:r>
          </w:p>
        </w:tc>
        <w:tc>
          <w:tcPr>
            <w:tcW w:type="dxa" w:w="2340"/>
            <w:shd w:fill="f0f4e8"/>
          </w:tcPr>
          <w:p>
            <w:pPr>
              <w:spacing w:before="40" w:after="40"/>
            </w:pPr>
            <w:r>
              <w:rPr>
                <w:sz w:val="19"/>
              </w:rPr>
            </w:r>
            <w:r>
              <w:rPr>
                <w:sz w:val="19"/>
              </w:rPr>
              <w:t>~300</w:t>
            </w:r>
          </w:p>
        </w:tc>
        <w:tc>
          <w:tcPr>
            <w:tcW w:type="dxa" w:w="2340"/>
            <w:shd w:fill="f0f4e8"/>
          </w:tcPr>
          <w:p>
            <w:pPr>
              <w:spacing w:before="40" w:after="40"/>
            </w:pPr>
            <w:r>
              <w:rPr>
                <w:sz w:val="19"/>
              </w:rPr>
            </w:r>
            <w:r>
              <w:rPr>
                <w:sz w:val="19"/>
              </w:rPr>
              <w:t>0.8</w:t>
            </w:r>
          </w:p>
        </w:tc>
        <w:tc>
          <w:tcPr>
            <w:tcW w:type="dxa" w:w="2340"/>
            <w:shd w:fill="f0f4e8"/>
          </w:tcPr>
          <w:p>
            <w:pPr>
              <w:spacing w:before="40" w:after="40"/>
            </w:pPr>
            <w:r>
              <w:rPr>
                <w:sz w:val="19"/>
              </w:rPr>
            </w:r>
            <w:r>
              <w:rPr>
                <w:sz w:val="19"/>
              </w:rPr>
              <w:t>product, regulatory event, agency, decision</w:t>
            </w:r>
          </w:p>
        </w:tc>
      </w:tr>
      <w:tr>
        <w:tc>
          <w:tcPr>
            <w:tcW w:type="dxa" w:w="2340"/>
          </w:tcPr>
          <w:p>
            <w:pPr>
              <w:spacing w:before="40" w:after="40"/>
            </w:pPr>
            <w:r>
              <w:rPr>
                <w:sz w:val="19"/>
              </w:rPr>
            </w:r>
            <w:r>
              <w:rPr>
                <w:sz w:val="19"/>
              </w:rPr>
              <w:t>cart_sequences</w:t>
            </w:r>
          </w:p>
        </w:tc>
        <w:tc>
          <w:tcPr>
            <w:tcW w:type="dxa" w:w="2340"/>
          </w:tcPr>
          <w:p>
            <w:pPr>
              <w:spacing w:before="40" w:after="40"/>
            </w:pPr>
            <w:r>
              <w:rPr>
                <w:sz w:val="19"/>
              </w:rPr>
            </w:r>
            <w:r>
              <w:rPr>
                <w:sz w:val="19"/>
              </w:rPr>
              <w:t>~350</w:t>
            </w:r>
          </w:p>
        </w:tc>
        <w:tc>
          <w:tcPr>
            <w:tcW w:type="dxa" w:w="2340"/>
          </w:tcPr>
          <w:p>
            <w:pPr>
              <w:spacing w:before="40" w:after="40"/>
            </w:pPr>
            <w:r>
              <w:rPr>
                <w:sz w:val="19"/>
              </w:rPr>
            </w:r>
            <w:r>
              <w:rPr>
                <w:sz w:val="19"/>
              </w:rPr>
              <w:t>1.0</w:t>
            </w:r>
          </w:p>
        </w:tc>
        <w:tc>
          <w:tcPr>
            <w:tcW w:type="dxa" w:w="2340"/>
          </w:tcPr>
          <w:p>
            <w:pPr>
              <w:spacing w:before="40" w:after="40"/>
            </w:pPr>
            <w:r>
              <w:rPr>
                <w:sz w:val="19"/>
              </w:rPr>
            </w:r>
            <w:r>
              <w:rPr>
                <w:sz w:val="19"/>
              </w:rPr>
              <w:t>scFv clone, binding affinity, species origin</w:t>
            </w:r>
          </w:p>
        </w:tc>
      </w:tr>
      <w:tr>
        <w:tc>
          <w:tcPr>
            <w:tcW w:type="dxa" w:w="2340"/>
            <w:shd w:fill="f0f4e8"/>
          </w:tcPr>
          <w:p>
            <w:pPr>
              <w:spacing w:before="40" w:after="40"/>
            </w:pPr>
            <w:r>
              <w:rPr>
                <w:sz w:val="19"/>
              </w:rPr>
            </w:r>
            <w:r>
              <w:rPr>
                <w:sz w:val="19"/>
              </w:rPr>
              <w:t>cart_realworld</w:t>
            </w:r>
          </w:p>
        </w:tc>
        <w:tc>
          <w:tcPr>
            <w:tcW w:type="dxa" w:w="2340"/>
            <w:shd w:fill="f0f4e8"/>
          </w:tcPr>
          <w:p>
            <w:pPr>
              <w:spacing w:before="40" w:after="40"/>
            </w:pPr>
            <w:r>
              <w:rPr>
                <w:sz w:val="19"/>
              </w:rPr>
            </w:r>
            <w:r>
              <w:rPr>
                <w:sz w:val="19"/>
              </w:rPr>
              <w:t>~500</w:t>
            </w:r>
          </w:p>
        </w:tc>
        <w:tc>
          <w:tcPr>
            <w:tcW w:type="dxa" w:w="2340"/>
            <w:shd w:fill="f0f4e8"/>
          </w:tcPr>
          <w:p>
            <w:pPr>
              <w:spacing w:before="40" w:after="40"/>
            </w:pPr>
            <w:r>
              <w:rPr>
                <w:sz w:val="19"/>
              </w:rPr>
            </w:r>
            <w:r>
              <w:rPr>
                <w:sz w:val="19"/>
              </w:rPr>
              <w:t>0.9</w:t>
            </w:r>
          </w:p>
        </w:tc>
        <w:tc>
          <w:tcPr>
            <w:tcW w:type="dxa" w:w="2340"/>
            <w:shd w:fill="f0f4e8"/>
          </w:tcPr>
          <w:p>
            <w:pPr>
              <w:spacing w:before="40" w:after="40"/>
            </w:pPr>
            <w:r>
              <w:rPr>
                <w:sz w:val="19"/>
              </w:rPr>
            </w:r>
            <w:r>
              <w:rPr>
                <w:sz w:val="19"/>
              </w:rPr>
              <w:t>study type, data source, population size</w:t>
            </w:r>
          </w:p>
        </w:tc>
      </w:tr>
      <w:tr>
        <w:tc>
          <w:tcPr>
            <w:tcW w:type="dxa" w:w="2340"/>
          </w:tcPr>
          <w:p>
            <w:pPr>
              <w:spacing w:before="40" w:after="40"/>
            </w:pPr>
            <w:r>
              <w:rPr>
                <w:sz w:val="19"/>
              </w:rPr>
            </w:r>
            <w:r>
              <w:rPr>
                <w:sz w:val="19"/>
              </w:rPr>
              <w:t>genomic_evidence</w:t>
            </w:r>
          </w:p>
        </w:tc>
        <w:tc>
          <w:tcPr>
            <w:tcW w:type="dxa" w:w="2340"/>
          </w:tcPr>
          <w:p>
            <w:pPr>
              <w:spacing w:before="40" w:after="40"/>
            </w:pPr>
            <w:r>
              <w:rPr>
                <w:sz w:val="19"/>
              </w:rPr>
            </w:r>
            <w:r>
              <w:rPr>
                <w:sz w:val="19"/>
              </w:rPr>
              <w:t>~35,616</w:t>
            </w:r>
          </w:p>
        </w:tc>
        <w:tc>
          <w:tcPr>
            <w:tcW w:type="dxa" w:w="2340"/>
          </w:tcPr>
          <w:p>
            <w:pPr>
              <w:spacing w:before="40" w:after="40"/>
            </w:pPr>
            <w:r>
              <w:rPr>
                <w:sz w:val="19"/>
              </w:rPr>
            </w:r>
            <w:r>
              <w:rPr>
                <w:sz w:val="19"/>
              </w:rPr>
              <w:t>0.7</w:t>
            </w:r>
          </w:p>
        </w:tc>
        <w:tc>
          <w:tcPr>
            <w:tcW w:type="dxa" w:w="2340"/>
          </w:tcPr>
          <w:p>
            <w:pPr>
              <w:spacing w:before="40" w:after="40"/>
            </w:pPr>
            <w:r>
              <w:rPr>
                <w:sz w:val="19"/>
              </w:rPr>
            </w:r>
            <w:r>
              <w:rPr>
                <w:sz w:val="19"/>
              </w:rPr>
              <w:t>(Read-only, shared with RAG pipeline)</w:t>
            </w:r>
          </w:p>
        </w:tc>
      </w:tr>
    </w:tbl>
    <w:p/>
    <w:p>
      <w:r>
        <w:t>All collections use 384-dimensional BGE-small-en-v1.5 embeddings with IVF</w:t>
      </w:r>
      <w:r>
        <w:rPr>
          <w:i/>
        </w:rPr>
        <w:t>FLAT indexing (COSINE metric, nlist=1024, nprobe=16). Collection weights influence ranked relevance scores: `weighted</w:t>
      </w:r>
      <w:r>
        <w:t>score = raw_score × (1 + weight)`.</w:t>
      </w:r>
    </w:p>
    <w:p>
      <w:pPr>
        <w:pStyle w:val="Heading3"/>
      </w:pPr>
      <w:r>
        <w:t>6.3 25 Target Antigen Profiles</w:t>
      </w:r>
    </w:p>
    <w:p>
      <w:r>
        <w:t>The knowledge graph encodes detailed profiles for 25 CAR-T target antigens:</w:t>
      </w:r>
    </w:p>
    <w:p>
      <w:r>
        <w:rPr>
          <w:b/>
        </w:rPr>
        <w:t>CD19</w:t>
      </w:r>
      <w:r>
        <w:t>: B-Lymphocyte Antigen (UniProt P15391), expressed on B-cell lineage (pro-B to mature B, excluding plasma cells). Approved products: Kymriah, Yescarta, Tecartus, Breyanzi. Key trials: ELIANA, ZUMA-1, ZUMA-2, TRANSFORM, TRANSCEND. Known resistance: CD19 loss/mutation, lineage switch, trogocytosis, alternative splicing (exon 2 deletion). Toxicity: CRS 30-90%, ICANS 20-65%, B-cell aplasia (expected). Normal tissue: B-cells (acceptable on-target/off-tumor).</w:t>
      </w:r>
    </w:p>
    <w:p>
      <w:r>
        <w:t>Additional antigens include BCMA, CD22, CD20, CD30, CD33, CD38, CD123, GD2, HER2, GPC3, EGFR, EGFRvIII, Mesothelin, Claudin18.2, ROR1, PSMA, IL13RA2, CD5, CD7, FLT3, DLL3, B7-H3, and MUC1---each with equivalent depth of characterization.</w:t>
      </w:r>
    </w:p>
    <w:p>
      <w:pPr>
        <w:pStyle w:val="Heading3"/>
      </w:pPr>
      <w:r>
        <w:t>6.4 Query Expansion System</w:t>
      </w:r>
    </w:p>
    <w:p>
      <w:r>
        <w:t>Twelve expansion dictionaries with 1,200+ keywords and 8,000+ total expansion terms enable semantic coverage beyond literal query matching: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Category</w:t>
            </w:r>
          </w:p>
        </w:tc>
        <w:tc>
          <w:tcPr>
            <w:tcW w:type="dxa" w:w="3120"/>
            <w:shd w:fill="1a1a24"/>
          </w:tcPr>
          <w:p>
            <w:pPr>
              <w:spacing w:before="40" w:after="40"/>
            </w:pPr>
            <w:r>
              <w:rPr>
                <w:b/>
                <w:color w:val="FFFFFF"/>
                <w:sz w:val="19"/>
              </w:rPr>
            </w:r>
            <w:r>
              <w:rPr>
                <w:b/>
                <w:color w:val="FFFFFF"/>
                <w:sz w:val="19"/>
              </w:rPr>
              <w:t>Keywords</w:t>
            </w:r>
          </w:p>
        </w:tc>
        <w:tc>
          <w:tcPr>
            <w:tcW w:type="dxa" w:w="3120"/>
            <w:shd w:fill="1a1a24"/>
          </w:tcPr>
          <w:p>
            <w:pPr>
              <w:spacing w:before="40" w:after="40"/>
            </w:pPr>
            <w:r>
              <w:rPr>
                <w:b/>
                <w:color w:val="FFFFFF"/>
                <w:sz w:val="19"/>
              </w:rPr>
            </w:r>
            <w:r>
              <w:rPr>
                <w:b/>
                <w:color w:val="FFFFFF"/>
                <w:sz w:val="19"/>
              </w:rPr>
              <w:t>Example</w:t>
            </w:r>
          </w:p>
        </w:tc>
      </w:tr>
      <w:tr>
        <w:tc>
          <w:tcPr>
            <w:tcW w:type="dxa" w:w="3120"/>
          </w:tcPr>
          <w:p>
            <w:pPr>
              <w:spacing w:before="40" w:after="40"/>
            </w:pPr>
            <w:r>
              <w:rPr>
                <w:sz w:val="19"/>
              </w:rPr>
            </w:r>
            <w:r>
              <w:rPr>
                <w:sz w:val="19"/>
              </w:rPr>
              <w:t>Target Antigen</w:t>
            </w:r>
          </w:p>
        </w:tc>
        <w:tc>
          <w:tcPr>
            <w:tcW w:type="dxa" w:w="3120"/>
          </w:tcPr>
          <w:p>
            <w:pPr>
              <w:spacing w:before="40" w:after="40"/>
            </w:pPr>
            <w:r>
              <w:rPr>
                <w:sz w:val="19"/>
              </w:rPr>
            </w:r>
            <w:r>
              <w:rPr>
                <w:sz w:val="19"/>
              </w:rPr>
              <w:t>25</w:t>
            </w:r>
          </w:p>
        </w:tc>
        <w:tc>
          <w:tcPr>
            <w:tcW w:type="dxa" w:w="3120"/>
          </w:tcPr>
          <w:p>
            <w:pPr>
              <w:spacing w:before="40" w:after="40"/>
            </w:pPr>
            <w:r>
              <w:rPr>
                <w:sz w:val="19"/>
              </w:rPr>
            </w:r>
            <w:r>
              <w:rPr>
                <w:sz w:val="19"/>
              </w:rPr>
              <w:t>"CD19" → [B-ALL, DLBCL, Kymriah, FMC63, ...]</w:t>
            </w:r>
          </w:p>
        </w:tc>
      </w:tr>
      <w:tr>
        <w:tc>
          <w:tcPr>
            <w:tcW w:type="dxa" w:w="3120"/>
            <w:shd w:fill="f0f4e8"/>
          </w:tcPr>
          <w:p>
            <w:pPr>
              <w:spacing w:before="40" w:after="40"/>
            </w:pPr>
            <w:r>
              <w:rPr>
                <w:sz w:val="19"/>
              </w:rPr>
            </w:r>
            <w:r>
              <w:rPr>
                <w:sz w:val="19"/>
              </w:rPr>
              <w:t>Disease</w:t>
            </w:r>
          </w:p>
        </w:tc>
        <w:tc>
          <w:tcPr>
            <w:tcW w:type="dxa" w:w="3120"/>
            <w:shd w:fill="f0f4e8"/>
          </w:tcPr>
          <w:p>
            <w:pPr>
              <w:spacing w:before="40" w:after="40"/>
            </w:pPr>
            <w:r>
              <w:rPr>
                <w:sz w:val="19"/>
              </w:rPr>
            </w:r>
            <w:r>
              <w:rPr>
                <w:sz w:val="19"/>
              </w:rPr>
              <w:t>15</w:t>
            </w:r>
          </w:p>
        </w:tc>
        <w:tc>
          <w:tcPr>
            <w:tcW w:type="dxa" w:w="3120"/>
            <w:shd w:fill="f0f4e8"/>
          </w:tcPr>
          <w:p>
            <w:pPr>
              <w:spacing w:before="40" w:after="40"/>
            </w:pPr>
            <w:r>
              <w:rPr>
                <w:sz w:val="19"/>
              </w:rPr>
            </w:r>
            <w:r>
              <w:rPr>
                <w:sz w:val="19"/>
              </w:rPr>
              <w:t>"DLBCL" → [r/r DLBCL, GCB subtype, ABC subtype, ...]</w:t>
            </w:r>
          </w:p>
        </w:tc>
      </w:tr>
      <w:tr>
        <w:tc>
          <w:tcPr>
            <w:tcW w:type="dxa" w:w="3120"/>
          </w:tcPr>
          <w:p>
            <w:pPr>
              <w:spacing w:before="40" w:after="40"/>
            </w:pPr>
            <w:r>
              <w:rPr>
                <w:sz w:val="19"/>
              </w:rPr>
            </w:r>
            <w:r>
              <w:rPr>
                <w:sz w:val="19"/>
              </w:rPr>
              <w:t>Toxicity</w:t>
            </w:r>
          </w:p>
        </w:tc>
        <w:tc>
          <w:tcPr>
            <w:tcW w:type="dxa" w:w="3120"/>
          </w:tcPr>
          <w:p>
            <w:pPr>
              <w:spacing w:before="40" w:after="40"/>
            </w:pPr>
            <w:r>
              <w:rPr>
                <w:sz w:val="19"/>
              </w:rPr>
            </w:r>
            <w:r>
              <w:rPr>
                <w:sz w:val="19"/>
              </w:rPr>
              <w:t>15</w:t>
            </w:r>
          </w:p>
        </w:tc>
        <w:tc>
          <w:tcPr>
            <w:tcW w:type="dxa" w:w="3120"/>
          </w:tcPr>
          <w:p>
            <w:pPr>
              <w:spacing w:before="40" w:after="40"/>
            </w:pPr>
            <w:r>
              <w:rPr>
                <w:sz w:val="19"/>
              </w:rPr>
            </w:r>
            <w:r>
              <w:rPr>
                <w:sz w:val="19"/>
              </w:rPr>
              <w:t>"CRS" → [tocilizumab, IL-6, ferritin, CRP, ...]</w:t>
            </w:r>
          </w:p>
        </w:tc>
      </w:tr>
      <w:tr>
        <w:tc>
          <w:tcPr>
            <w:tcW w:type="dxa" w:w="3120"/>
            <w:shd w:fill="f0f4e8"/>
          </w:tcPr>
          <w:p>
            <w:pPr>
              <w:spacing w:before="40" w:after="40"/>
            </w:pPr>
            <w:r>
              <w:rPr>
                <w:sz w:val="19"/>
              </w:rPr>
            </w:r>
            <w:r>
              <w:rPr>
                <w:sz w:val="19"/>
              </w:rPr>
              <w:t>Manufacturing</w:t>
            </w:r>
          </w:p>
        </w:tc>
        <w:tc>
          <w:tcPr>
            <w:tcW w:type="dxa" w:w="3120"/>
            <w:shd w:fill="f0f4e8"/>
          </w:tcPr>
          <w:p>
            <w:pPr>
              <w:spacing w:before="40" w:after="40"/>
            </w:pPr>
            <w:r>
              <w:rPr>
                <w:sz w:val="19"/>
              </w:rPr>
            </w:r>
            <w:r>
              <w:rPr>
                <w:sz w:val="19"/>
              </w:rPr>
              <w:t>20</w:t>
            </w:r>
          </w:p>
        </w:tc>
        <w:tc>
          <w:tcPr>
            <w:tcW w:type="dxa" w:w="3120"/>
            <w:shd w:fill="f0f4e8"/>
          </w:tcPr>
          <w:p>
            <w:pPr>
              <w:spacing w:before="40" w:after="40"/>
            </w:pPr>
            <w:r>
              <w:rPr>
                <w:sz w:val="19"/>
              </w:rPr>
            </w:r>
            <w:r>
              <w:rPr>
                <w:sz w:val="19"/>
              </w:rPr>
              <w:t>"Transduction" → [MOI, VCN, RetroNectin, ...]</w:t>
            </w:r>
          </w:p>
        </w:tc>
      </w:tr>
      <w:tr>
        <w:tc>
          <w:tcPr>
            <w:tcW w:type="dxa" w:w="3120"/>
          </w:tcPr>
          <w:p>
            <w:pPr>
              <w:spacing w:before="40" w:after="40"/>
            </w:pPr>
            <w:r>
              <w:rPr>
                <w:sz w:val="19"/>
              </w:rPr>
            </w:r>
            <w:r>
              <w:rPr>
                <w:sz w:val="19"/>
              </w:rPr>
              <w:t>Mechanism</w:t>
            </w:r>
          </w:p>
        </w:tc>
        <w:tc>
          <w:tcPr>
            <w:tcW w:type="dxa" w:w="3120"/>
          </w:tcPr>
          <w:p>
            <w:pPr>
              <w:spacing w:before="40" w:after="40"/>
            </w:pPr>
            <w:r>
              <w:rPr>
                <w:sz w:val="19"/>
              </w:rPr>
            </w:r>
            <w:r>
              <w:rPr>
                <w:sz w:val="19"/>
              </w:rPr>
              <w:t>15</w:t>
            </w:r>
          </w:p>
        </w:tc>
        <w:tc>
          <w:tcPr>
            <w:tcW w:type="dxa" w:w="3120"/>
          </w:tcPr>
          <w:p>
            <w:pPr>
              <w:spacing w:before="40" w:after="40"/>
            </w:pPr>
            <w:r>
              <w:rPr>
                <w:sz w:val="19"/>
              </w:rPr>
            </w:r>
            <w:r>
              <w:rPr>
                <w:sz w:val="19"/>
              </w:rPr>
              <w:t>"Exhaustion" → [PD-1, LAG-3, TOX, ...]</w:t>
            </w:r>
          </w:p>
        </w:tc>
      </w:tr>
      <w:tr>
        <w:tc>
          <w:tcPr>
            <w:tcW w:type="dxa" w:w="3120"/>
            <w:shd w:fill="f0f4e8"/>
          </w:tcPr>
          <w:p>
            <w:pPr>
              <w:spacing w:before="40" w:after="40"/>
            </w:pPr>
            <w:r>
              <w:rPr>
                <w:sz w:val="19"/>
              </w:rPr>
            </w:r>
            <w:r>
              <w:rPr>
                <w:sz w:val="19"/>
              </w:rPr>
              <w:t>Construct</w:t>
            </w:r>
          </w:p>
        </w:tc>
        <w:tc>
          <w:tcPr>
            <w:tcW w:type="dxa" w:w="3120"/>
            <w:shd w:fill="f0f4e8"/>
          </w:tcPr>
          <w:p>
            <w:pPr>
              <w:spacing w:before="40" w:after="40"/>
            </w:pPr>
            <w:r>
              <w:rPr>
                <w:sz w:val="19"/>
              </w:rPr>
            </w:r>
            <w:r>
              <w:rPr>
                <w:sz w:val="19"/>
              </w:rPr>
              <w:t>20</w:t>
            </w:r>
          </w:p>
        </w:tc>
        <w:tc>
          <w:tcPr>
            <w:tcW w:type="dxa" w:w="3120"/>
            <w:shd w:fill="f0f4e8"/>
          </w:tcPr>
          <w:p>
            <w:pPr>
              <w:spacing w:before="40" w:after="40"/>
            </w:pPr>
            <w:r>
              <w:rPr>
                <w:sz w:val="19"/>
              </w:rPr>
            </w:r>
            <w:r>
              <w:rPr>
                <w:sz w:val="19"/>
              </w:rPr>
              <w:t>"Bispecific" → [CD19/CD22, tandem, OR-gate, ...]</w:t>
            </w:r>
          </w:p>
        </w:tc>
      </w:tr>
      <w:tr>
        <w:tc>
          <w:tcPr>
            <w:tcW w:type="dxa" w:w="3120"/>
          </w:tcPr>
          <w:p>
            <w:pPr>
              <w:spacing w:before="40" w:after="40"/>
            </w:pPr>
            <w:r>
              <w:rPr>
                <w:sz w:val="19"/>
              </w:rPr>
            </w:r>
            <w:r>
              <w:rPr>
                <w:sz w:val="19"/>
              </w:rPr>
              <w:t>Safety</w:t>
            </w:r>
          </w:p>
        </w:tc>
        <w:tc>
          <w:tcPr>
            <w:tcW w:type="dxa" w:w="3120"/>
          </w:tcPr>
          <w:p>
            <w:pPr>
              <w:spacing w:before="40" w:after="40"/>
            </w:pPr>
            <w:r>
              <w:rPr>
                <w:sz w:val="19"/>
              </w:rPr>
            </w:r>
            <w:r>
              <w:rPr>
                <w:sz w:val="19"/>
              </w:rPr>
              <w:t>8</w:t>
            </w:r>
          </w:p>
        </w:tc>
        <w:tc>
          <w:tcPr>
            <w:tcW w:type="dxa" w:w="3120"/>
          </w:tcPr>
          <w:p>
            <w:pPr>
              <w:spacing w:before="40" w:after="40"/>
            </w:pPr>
            <w:r>
              <w:rPr>
                <w:sz w:val="19"/>
              </w:rPr>
            </w:r>
            <w:r>
              <w:rPr>
                <w:sz w:val="19"/>
              </w:rPr>
              <w:t>"Cardiac" → [cardiomyopathy, troponin, ...]</w:t>
            </w:r>
          </w:p>
        </w:tc>
      </w:tr>
      <w:tr>
        <w:tc>
          <w:tcPr>
            <w:tcW w:type="dxa" w:w="3120"/>
            <w:shd w:fill="f0f4e8"/>
          </w:tcPr>
          <w:p>
            <w:pPr>
              <w:spacing w:before="40" w:after="40"/>
            </w:pPr>
            <w:r>
              <w:rPr>
                <w:sz w:val="19"/>
              </w:rPr>
            </w:r>
            <w:r>
              <w:rPr>
                <w:sz w:val="19"/>
              </w:rPr>
              <w:t>Biomarker</w:t>
            </w:r>
          </w:p>
        </w:tc>
        <w:tc>
          <w:tcPr>
            <w:tcW w:type="dxa" w:w="3120"/>
            <w:shd w:fill="f0f4e8"/>
          </w:tcPr>
          <w:p>
            <w:pPr>
              <w:spacing w:before="40" w:after="40"/>
            </w:pPr>
            <w:r>
              <w:rPr>
                <w:sz w:val="19"/>
              </w:rPr>
            </w:r>
            <w:r>
              <w:rPr>
                <w:sz w:val="19"/>
              </w:rPr>
              <w:t>10</w:t>
            </w:r>
          </w:p>
        </w:tc>
        <w:tc>
          <w:tcPr>
            <w:tcW w:type="dxa" w:w="3120"/>
            <w:shd w:fill="f0f4e8"/>
          </w:tcPr>
          <w:p>
            <w:pPr>
              <w:spacing w:before="40" w:after="40"/>
            </w:pPr>
            <w:r>
              <w:rPr>
                <w:sz w:val="19"/>
              </w:rPr>
            </w:r>
            <w:r>
              <w:rPr>
                <w:sz w:val="19"/>
              </w:rPr>
              <w:t>"Ferritin" → [serum ferritin, CRS prediction, ...]</w:t>
            </w:r>
          </w:p>
        </w:tc>
      </w:tr>
      <w:tr>
        <w:tc>
          <w:tcPr>
            <w:tcW w:type="dxa" w:w="3120"/>
          </w:tcPr>
          <w:p>
            <w:pPr>
              <w:spacing w:before="40" w:after="40"/>
            </w:pPr>
            <w:r>
              <w:rPr>
                <w:sz w:val="19"/>
              </w:rPr>
            </w:r>
            <w:r>
              <w:rPr>
                <w:sz w:val="19"/>
              </w:rPr>
              <w:t>Regulatory</w:t>
            </w:r>
          </w:p>
        </w:tc>
        <w:tc>
          <w:tcPr>
            <w:tcW w:type="dxa" w:w="3120"/>
          </w:tcPr>
          <w:p>
            <w:pPr>
              <w:spacing w:before="40" w:after="40"/>
            </w:pPr>
            <w:r>
              <w:rPr>
                <w:sz w:val="19"/>
              </w:rPr>
            </w:r>
            <w:r>
              <w:rPr>
                <w:sz w:val="19"/>
              </w:rPr>
              <w:t>8</w:t>
            </w:r>
          </w:p>
        </w:tc>
        <w:tc>
          <w:tcPr>
            <w:tcW w:type="dxa" w:w="3120"/>
          </w:tcPr>
          <w:p>
            <w:pPr>
              <w:spacing w:before="40" w:after="40"/>
            </w:pPr>
            <w:r>
              <w:rPr>
                <w:sz w:val="19"/>
              </w:rPr>
            </w:r>
            <w:r>
              <w:rPr>
                <w:sz w:val="19"/>
              </w:rPr>
              <w:t>"BLA" → [biologics license, NDA, ...]</w:t>
            </w:r>
          </w:p>
        </w:tc>
      </w:tr>
      <w:tr>
        <w:tc>
          <w:tcPr>
            <w:tcW w:type="dxa" w:w="3120"/>
            <w:shd w:fill="f0f4e8"/>
          </w:tcPr>
          <w:p>
            <w:pPr>
              <w:spacing w:before="40" w:after="40"/>
            </w:pPr>
            <w:r>
              <w:rPr>
                <w:sz w:val="19"/>
              </w:rPr>
            </w:r>
            <w:r>
              <w:rPr>
                <w:sz w:val="19"/>
              </w:rPr>
              <w:t>Sequence</w:t>
            </w:r>
          </w:p>
        </w:tc>
        <w:tc>
          <w:tcPr>
            <w:tcW w:type="dxa" w:w="3120"/>
            <w:shd w:fill="f0f4e8"/>
          </w:tcPr>
          <w:p>
            <w:pPr>
              <w:spacing w:before="40" w:after="40"/>
            </w:pPr>
            <w:r>
              <w:rPr>
                <w:sz w:val="19"/>
              </w:rPr>
            </w:r>
            <w:r>
              <w:rPr>
                <w:sz w:val="19"/>
              </w:rPr>
              <w:t>8</w:t>
            </w:r>
          </w:p>
        </w:tc>
        <w:tc>
          <w:tcPr>
            <w:tcW w:type="dxa" w:w="3120"/>
            <w:shd w:fill="f0f4e8"/>
          </w:tcPr>
          <w:p>
            <w:pPr>
              <w:spacing w:before="40" w:after="40"/>
            </w:pPr>
            <w:r>
              <w:rPr>
                <w:sz w:val="19"/>
              </w:rPr>
            </w:r>
            <w:r>
              <w:rPr>
                <w:sz w:val="19"/>
              </w:rPr>
              <w:t>"CDR" → [hypervariable region, CDR3, paratope, ...]</w:t>
            </w:r>
          </w:p>
        </w:tc>
      </w:tr>
      <w:tr>
        <w:tc>
          <w:tcPr>
            <w:tcW w:type="dxa" w:w="3120"/>
          </w:tcPr>
          <w:p>
            <w:pPr>
              <w:spacing w:before="40" w:after="40"/>
            </w:pPr>
            <w:r>
              <w:rPr>
                <w:sz w:val="19"/>
              </w:rPr>
            </w:r>
            <w:r>
              <w:rPr>
                <w:sz w:val="19"/>
              </w:rPr>
              <w:t>RealWorld</w:t>
            </w:r>
          </w:p>
        </w:tc>
        <w:tc>
          <w:tcPr>
            <w:tcW w:type="dxa" w:w="3120"/>
          </w:tcPr>
          <w:p>
            <w:pPr>
              <w:spacing w:before="40" w:after="40"/>
            </w:pPr>
            <w:r>
              <w:rPr>
                <w:sz w:val="19"/>
              </w:rPr>
            </w:r>
            <w:r>
              <w:rPr>
                <w:sz w:val="19"/>
              </w:rPr>
              <w:t>10</w:t>
            </w:r>
          </w:p>
        </w:tc>
        <w:tc>
          <w:tcPr>
            <w:tcW w:type="dxa" w:w="3120"/>
          </w:tcPr>
          <w:p>
            <w:pPr>
              <w:spacing w:before="40" w:after="40"/>
            </w:pPr>
            <w:r>
              <w:rPr>
                <w:sz w:val="19"/>
              </w:rPr>
            </w:r>
            <w:r>
              <w:rPr>
                <w:sz w:val="19"/>
              </w:rPr>
              <w:t>"Registry" → [CIBMTR, EBMT, DESCAR-T, ...]</w:t>
            </w:r>
          </w:p>
        </w:tc>
      </w:tr>
      <w:tr>
        <w:tc>
          <w:tcPr>
            <w:tcW w:type="dxa" w:w="3120"/>
            <w:shd w:fill="f0f4e8"/>
          </w:tcPr>
          <w:p>
            <w:pPr>
              <w:spacing w:before="40" w:after="40"/>
            </w:pPr>
            <w:r>
              <w:rPr>
                <w:sz w:val="19"/>
              </w:rPr>
            </w:r>
            <w:r>
              <w:rPr>
                <w:sz w:val="19"/>
              </w:rPr>
              <w:t>Immunogenicity</w:t>
            </w:r>
          </w:p>
        </w:tc>
        <w:tc>
          <w:tcPr>
            <w:tcW w:type="dxa" w:w="3120"/>
            <w:shd w:fill="f0f4e8"/>
          </w:tcPr>
          <w:p>
            <w:pPr>
              <w:spacing w:before="40" w:after="40"/>
            </w:pPr>
            <w:r>
              <w:rPr>
                <w:sz w:val="19"/>
              </w:rPr>
            </w:r>
            <w:r>
              <w:rPr>
                <w:sz w:val="19"/>
              </w:rPr>
              <w:t>11</w:t>
            </w:r>
          </w:p>
        </w:tc>
        <w:tc>
          <w:tcPr>
            <w:tcW w:type="dxa" w:w="3120"/>
            <w:shd w:fill="f0f4e8"/>
          </w:tcPr>
          <w:p>
            <w:pPr>
              <w:spacing w:before="40" w:after="40"/>
            </w:pPr>
            <w:r>
              <w:rPr>
                <w:sz w:val="19"/>
              </w:rPr>
            </w:r>
            <w:r>
              <w:rPr>
                <w:sz w:val="19"/>
              </w:rPr>
              <w:t>"HLA" → [MHC, epitope, ...]</w:t>
            </w:r>
          </w:p>
        </w:tc>
      </w:tr>
    </w:tbl>
    <w:p/>
    <w:p>
      <w:r>
        <w:t>The expansion strategy operates in two modes: antigen-detected terms become Milvus field filters on target_antigen-capable collections, while non-antigen terms are re-embedded for semantic search with a 0.7-0.8 score discount factor. A maximum of 5 expansion terms are processed per query.</w:t>
      </w:r>
    </w:p>
    <w:p>
      <w:pPr>
        <w:pStyle w:val="Heading3"/>
      </w:pPr>
      <w:r>
        <w:t>6.5 Agent Reasoning Loop</w:t>
      </w:r>
    </w:p>
    <w:p>
      <w:r>
        <w:t>The CARTIntelligenceAgent implements a multi-step reasoning pipeline:</w:t>
      </w:r>
    </w:p>
    <w:p>
      <w:pPr>
        <w:pStyle w:val="ListNumber"/>
      </w:pPr>
      <w:r>
        <w:rPr>
          <w:b/>
        </w:rPr>
        <w:t>Search Planning</w:t>
      </w:r>
      <w:r>
        <w:t xml:space="preserve"> (</w:t>
      </w:r>
      <w:r>
        <w:rPr>
          <w:rFonts w:ascii="Consolas" w:hAnsi="Consolas"/>
          <w:color w:val="1A6B1A"/>
          <w:sz w:val="19"/>
        </w:rPr>
        <w:t>search_plan</w:t>
      </w:r>
      <w:r>
        <w:t>): Analyzes the query to identify target antigens (from 25 known), map to CAR-T development stages (TARGET</w:t>
      </w:r>
      <w:r>
        <w:rPr>
          <w:i/>
        </w:rPr>
        <w:t>ID, CAR</w:t>
      </w:r>
      <w:r>
        <w:t>DESIGN, VECTOR_ENG, TESTING, CLINICAL), and determine search strategy (broad, targeted, or comparative).</w:t>
      </w:r>
    </w:p>
    <w:p>
      <w:pPr>
        <w:pStyle w:val="ListNumber"/>
      </w:pPr>
      <w:r>
        <w:rPr>
          <w:b/>
        </w:rPr>
        <w:t>Evidence Retrieval</w:t>
      </w:r>
      <w:r>
        <w:t xml:space="preserve"> (</w:t>
      </w:r>
      <w:r>
        <w:rPr>
          <w:rFonts w:ascii="Consolas" w:hAnsi="Consolas"/>
          <w:color w:val="1A6B1A"/>
          <w:sz w:val="19"/>
        </w:rPr>
        <w:t>retrieve</w:t>
      </w:r>
      <w:r>
        <w:t>): Executes parallel multi-collection search via ThreadPoolExecutor, applies query expansion, merges and deduplicates results (capped at 30), and augments with full knowledge graph context.</w:t>
      </w:r>
    </w:p>
    <w:p>
      <w:pPr>
        <w:pStyle w:val="ListNumber"/>
      </w:pPr>
      <w:r>
        <w:rPr>
          <w:b/>
        </w:rPr>
        <w:t>Evidence Evaluation</w:t>
      </w:r>
      <w:r>
        <w:t>: Classifies retrieved evidence quality:</w:t>
      </w:r>
    </w:p>
    <w:p>
      <w:pPr>
        <w:pStyle w:val="ListBullet"/>
      </w:pPr>
      <w:r>
        <w:rPr>
          <w:b/>
        </w:rPr>
        <w:t>Sufficient</w:t>
      </w:r>
      <w:r>
        <w:t>: &gt;=3 collections represented + &gt;=10 total hits</w:t>
      </w:r>
    </w:p>
    <w:p>
      <w:pPr>
        <w:pStyle w:val="ListBullet"/>
      </w:pPr>
      <w:r>
        <w:rPr>
          <w:b/>
        </w:rPr>
        <w:t>Partial</w:t>
      </w:r>
      <w:r>
        <w:t>: &gt;=2 collections + &gt;=5 hits</w:t>
      </w:r>
    </w:p>
    <w:p>
      <w:pPr>
        <w:pStyle w:val="ListBullet"/>
      </w:pPr>
      <w:r>
        <w:rPr>
          <w:b/>
        </w:rPr>
        <w:t>Insufficient</w:t>
      </w:r>
      <w:r>
        <w:t>: below thresholds</w:t>
      </w:r>
    </w:p>
    <w:p>
      <w:pPr>
        <w:pStyle w:val="ListNumber"/>
      </w:pPr>
      <w:r>
        <w:rPr>
          <w:b/>
        </w:rPr>
        <w:t>Adaptive Expansion</w:t>
      </w:r>
      <w:r>
        <w:t>: When evidence is insufficient, the agent decomposes the query into sub-questions, retrieves evidence for each, and extends the hit pool.</w:t>
      </w:r>
    </w:p>
    <w:p>
      <w:pPr>
        <w:pStyle w:val="ListNumber"/>
      </w:pPr>
      <w:r>
        <w:rPr>
          <w:b/>
        </w:rPr>
        <w:t>Comparative Analysis</w:t>
      </w:r>
      <w:r>
        <w:t>: Queries containing "vs" or "versus" trigger dual-entity retrieval, producing separate evidence panels with a structured comparison prompt.</w:t>
      </w:r>
    </w:p>
    <w:p>
      <w:pPr>
        <w:pStyle w:val="Heading3"/>
      </w:pPr>
      <w:r>
        <w:t>6.6 Citation and Relevance System</w:t>
      </w:r>
    </w:p>
    <w:p>
      <w:r>
        <w:t>Evidence citations are classified into three tiers based on raw cosine similarity scores: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Tier</w:t>
            </w:r>
          </w:p>
        </w:tc>
        <w:tc>
          <w:tcPr>
            <w:tcW w:type="dxa" w:w="3120"/>
            <w:shd w:fill="1a1a24"/>
          </w:tcPr>
          <w:p>
            <w:pPr>
              <w:spacing w:before="40" w:after="40"/>
            </w:pPr>
            <w:r>
              <w:rPr>
                <w:b/>
                <w:color w:val="FFFFFF"/>
                <w:sz w:val="19"/>
              </w:rPr>
            </w:r>
            <w:r>
              <w:rPr>
                <w:b/>
                <w:color w:val="FFFFFF"/>
                <w:sz w:val="19"/>
              </w:rPr>
              <w:t>Score Threshold</w:t>
            </w:r>
          </w:p>
        </w:tc>
        <w:tc>
          <w:tcPr>
            <w:tcW w:type="dxa" w:w="3120"/>
            <w:shd w:fill="1a1a24"/>
          </w:tcPr>
          <w:p>
            <w:pPr>
              <w:spacing w:before="40" w:after="40"/>
            </w:pPr>
            <w:r>
              <w:rPr>
                <w:b/>
                <w:color w:val="FFFFFF"/>
                <w:sz w:val="19"/>
              </w:rPr>
            </w:r>
            <w:r>
              <w:rPr>
                <w:b/>
                <w:color w:val="FFFFFF"/>
                <w:sz w:val="19"/>
              </w:rPr>
              <w:t>Display</w:t>
            </w:r>
          </w:p>
        </w:tc>
      </w:tr>
      <w:tr>
        <w:tc>
          <w:tcPr>
            <w:tcW w:type="dxa" w:w="3120"/>
          </w:tcPr>
          <w:p>
            <w:pPr>
              <w:spacing w:before="40" w:after="40"/>
            </w:pPr>
            <w:r>
              <w:rPr>
                <w:sz w:val="19"/>
              </w:rPr>
            </w:r>
            <w:r>
              <w:rPr>
                <w:sz w:val="19"/>
              </w:rPr>
              <w:t>HIGH</w:t>
            </w:r>
          </w:p>
        </w:tc>
        <w:tc>
          <w:tcPr>
            <w:tcW w:type="dxa" w:w="3120"/>
          </w:tcPr>
          <w:p>
            <w:pPr>
              <w:spacing w:before="40" w:after="40"/>
            </w:pPr>
            <w:r>
              <w:rPr>
                <w:sz w:val="19"/>
              </w:rPr>
            </w:r>
            <w:r>
              <w:rPr>
                <w:sz w:val="19"/>
              </w:rPr>
              <w:t>&gt;= 0.7</w:t>
            </w:r>
          </w:p>
        </w:tc>
        <w:tc>
          <w:tcPr>
            <w:tcW w:type="dxa" w:w="3120"/>
          </w:tcPr>
          <w:p>
            <w:pPr>
              <w:spacing w:before="40" w:after="40"/>
            </w:pPr>
            <w:r>
              <w:rPr>
                <w:sz w:val="19"/>
              </w:rPr>
            </w:r>
            <w:r>
              <w:rPr>
                <w:sz w:val="19"/>
              </w:rPr>
              <w:t>Green badge, prioritized</w:t>
            </w:r>
          </w:p>
        </w:tc>
      </w:tr>
      <w:tr>
        <w:tc>
          <w:tcPr>
            <w:tcW w:type="dxa" w:w="3120"/>
            <w:shd w:fill="f0f4e8"/>
          </w:tcPr>
          <w:p>
            <w:pPr>
              <w:spacing w:before="40" w:after="40"/>
            </w:pPr>
            <w:r>
              <w:rPr>
                <w:sz w:val="19"/>
              </w:rPr>
            </w:r>
            <w:r>
              <w:rPr>
                <w:sz w:val="19"/>
              </w:rPr>
              <w:t>MEDIUM</w:t>
            </w:r>
          </w:p>
        </w:tc>
        <w:tc>
          <w:tcPr>
            <w:tcW w:type="dxa" w:w="3120"/>
            <w:shd w:fill="f0f4e8"/>
          </w:tcPr>
          <w:p>
            <w:pPr>
              <w:spacing w:before="40" w:after="40"/>
            </w:pPr>
            <w:r>
              <w:rPr>
                <w:sz w:val="19"/>
              </w:rPr>
            </w:r>
            <w:r>
              <w:rPr>
                <w:sz w:val="19"/>
              </w:rPr>
              <w:t>&gt;= 0.5</w:t>
            </w:r>
          </w:p>
        </w:tc>
        <w:tc>
          <w:tcPr>
            <w:tcW w:type="dxa" w:w="3120"/>
            <w:shd w:fill="f0f4e8"/>
          </w:tcPr>
          <w:p>
            <w:pPr>
              <w:spacing w:before="40" w:after="40"/>
            </w:pPr>
            <w:r>
              <w:rPr>
                <w:sz w:val="19"/>
              </w:rPr>
            </w:r>
            <w:r>
              <w:rPr>
                <w:sz w:val="19"/>
              </w:rPr>
              <w:t>Orange badge</w:t>
            </w:r>
          </w:p>
        </w:tc>
      </w:tr>
      <w:tr>
        <w:tc>
          <w:tcPr>
            <w:tcW w:type="dxa" w:w="3120"/>
          </w:tcPr>
          <w:p>
            <w:pPr>
              <w:spacing w:before="40" w:after="40"/>
            </w:pPr>
            <w:r>
              <w:rPr>
                <w:sz w:val="19"/>
              </w:rPr>
            </w:r>
            <w:r>
              <w:rPr>
                <w:sz w:val="19"/>
              </w:rPr>
              <w:t>LOW</w:t>
            </w:r>
          </w:p>
        </w:tc>
        <w:tc>
          <w:tcPr>
            <w:tcW w:type="dxa" w:w="3120"/>
          </w:tcPr>
          <w:p>
            <w:pPr>
              <w:spacing w:before="40" w:after="40"/>
            </w:pPr>
            <w:r>
              <w:rPr>
                <w:sz w:val="19"/>
              </w:rPr>
            </w:r>
            <w:r>
              <w:rPr>
                <w:sz w:val="19"/>
              </w:rPr>
              <w:t>&lt; 0.5</w:t>
            </w:r>
          </w:p>
        </w:tc>
        <w:tc>
          <w:tcPr>
            <w:tcW w:type="dxa" w:w="3120"/>
          </w:tcPr>
          <w:p>
            <w:pPr>
              <w:spacing w:before="40" w:after="40"/>
            </w:pPr>
            <w:r>
              <w:rPr>
                <w:sz w:val="19"/>
              </w:rPr>
            </w:r>
            <w:r>
              <w:rPr>
                <w:sz w:val="19"/>
              </w:rPr>
              <w:t>Red badge</w:t>
            </w:r>
          </w:p>
        </w:tc>
      </w:tr>
    </w:tbl>
    <w:p/>
    <w:p>
      <w:r>
        <w:t>Citations include clickable links to PubMed (PMID-based) and ClinicalTrials.gov (NCT number-based) for primary source verification.</w:t>
      </w:r>
    </w:p>
    <w:p>
      <w:pPr>
        <w:pStyle w:val="Heading3"/>
      </w:pPr>
      <w:r>
        <w:t>6.7 Streamlit User Interface</w:t>
      </w:r>
    </w:p>
    <w:p>
      <w:r>
        <w:t>The CAR-T Agent UI (port 8521) provides three main tabs:</w:t>
      </w:r>
    </w:p>
    <w:p>
      <w:r>
        <w:rPr>
          <w:b/>
        </w:rPr>
        <w:t>Chat Interface</w:t>
      </w:r>
      <w:r>
        <w:t>: Supports both Quick RAG and Deep Research modes. Sidebar controls include target antigen filter (15 options + "All Targets"), development stage filter, date range sliders (2010-2030), collection selection with live record counts, and 13 pre-written demo queries.</w:t>
      </w:r>
    </w:p>
    <w:p>
      <w:r>
        <w:rPr>
          <w:b/>
        </w:rPr>
        <w:t>Knowledge Graph Explorer</w:t>
      </w:r>
      <w:r>
        <w:t>: Interactive visualization of target, toxicity, manufacturing, biomarker, and regulatory knowledge using pyvis (with text-based fallback). Includes cross-collection entity search.</w:t>
      </w:r>
    </w:p>
    <w:p>
      <w:pPr>
        <w:jc w:val="center"/>
      </w:pPr>
      <w:r>
        <w:rPr>
          <w:b/>
        </w:rPr>
        <w:t>Image Analysis</w:t>
      </w:r>
      <w:r>
        <w:t>: Upload CAR-T-related figures (PNG, JPG, PDF) for Claude Vision extraction, claims parsing, and evidence verification against the 11 collections.</w:t>
      </w:r>
    </w:p>
    <w:p>
      <w:pPr>
        <w:pStyle w:val="Heading3"/>
      </w:pPr>
      <w:r>
        <w:t>6.8 Export Engine</w:t>
      </w:r>
    </w:p>
    <w:p>
      <w:r>
        <w:t>The agent produces three export formats:</w:t>
      </w:r>
    </w:p>
    <w:p>
      <w:pPr>
        <w:pStyle w:val="ListBullet"/>
      </w:pPr>
      <w:r>
        <w:rPr>
          <w:b/>
        </w:rPr>
        <w:t>Markdown</w:t>
      </w:r>
      <w:r>
        <w:t>: Structured report with collection-specific evidence tables</w:t>
      </w:r>
    </w:p>
    <w:p>
      <w:pPr>
        <w:pStyle w:val="ListBullet"/>
      </w:pPr>
      <w:r>
        <w:rPr>
          <w:b/>
        </w:rPr>
        <w:t>JSON</w:t>
      </w:r>
      <w:r>
        <w:t>: Pydantic-serialized data with full metadata</w:t>
      </w:r>
    </w:p>
    <w:p>
      <w:pPr>
        <w:pStyle w:val="ListBullet"/>
      </w:pPr>
      <w:r>
        <w:rPr>
          <w:b/>
        </w:rPr>
        <w:t>PDF</w:t>
      </w:r>
      <w:r>
        <w:t>: Branded report using reportlab Platypus with NVIDIA-themed dark headers (#1B1B2F), green accent strips (#76B900), collection-specific accent colors (11 distinct colors), proper markdown-to-flowable conversion, clickable citation links, and page numbers with branded footers</w:t>
      </w:r>
    </w:p>
    <w:p>
      <w:pPr>
        <w:spacing w:before="120" w:after="120"/>
        <w:pBdr>
          <w:bottom w:val="single" w:sz="4" w:space="1" w:color="76B900"/>
        </w:pBdr>
      </w:pPr>
    </w:p>
    <w:p>
      <w:r>
        <w:br w:type="page"/>
      </w:r>
    </w:p>
    <w:p>
      <w:pPr>
        <w:pStyle w:val="Heading2"/>
      </w:pPr>
      <w:r>
        <w:t>7. Stage 4: AI-Driven Drug Discovery</w:t>
      </w:r>
    </w:p>
    <w:p>
      <w:pPr>
        <w:pStyle w:val="Heading3"/>
      </w:pPr>
      <w:r>
        <w:t>7.1 Overview</w:t>
      </w:r>
    </w:p>
    <w:p>
      <w:r>
        <w:t>The drug discovery pipeline implements a 10-stage workflow that transforms a validated therapeutic target into ranked drug candidates in 8-16 minutes. The pipeline uses NVIDIA BioNeMo NIM microservices for molecule generation (MolMIM) and protein-ligand docking (DiffDock), with RDKit for chemistry quality control and composite scoring.</w:t>
      </w:r>
    </w:p>
    <w:p>
      <w:pPr>
        <w:pStyle w:val="Heading3"/>
      </w:pPr>
      <w:r>
        <w:t>7.2 Ten-Stage Pipeline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Stage</w:t>
            </w:r>
          </w:p>
        </w:tc>
        <w:tc>
          <w:tcPr>
            <w:tcW w:type="dxa" w:w="3120"/>
            <w:shd w:fill="1a1a24"/>
          </w:tcPr>
          <w:p>
            <w:pPr>
              <w:spacing w:before="40" w:after="40"/>
            </w:pPr>
            <w:r>
              <w:rPr>
                <w:b/>
                <w:color w:val="FFFFFF"/>
                <w:sz w:val="19"/>
              </w:rPr>
            </w:r>
            <w:r>
              <w:rPr>
                <w:b/>
                <w:color w:val="FFFFFF"/>
                <w:sz w:val="19"/>
              </w:rPr>
              <w:t>Operation</w:t>
            </w:r>
          </w:p>
        </w:tc>
        <w:tc>
          <w:tcPr>
            <w:tcW w:type="dxa" w:w="3120"/>
            <w:shd w:fill="1a1a24"/>
          </w:tcPr>
          <w:p>
            <w:pPr>
              <w:spacing w:before="40" w:after="40"/>
            </w:pPr>
            <w:r>
              <w:rPr>
                <w:b/>
                <w:color w:val="FFFFFF"/>
                <w:sz w:val="19"/>
              </w:rPr>
            </w:r>
            <w:r>
              <w:rPr>
                <w:b/>
                <w:color w:val="FFFFFF"/>
                <w:sz w:val="19"/>
              </w:rPr>
              <w:t>Duration</w:t>
            </w:r>
          </w:p>
        </w:tc>
      </w:tr>
      <w:tr>
        <w:tc>
          <w:tcPr>
            <w:tcW w:type="dxa" w:w="3120"/>
          </w:tcPr>
          <w:p>
            <w:pPr>
              <w:spacing w:before="40" w:after="40"/>
            </w:pPr>
            <w:r>
              <w:rPr>
                <w:sz w:val="19"/>
              </w:rPr>
            </w:r>
            <w:r>
              <w:rPr>
                <w:sz w:val="19"/>
              </w:rPr>
              <w:t>0</w:t>
            </w:r>
          </w:p>
        </w:tc>
        <w:tc>
          <w:tcPr>
            <w:tcW w:type="dxa" w:w="3120"/>
          </w:tcPr>
          <w:p>
            <w:pPr>
              <w:spacing w:before="40" w:after="40"/>
            </w:pPr>
            <w:r>
              <w:rPr>
                <w:sz w:val="19"/>
              </w:rPr>
            </w:r>
            <w:r>
              <w:rPr>
                <w:sz w:val="19"/>
              </w:rPr>
              <w:t>Initialize: Load config, create target, check NIM health</w:t>
            </w:r>
          </w:p>
        </w:tc>
        <w:tc>
          <w:tcPr>
            <w:tcW w:type="dxa" w:w="3120"/>
          </w:tcPr>
          <w:p>
            <w:pPr>
              <w:spacing w:before="40" w:after="40"/>
            </w:pPr>
            <w:r>
              <w:rPr>
                <w:sz w:val="19"/>
              </w:rPr>
            </w:r>
            <w:r>
              <w:rPr>
                <w:sz w:val="19"/>
              </w:rPr>
              <w:t>&lt;1 min</w:t>
            </w:r>
          </w:p>
        </w:tc>
      </w:tr>
      <w:tr>
        <w:tc>
          <w:tcPr>
            <w:tcW w:type="dxa" w:w="3120"/>
            <w:shd w:fill="f0f4e8"/>
          </w:tcPr>
          <w:p>
            <w:pPr>
              <w:spacing w:before="40" w:after="40"/>
            </w:pPr>
            <w:r>
              <w:rPr>
                <w:sz w:val="19"/>
              </w:rPr>
            </w:r>
            <w:r>
              <w:rPr>
                <w:sz w:val="19"/>
              </w:rPr>
              <w:t>1</w:t>
            </w:r>
          </w:p>
        </w:tc>
        <w:tc>
          <w:tcPr>
            <w:tcW w:type="dxa" w:w="3120"/>
            <w:shd w:fill="f0f4e8"/>
          </w:tcPr>
          <w:p>
            <w:pPr>
              <w:spacing w:before="40" w:after="40"/>
            </w:pPr>
            <w:r>
              <w:rPr>
                <w:sz w:val="19"/>
              </w:rPr>
            </w:r>
            <w:r>
              <w:rPr>
                <w:sz w:val="19"/>
              </w:rPr>
              <w:t>Normalize Target: Validate gene, enrich hypothesis</w:t>
            </w:r>
          </w:p>
        </w:tc>
        <w:tc>
          <w:tcPr>
            <w:tcW w:type="dxa" w:w="3120"/>
            <w:shd w:fill="f0f4e8"/>
          </w:tcPr>
          <w:p>
            <w:pPr>
              <w:spacing w:before="40" w:after="40"/>
            </w:pPr>
            <w:r>
              <w:rPr>
                <w:sz w:val="19"/>
              </w:rPr>
            </w:r>
            <w:r>
              <w:rPr>
                <w:sz w:val="19"/>
              </w:rPr>
              <w:t>&lt;1 min</w:t>
            </w:r>
          </w:p>
        </w:tc>
      </w:tr>
      <w:tr>
        <w:tc>
          <w:tcPr>
            <w:tcW w:type="dxa" w:w="3120"/>
          </w:tcPr>
          <w:p>
            <w:pPr>
              <w:spacing w:before="40" w:after="40"/>
            </w:pPr>
            <w:r>
              <w:rPr>
                <w:sz w:val="19"/>
              </w:rPr>
            </w:r>
            <w:r>
              <w:rPr>
                <w:sz w:val="19"/>
              </w:rPr>
              <w:t>2</w:t>
            </w:r>
          </w:p>
        </w:tc>
        <w:tc>
          <w:tcPr>
            <w:tcW w:type="dxa" w:w="3120"/>
          </w:tcPr>
          <w:p>
            <w:pPr>
              <w:spacing w:before="40" w:after="40"/>
            </w:pPr>
            <w:r>
              <w:rPr>
                <w:sz w:val="19"/>
              </w:rPr>
            </w:r>
            <w:r>
              <w:rPr>
                <w:sz w:val="19"/>
              </w:rPr>
              <w:t>Structure Discovery: Load PDB IDs, fetch from RCSB, select best</w:t>
            </w:r>
          </w:p>
        </w:tc>
        <w:tc>
          <w:tcPr>
            <w:tcW w:type="dxa" w:w="3120"/>
          </w:tcPr>
          <w:p>
            <w:pPr>
              <w:spacing w:before="40" w:after="40"/>
            </w:pPr>
            <w:r>
              <w:rPr>
                <w:sz w:val="19"/>
              </w:rPr>
            </w:r>
            <w:r>
              <w:rPr>
                <w:sz w:val="19"/>
              </w:rPr>
              <w:t>&lt;1 min</w:t>
            </w:r>
          </w:p>
        </w:tc>
      </w:tr>
      <w:tr>
        <w:tc>
          <w:tcPr>
            <w:tcW w:type="dxa" w:w="3120"/>
            <w:shd w:fill="f0f4e8"/>
          </w:tcPr>
          <w:p>
            <w:pPr>
              <w:spacing w:before="40" w:after="40"/>
            </w:pPr>
            <w:r>
              <w:rPr>
                <w:sz w:val="19"/>
              </w:rPr>
            </w:r>
            <w:r>
              <w:rPr>
                <w:sz w:val="19"/>
              </w:rPr>
              <w:t>3</w:t>
            </w:r>
          </w:p>
        </w:tc>
        <w:tc>
          <w:tcPr>
            <w:tcW w:type="dxa" w:w="3120"/>
            <w:shd w:fill="f0f4e8"/>
          </w:tcPr>
          <w:p>
            <w:pPr>
              <w:spacing w:before="40" w:after="40"/>
            </w:pPr>
            <w:r>
              <w:rPr>
                <w:sz w:val="19"/>
              </w:rPr>
            </w:r>
            <w:r>
              <w:rPr>
                <w:sz w:val="19"/>
              </w:rPr>
              <w:t>Structure Prep: Remove water/ions, add hydrogens, identify binding site</w:t>
            </w:r>
          </w:p>
        </w:tc>
        <w:tc>
          <w:tcPr>
            <w:tcW w:type="dxa" w:w="3120"/>
            <w:shd w:fill="f0f4e8"/>
          </w:tcPr>
          <w:p>
            <w:pPr>
              <w:spacing w:before="40" w:after="40"/>
            </w:pPr>
            <w:r>
              <w:rPr>
                <w:sz w:val="19"/>
              </w:rPr>
            </w:r>
            <w:r>
              <w:rPr>
                <w:sz w:val="19"/>
              </w:rPr>
              <w:t>&lt;1 min</w:t>
            </w:r>
          </w:p>
        </w:tc>
      </w:tr>
      <w:tr>
        <w:tc>
          <w:tcPr>
            <w:tcW w:type="dxa" w:w="3120"/>
          </w:tcPr>
          <w:p>
            <w:pPr>
              <w:spacing w:before="40" w:after="40"/>
            </w:pPr>
            <w:r>
              <w:rPr>
                <w:sz w:val="19"/>
              </w:rPr>
            </w:r>
            <w:r>
              <w:rPr>
                <w:sz w:val="19"/>
              </w:rPr>
              <w:t>4</w:t>
            </w:r>
          </w:p>
        </w:tc>
        <w:tc>
          <w:tcPr>
            <w:tcW w:type="dxa" w:w="3120"/>
          </w:tcPr>
          <w:p>
            <w:pPr>
              <w:spacing w:before="40" w:after="40"/>
            </w:pPr>
            <w:r>
              <w:rPr>
                <w:sz w:val="19"/>
              </w:rPr>
            </w:r>
            <w:r>
              <w:rPr>
                <w:sz w:val="19"/>
              </w:rPr>
              <w:t>Molecule Generation: MolMIM de novo generation from seed SMILES</w:t>
            </w:r>
          </w:p>
        </w:tc>
        <w:tc>
          <w:tcPr>
            <w:tcW w:type="dxa" w:w="3120"/>
          </w:tcPr>
          <w:p>
            <w:pPr>
              <w:spacing w:before="40" w:after="40"/>
            </w:pPr>
            <w:r>
              <w:rPr>
                <w:sz w:val="19"/>
              </w:rPr>
            </w:r>
            <w:r>
              <w:rPr>
                <w:sz w:val="19"/>
              </w:rPr>
              <w:t>2-5 min</w:t>
            </w:r>
          </w:p>
        </w:tc>
      </w:tr>
      <w:tr>
        <w:tc>
          <w:tcPr>
            <w:tcW w:type="dxa" w:w="3120"/>
            <w:shd w:fill="f0f4e8"/>
          </w:tcPr>
          <w:p>
            <w:pPr>
              <w:spacing w:before="40" w:after="40"/>
            </w:pPr>
            <w:r>
              <w:rPr>
                <w:sz w:val="19"/>
              </w:rPr>
            </w:r>
            <w:r>
              <w:rPr>
                <w:sz w:val="19"/>
              </w:rPr>
              <w:t>5</w:t>
            </w:r>
          </w:p>
        </w:tc>
        <w:tc>
          <w:tcPr>
            <w:tcW w:type="dxa" w:w="3120"/>
            <w:shd w:fill="f0f4e8"/>
          </w:tcPr>
          <w:p>
            <w:pPr>
              <w:spacing w:before="40" w:after="40"/>
            </w:pPr>
            <w:r>
              <w:rPr>
                <w:sz w:val="19"/>
              </w:rPr>
            </w:r>
            <w:r>
              <w:rPr>
                <w:sz w:val="19"/>
              </w:rPr>
              <w:t>Chemistry QC: Lipinski RoF5, QED scoring, filter drug-like</w:t>
            </w:r>
          </w:p>
        </w:tc>
        <w:tc>
          <w:tcPr>
            <w:tcW w:type="dxa" w:w="3120"/>
            <w:shd w:fill="f0f4e8"/>
          </w:tcPr>
          <w:p>
            <w:pPr>
              <w:spacing w:before="40" w:after="40"/>
            </w:pPr>
            <w:r>
              <w:rPr>
                <w:sz w:val="19"/>
              </w:rPr>
            </w:r>
            <w:r>
              <w:rPr>
                <w:sz w:val="19"/>
              </w:rPr>
              <w:t>&lt;1 min</w:t>
            </w:r>
          </w:p>
        </w:tc>
      </w:tr>
      <w:tr>
        <w:tc>
          <w:tcPr>
            <w:tcW w:type="dxa" w:w="3120"/>
          </w:tcPr>
          <w:p>
            <w:pPr>
              <w:spacing w:before="40" w:after="40"/>
            </w:pPr>
            <w:r>
              <w:rPr>
                <w:sz w:val="19"/>
              </w:rPr>
            </w:r>
            <w:r>
              <w:rPr>
                <w:sz w:val="19"/>
              </w:rPr>
              <w:t>6</w:t>
            </w:r>
          </w:p>
        </w:tc>
        <w:tc>
          <w:tcPr>
            <w:tcW w:type="dxa" w:w="3120"/>
          </w:tcPr>
          <w:p>
            <w:pPr>
              <w:spacing w:before="40" w:after="40"/>
            </w:pPr>
            <w:r>
              <w:rPr>
                <w:sz w:val="19"/>
              </w:rPr>
            </w:r>
            <w:r>
              <w:rPr>
                <w:sz w:val="19"/>
              </w:rPr>
              <w:t>Conformer Generation: SMILES → 3D via RDKit/MMFF force field</w:t>
            </w:r>
          </w:p>
        </w:tc>
        <w:tc>
          <w:tcPr>
            <w:tcW w:type="dxa" w:w="3120"/>
          </w:tcPr>
          <w:p>
            <w:pPr>
              <w:spacing w:before="40" w:after="40"/>
            </w:pPr>
            <w:r>
              <w:rPr>
                <w:sz w:val="19"/>
              </w:rPr>
            </w:r>
            <w:r>
              <w:rPr>
                <w:sz w:val="19"/>
              </w:rPr>
              <w:t>&lt;1 min</w:t>
            </w:r>
          </w:p>
        </w:tc>
      </w:tr>
      <w:tr>
        <w:tc>
          <w:tcPr>
            <w:tcW w:type="dxa" w:w="3120"/>
            <w:shd w:fill="f0f4e8"/>
          </w:tcPr>
          <w:p>
            <w:pPr>
              <w:spacing w:before="40" w:after="40"/>
            </w:pPr>
            <w:r>
              <w:rPr>
                <w:sz w:val="19"/>
              </w:rPr>
            </w:r>
            <w:r>
              <w:rPr>
                <w:sz w:val="19"/>
              </w:rPr>
              <w:t>7</w:t>
            </w:r>
          </w:p>
        </w:tc>
        <w:tc>
          <w:tcPr>
            <w:tcW w:type="dxa" w:w="3120"/>
            <w:shd w:fill="f0f4e8"/>
          </w:tcPr>
          <w:p>
            <w:pPr>
              <w:spacing w:before="40" w:after="40"/>
            </w:pPr>
            <w:r>
              <w:rPr>
                <w:sz w:val="19"/>
              </w:rPr>
            </w:r>
            <w:r>
              <w:rPr>
                <w:sz w:val="19"/>
              </w:rPr>
              <w:t>Docking: DiffDock protein-ligand docking, 10 poses per molecule</w:t>
            </w:r>
          </w:p>
        </w:tc>
        <w:tc>
          <w:tcPr>
            <w:tcW w:type="dxa" w:w="3120"/>
            <w:shd w:fill="f0f4e8"/>
          </w:tcPr>
          <w:p>
            <w:pPr>
              <w:spacing w:before="40" w:after="40"/>
            </w:pPr>
            <w:r>
              <w:rPr>
                <w:sz w:val="19"/>
              </w:rPr>
            </w:r>
            <w:r>
              <w:rPr>
                <w:sz w:val="19"/>
              </w:rPr>
              <w:t>5-10 min</w:t>
            </w:r>
          </w:p>
        </w:tc>
      </w:tr>
      <w:tr>
        <w:tc>
          <w:tcPr>
            <w:tcW w:type="dxa" w:w="3120"/>
          </w:tcPr>
          <w:p>
            <w:pPr>
              <w:spacing w:before="40" w:after="40"/>
            </w:pPr>
            <w:r>
              <w:rPr>
                <w:sz w:val="19"/>
              </w:rPr>
            </w:r>
            <w:r>
              <w:rPr>
                <w:sz w:val="19"/>
              </w:rPr>
              <w:t>8</w:t>
            </w:r>
          </w:p>
        </w:tc>
        <w:tc>
          <w:tcPr>
            <w:tcW w:type="dxa" w:w="3120"/>
          </w:tcPr>
          <w:p>
            <w:pPr>
              <w:spacing w:before="40" w:after="40"/>
            </w:pPr>
            <w:r>
              <w:rPr>
                <w:sz w:val="19"/>
              </w:rPr>
            </w:r>
            <w:r>
              <w:rPr>
                <w:sz w:val="19"/>
              </w:rPr>
              <w:t>Ranking: Composite scoring (40% docking + 30% generation + 30% QED)</w:t>
            </w:r>
          </w:p>
        </w:tc>
        <w:tc>
          <w:tcPr>
            <w:tcW w:type="dxa" w:w="3120"/>
          </w:tcPr>
          <w:p>
            <w:pPr>
              <w:spacing w:before="40" w:after="40"/>
            </w:pPr>
            <w:r>
              <w:rPr>
                <w:sz w:val="19"/>
              </w:rPr>
            </w:r>
            <w:r>
              <w:rPr>
                <w:sz w:val="19"/>
              </w:rPr>
              <w:t>&lt;1 min</w:t>
            </w:r>
          </w:p>
        </w:tc>
      </w:tr>
      <w:tr>
        <w:tc>
          <w:tcPr>
            <w:tcW w:type="dxa" w:w="3120"/>
            <w:shd w:fill="f0f4e8"/>
          </w:tcPr>
          <w:p>
            <w:pPr>
              <w:spacing w:before="40" w:after="40"/>
            </w:pPr>
            <w:r>
              <w:rPr>
                <w:sz w:val="19"/>
              </w:rPr>
            </w:r>
            <w:r>
              <w:rPr>
                <w:sz w:val="19"/>
              </w:rPr>
              <w:t>9</w:t>
            </w:r>
          </w:p>
        </w:tc>
        <w:tc>
          <w:tcPr>
            <w:tcW w:type="dxa" w:w="3120"/>
            <w:shd w:fill="f0f4e8"/>
          </w:tcPr>
          <w:p>
            <w:pPr>
              <w:spacing w:before="40" w:after="40"/>
            </w:pPr>
            <w:r>
              <w:rPr>
                <w:sz w:val="19"/>
              </w:rPr>
            </w:r>
            <w:r>
              <w:rPr>
                <w:sz w:val="19"/>
              </w:rPr>
              <w:t>Reporting: Serialize JSON, generate PDF report</w:t>
            </w:r>
          </w:p>
        </w:tc>
        <w:tc>
          <w:tcPr>
            <w:tcW w:type="dxa" w:w="3120"/>
            <w:shd w:fill="f0f4e8"/>
          </w:tcPr>
          <w:p>
            <w:pPr>
              <w:spacing w:before="40" w:after="40"/>
            </w:pPr>
            <w:r>
              <w:rPr>
                <w:sz w:val="19"/>
              </w:rPr>
            </w:r>
            <w:r>
              <w:rPr>
                <w:sz w:val="19"/>
              </w:rPr>
              <w:t>&lt;1 min</w:t>
            </w:r>
          </w:p>
        </w:tc>
      </w:tr>
    </w:tbl>
    <w:p/>
    <w:p>
      <w:pPr>
        <w:pStyle w:val="Heading3"/>
      </w:pPr>
      <w:r>
        <w:t>7.3 MolMIM Integration</w:t>
      </w:r>
    </w:p>
    <w:p>
      <w:r>
        <w:t>MolMIM uses masked language modeling on a learned molecular distribution to generate novel molecules from a seed compound:</w:t>
      </w:r>
    </w:p>
    <w:p>
      <w:pPr>
        <w:jc w:val="center"/>
      </w:pPr>
      <w:r>
        <w:rPr>
          <w:b/>
        </w:rPr>
        <w:t>API Endpoint</w:t>
      </w:r>
      <w:r>
        <w:t xml:space="preserve">: </w:t>
      </w:r>
      <w:r>
        <w:rPr>
          <w:rFonts w:ascii="Consolas" w:hAnsi="Consolas"/>
          <w:color w:val="1A6B1A"/>
          <w:sz w:val="19"/>
        </w:rPr>
        <w:t>POST http://localhost:8001/v1/generate</w:t>
      </w:r>
    </w:p>
    <w:p>
      <w:pPr>
        <w:jc w:val="center"/>
      </w:pPr>
      <w:r>
        <w:rPr>
          <w:b/>
        </w:rPr>
        <w:t>Parameters</w:t>
      </w:r>
      <w:r>
        <w:t>:</w:t>
      </w:r>
    </w:p>
    <w:p>
      <w:pPr>
        <w:pStyle w:val="ListBullet"/>
      </w:pPr>
      <w:r>
        <w:rPr>
          <w:rFonts w:ascii="Consolas" w:hAnsi="Consolas"/>
          <w:color w:val="1A6B1A"/>
          <w:sz w:val="19"/>
        </w:rPr>
        <w:t>smiles</w:t>
      </w:r>
      <w:r>
        <w:t>: Seed molecule (e.g., CB-5083 for VCP)</w:t>
      </w:r>
    </w:p>
    <w:p>
      <w:pPr>
        <w:pStyle w:val="ListBullet"/>
      </w:pPr>
      <w:r>
        <w:rPr>
          <w:rFonts w:ascii="Consolas" w:hAnsi="Consolas"/>
          <w:color w:val="1A6B1A"/>
          <w:sz w:val="19"/>
        </w:rPr>
        <w:t>num_molecules</w:t>
      </w:r>
      <w:r>
        <w:t>: 10-50 candidates to generate</w:t>
      </w:r>
    </w:p>
    <w:p>
      <w:pPr>
        <w:pStyle w:val="ListBullet"/>
      </w:pPr>
      <w:r>
        <w:rPr>
          <w:rFonts w:ascii="Consolas" w:hAnsi="Consolas"/>
          <w:color w:val="1A6B1A"/>
          <w:sz w:val="19"/>
        </w:rPr>
        <w:t>temperature</w:t>
      </w:r>
      <w:r>
        <w:t>: 1.0 (sampling temperature)</w:t>
      </w:r>
    </w:p>
    <w:p>
      <w:pPr>
        <w:pStyle w:val="ListBullet"/>
      </w:pPr>
      <w:r>
        <w:rPr>
          <w:rFonts w:ascii="Consolas" w:hAnsi="Consolas"/>
          <w:color w:val="1A6B1A"/>
          <w:sz w:val="19"/>
        </w:rPr>
        <w:t>num_samples_per_token</w:t>
      </w:r>
      <w:r>
        <w:t>: 10 (MolMIM sampling strategy)</w:t>
      </w:r>
    </w:p>
    <w:p>
      <w:pPr>
        <w:pStyle w:val="ListBullet"/>
      </w:pPr>
      <w:r>
        <w:rPr>
          <w:rFonts w:ascii="Consolas" w:hAnsi="Consolas"/>
          <w:color w:val="1A6B1A"/>
          <w:sz w:val="19"/>
        </w:rPr>
        <w:t>masked_ratio</w:t>
      </w:r>
      <w:r>
        <w:t>: 0.1 (fraction of SMILES tokens to mask)</w:t>
      </w:r>
    </w:p>
    <w:p>
      <w:r>
        <w:t xml:space="preserve">The cloud variant uses NVIDIA's hosted API at </w:t>
      </w:r>
      <w:r>
        <w:rPr>
          <w:rFonts w:ascii="Consolas" w:hAnsi="Consolas"/>
          <w:color w:val="1A6B1A"/>
          <w:sz w:val="19"/>
        </w:rPr>
        <w:t>health.api.nvidia.com</w:t>
      </w:r>
      <w:r>
        <w:t xml:space="preserve"> with CMA-ES (Covariance Matrix Adaptation Evolution Strategy) for property optimization (QED maximization).</w:t>
      </w:r>
    </w:p>
    <w:p>
      <w:pPr>
        <w:pStyle w:val="Heading3"/>
      </w:pPr>
      <w:r>
        <w:t>7.4 Chemistry Quality Control</w:t>
      </w:r>
    </w:p>
    <w:p>
      <w:r>
        <w:t>Generated molecules are filtered through Lipinski's Rule of Five: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Property</w:t>
            </w:r>
          </w:p>
        </w:tc>
        <w:tc>
          <w:tcPr>
            <w:tcW w:type="dxa" w:w="3120"/>
            <w:shd w:fill="1a1a24"/>
          </w:tcPr>
          <w:p>
            <w:pPr>
              <w:spacing w:before="40" w:after="40"/>
            </w:pPr>
            <w:r>
              <w:rPr>
                <w:b/>
                <w:color w:val="FFFFFF"/>
                <w:sz w:val="19"/>
              </w:rPr>
            </w:r>
            <w:r>
              <w:rPr>
                <w:b/>
                <w:color w:val="FFFFFF"/>
                <w:sz w:val="19"/>
              </w:rPr>
              <w:t>Threshold</w:t>
            </w:r>
          </w:p>
        </w:tc>
        <w:tc>
          <w:tcPr>
            <w:tcW w:type="dxa" w:w="3120"/>
            <w:shd w:fill="1a1a24"/>
          </w:tcPr>
          <w:p>
            <w:pPr>
              <w:spacing w:before="40" w:after="40"/>
            </w:pPr>
            <w:r>
              <w:rPr>
                <w:b/>
                <w:color w:val="FFFFFF"/>
                <w:sz w:val="19"/>
              </w:rPr>
            </w:r>
            <w:r>
              <w:rPr>
                <w:b/>
                <w:color w:val="FFFFFF"/>
                <w:sz w:val="19"/>
              </w:rPr>
              <w:t>Calculation</w:t>
            </w:r>
          </w:p>
        </w:tc>
      </w:tr>
      <w:tr>
        <w:tc>
          <w:tcPr>
            <w:tcW w:type="dxa" w:w="3120"/>
          </w:tcPr>
          <w:p>
            <w:pPr>
              <w:spacing w:before="40" w:after="40"/>
            </w:pPr>
            <w:r>
              <w:rPr>
                <w:sz w:val="19"/>
              </w:rPr>
            </w:r>
            <w:r>
              <w:rPr>
                <w:sz w:val="19"/>
              </w:rPr>
              <w:t>Molecular Weight</w:t>
            </w:r>
          </w:p>
        </w:tc>
        <w:tc>
          <w:tcPr>
            <w:tcW w:type="dxa" w:w="3120"/>
          </w:tcPr>
          <w:p>
            <w:pPr>
              <w:spacing w:before="40" w:after="40"/>
            </w:pPr>
            <w:r>
              <w:rPr>
                <w:sz w:val="19"/>
              </w:rPr>
            </w:r>
            <w:r>
              <w:rPr>
                <w:sz w:val="19"/>
              </w:rPr>
              <w:t>&lt;= 550 Da</w:t>
            </w:r>
          </w:p>
        </w:tc>
        <w:tc>
          <w:tcPr>
            <w:tcW w:type="dxa" w:w="3120"/>
          </w:tcPr>
          <w:p>
            <w:pPr>
              <w:spacing w:before="40" w:after="40"/>
            </w:pPr>
            <w:r>
              <w:rPr>
                <w:sz w:val="19"/>
              </w:rPr>
            </w:r>
            <w:r>
              <w:rPr>
                <w:sz w:val="19"/>
              </w:rPr>
              <w:t>RDKit Descriptors.MolWt</w:t>
            </w:r>
          </w:p>
        </w:tc>
      </w:tr>
      <w:tr>
        <w:tc>
          <w:tcPr>
            <w:tcW w:type="dxa" w:w="3120"/>
            <w:shd w:fill="f0f4e8"/>
          </w:tcPr>
          <w:p>
            <w:pPr>
              <w:spacing w:before="40" w:after="40"/>
            </w:pPr>
            <w:r>
              <w:rPr>
                <w:sz w:val="19"/>
              </w:rPr>
            </w:r>
            <w:r>
              <w:rPr>
                <w:sz w:val="19"/>
              </w:rPr>
              <w:t>LogP</w:t>
            </w:r>
          </w:p>
        </w:tc>
        <w:tc>
          <w:tcPr>
            <w:tcW w:type="dxa" w:w="3120"/>
            <w:shd w:fill="f0f4e8"/>
          </w:tcPr>
          <w:p>
            <w:pPr>
              <w:spacing w:before="40" w:after="40"/>
            </w:pPr>
            <w:r>
              <w:rPr>
                <w:sz w:val="19"/>
              </w:rPr>
            </w:r>
            <w:r>
              <w:rPr>
                <w:sz w:val="19"/>
              </w:rPr>
              <w:t>&lt;= 5.0</w:t>
            </w:r>
          </w:p>
        </w:tc>
        <w:tc>
          <w:tcPr>
            <w:tcW w:type="dxa" w:w="3120"/>
            <w:shd w:fill="f0f4e8"/>
          </w:tcPr>
          <w:p>
            <w:pPr>
              <w:spacing w:before="40" w:after="40"/>
            </w:pPr>
            <w:r>
              <w:rPr>
                <w:sz w:val="19"/>
              </w:rPr>
            </w:r>
            <w:r>
              <w:rPr>
                <w:sz w:val="19"/>
              </w:rPr>
              <w:t>Wildman-Crippen (MolLogP)</w:t>
            </w:r>
          </w:p>
        </w:tc>
      </w:tr>
      <w:tr>
        <w:tc>
          <w:tcPr>
            <w:tcW w:type="dxa" w:w="3120"/>
          </w:tcPr>
          <w:p>
            <w:pPr>
              <w:spacing w:before="40" w:after="40"/>
            </w:pPr>
            <w:r>
              <w:rPr>
                <w:sz w:val="19"/>
              </w:rPr>
            </w:r>
            <w:r>
              <w:rPr>
                <w:sz w:val="19"/>
              </w:rPr>
              <w:t>H-bond Donors</w:t>
            </w:r>
          </w:p>
        </w:tc>
        <w:tc>
          <w:tcPr>
            <w:tcW w:type="dxa" w:w="3120"/>
          </w:tcPr>
          <w:p>
            <w:pPr>
              <w:spacing w:before="40" w:after="40"/>
            </w:pPr>
            <w:r>
              <w:rPr>
                <w:sz w:val="19"/>
              </w:rPr>
            </w:r>
            <w:r>
              <w:rPr>
                <w:sz w:val="19"/>
              </w:rPr>
              <w:t>&lt;= 5</w:t>
            </w:r>
          </w:p>
        </w:tc>
        <w:tc>
          <w:tcPr>
            <w:tcW w:type="dxa" w:w="3120"/>
          </w:tcPr>
          <w:p>
            <w:pPr>
              <w:spacing w:before="40" w:after="40"/>
            </w:pPr>
            <w:r>
              <w:rPr>
                <w:sz w:val="19"/>
              </w:rPr>
            </w:r>
            <w:r>
              <w:rPr>
                <w:sz w:val="19"/>
              </w:rPr>
              <w:t>Lipinski.NumHDonors</w:t>
            </w:r>
          </w:p>
        </w:tc>
      </w:tr>
      <w:tr>
        <w:tc>
          <w:tcPr>
            <w:tcW w:type="dxa" w:w="3120"/>
            <w:shd w:fill="f0f4e8"/>
          </w:tcPr>
          <w:p>
            <w:pPr>
              <w:spacing w:before="40" w:after="40"/>
            </w:pPr>
            <w:r>
              <w:rPr>
                <w:sz w:val="19"/>
              </w:rPr>
            </w:r>
            <w:r>
              <w:rPr>
                <w:sz w:val="19"/>
              </w:rPr>
              <w:t>H-bond Acceptors</w:t>
            </w:r>
          </w:p>
        </w:tc>
        <w:tc>
          <w:tcPr>
            <w:tcW w:type="dxa" w:w="3120"/>
            <w:shd w:fill="f0f4e8"/>
          </w:tcPr>
          <w:p>
            <w:pPr>
              <w:spacing w:before="40" w:after="40"/>
            </w:pPr>
            <w:r>
              <w:rPr>
                <w:sz w:val="19"/>
              </w:rPr>
            </w:r>
            <w:r>
              <w:rPr>
                <w:sz w:val="19"/>
              </w:rPr>
              <w:t>&lt;= 10</w:t>
            </w:r>
          </w:p>
        </w:tc>
        <w:tc>
          <w:tcPr>
            <w:tcW w:type="dxa" w:w="3120"/>
            <w:shd w:fill="f0f4e8"/>
          </w:tcPr>
          <w:p>
            <w:pPr>
              <w:spacing w:before="40" w:after="40"/>
            </w:pPr>
            <w:r>
              <w:rPr>
                <w:sz w:val="19"/>
              </w:rPr>
            </w:r>
            <w:r>
              <w:rPr>
                <w:sz w:val="19"/>
              </w:rPr>
              <w:t>Lipinski.NumHAcceptors</w:t>
            </w:r>
          </w:p>
        </w:tc>
      </w:tr>
      <w:tr>
        <w:tc>
          <w:tcPr>
            <w:tcW w:type="dxa" w:w="3120"/>
          </w:tcPr>
          <w:p>
            <w:pPr>
              <w:spacing w:before="40" w:after="40"/>
            </w:pPr>
            <w:r>
              <w:rPr>
                <w:sz w:val="19"/>
              </w:rPr>
            </w:r>
            <w:r>
              <w:rPr>
                <w:sz w:val="19"/>
              </w:rPr>
              <w:t>Max Violations</w:t>
            </w:r>
          </w:p>
        </w:tc>
        <w:tc>
          <w:tcPr>
            <w:tcW w:type="dxa" w:w="3120"/>
          </w:tcPr>
          <w:p>
            <w:pPr>
              <w:spacing w:before="40" w:after="40"/>
            </w:pPr>
            <w:r>
              <w:rPr>
                <w:sz w:val="19"/>
              </w:rPr>
            </w:r>
            <w:r>
              <w:rPr>
                <w:sz w:val="19"/>
              </w:rPr>
              <w:t>&lt;= 1</w:t>
            </w:r>
          </w:p>
        </w:tc>
        <w:tc>
          <w:tcPr>
            <w:tcW w:type="dxa" w:w="3120"/>
          </w:tcPr>
          <w:p>
            <w:pPr>
              <w:spacing w:before="40" w:after="40"/>
            </w:pPr>
            <w:r>
              <w:rPr>
                <w:sz w:val="19"/>
              </w:rPr>
            </w:r>
            <w:r>
              <w:rPr>
                <w:sz w:val="19"/>
              </w:rPr>
              <w:t>Sum of exceeded thresholds</w:t>
            </w:r>
          </w:p>
        </w:tc>
      </w:tr>
    </w:tbl>
    <w:p/>
    <w:p>
      <w:r>
        <w:t>QED (Quantitative Estimate of Drug-likeness) provides a continuous 0-1 score incorporating MW, logP, HBD, HBA, rotatable bonds, and aromatic ring count.</w:t>
      </w:r>
    </w:p>
    <w:p>
      <w:pPr>
        <w:pStyle w:val="Heading3"/>
      </w:pPr>
      <w:r>
        <w:t>7.5 DiffDock Integration</w:t>
      </w:r>
    </w:p>
    <w:p>
      <w:r>
        <w:t>DiffDock uses a diffusion generative model for molecular docking:</w:t>
      </w:r>
    </w:p>
    <w:p>
      <w:pPr>
        <w:jc w:val="center"/>
      </w:pPr>
      <w:r>
        <w:rPr>
          <w:b/>
        </w:rPr>
        <w:t>API Endpoint</w:t>
      </w:r>
      <w:r>
        <w:t xml:space="preserve">: </w:t>
      </w:r>
      <w:r>
        <w:rPr>
          <w:rFonts w:ascii="Consolas" w:hAnsi="Consolas"/>
          <w:color w:val="1A6B1A"/>
          <w:sz w:val="19"/>
        </w:rPr>
        <w:t>POST http://localhost:8002/v1/dock</w:t>
      </w:r>
    </w:p>
    <w:p>
      <w:pPr>
        <w:jc w:val="center"/>
      </w:pPr>
      <w:r>
        <w:rPr>
          <w:b/>
        </w:rPr>
        <w:t>Parameters</w:t>
      </w:r>
      <w:r>
        <w:t>:</w:t>
      </w:r>
    </w:p>
    <w:p>
      <w:pPr>
        <w:pStyle w:val="ListBullet"/>
      </w:pPr>
      <w:r>
        <w:rPr>
          <w:rFonts w:ascii="Consolas" w:hAnsi="Consolas"/>
          <w:color w:val="1A6B1A"/>
          <w:sz w:val="19"/>
        </w:rPr>
        <w:t>protein</w:t>
      </w:r>
      <w:r>
        <w:t>: PDB file content or path</w:t>
      </w:r>
    </w:p>
    <w:p>
      <w:pPr>
        <w:pStyle w:val="ListBullet"/>
      </w:pPr>
      <w:r>
        <w:rPr>
          <w:rFonts w:ascii="Consolas" w:hAnsi="Consolas"/>
          <w:color w:val="1A6B1A"/>
          <w:sz w:val="19"/>
        </w:rPr>
        <w:t>ligand</w:t>
      </w:r>
      <w:r>
        <w:t>: SMILES string</w:t>
      </w:r>
    </w:p>
    <w:p>
      <w:pPr>
        <w:pStyle w:val="ListBullet"/>
      </w:pPr>
      <w:r>
        <w:rPr>
          <w:rFonts w:ascii="Consolas" w:hAnsi="Consolas"/>
          <w:color w:val="1A6B1A"/>
          <w:sz w:val="19"/>
        </w:rPr>
        <w:t>num_poses</w:t>
      </w:r>
      <w:r>
        <w:t>: 10 conformations per molecule</w:t>
      </w:r>
    </w:p>
    <w:p>
      <w:pPr>
        <w:jc w:val="center"/>
      </w:pPr>
      <w:r>
        <w:rPr>
          <w:b/>
        </w:rPr>
        <w:t>Output</w:t>
      </w:r>
      <w:r>
        <w:t>: Pose-level data including docking score (kcal/mol, lower is better: -12 = excellent, 0 = no binding), confidence (0-1), hydrogen bond count, and contact residue list.</w:t>
      </w:r>
    </w:p>
    <w:p>
      <w:r>
        <w:t xml:space="preserve">The cloud variant stages PDB and SDF files as NVCF assets before submission, with parameters </w:t>
      </w:r>
      <w:r>
        <w:rPr>
          <w:rFonts w:ascii="Consolas" w:hAnsi="Consolas"/>
          <w:color w:val="1A6B1A"/>
          <w:sz w:val="19"/>
        </w:rPr>
        <w:t>time_divisions=20</w:t>
      </w:r>
      <w:r>
        <w:t xml:space="preserve"> and </w:t>
      </w:r>
      <w:r>
        <w:rPr>
          <w:rFonts w:ascii="Consolas" w:hAnsi="Consolas"/>
          <w:color w:val="1A6B1A"/>
          <w:sz w:val="19"/>
        </w:rPr>
        <w:t>steps=18</w:t>
      </w:r>
      <w:r>
        <w:t>.</w:t>
      </w:r>
    </w:p>
    <w:p>
      <w:pPr>
        <w:pStyle w:val="Heading3"/>
      </w:pPr>
      <w:r>
        <w:t>7.6 Composite Ranking</w:t>
      </w:r>
    </w:p>
    <w:p>
      <w:r>
        <w:t>Candidates are ranked by a weighted composite score:</w:t>
      </w:r>
    </w:p>
    <w:p>
      <w:pPr>
        <w:spacing w:before="80" w:after="80"/>
        <w:ind w:left="567"/>
        <w:shd w:fill="f5f5f5"/>
      </w:pPr>
      <w:r>
        <w:rPr>
          <w:rFonts w:ascii="Consolas" w:hAnsi="Consolas"/>
          <w:color w:val="2D2D2D"/>
          <w:sz w:val="17"/>
        </w:rPr>
        <w:t>dock_normalized = max(0.0, min(1.0, -dock_score / 12.0))</w:t>
        <w:br/>
        <w:br/>
        <w:t>composite = (0.4 × dock_normalized) + (0.3 × generation_score) + (0.3 × qed_score)</w:t>
      </w:r>
    </w:p>
    <w:p>
      <w:r>
        <w:t>The top N candidates (default: 10) are selected for the final report.</w:t>
      </w:r>
    </w:p>
    <w:p>
      <w:pPr>
        <w:pStyle w:val="Heading3"/>
      </w:pPr>
      <w:r>
        <w:t>7.7 Service Mode Selection</w:t>
      </w:r>
    </w:p>
    <w:p>
      <w:r>
        <w:t>The pipeline auto-selects NIM service mode:</w:t>
      </w:r>
    </w:p>
    <w:p>
      <w:pPr>
        <w:pStyle w:val="ListNumber"/>
      </w:pPr>
      <w:r>
        <w:rPr>
          <w:b/>
        </w:rPr>
        <w:t>Cloud</w:t>
      </w:r>
      <w:r>
        <w:t xml:space="preserve">: If </w:t>
      </w:r>
      <w:r>
        <w:rPr>
          <w:rFonts w:ascii="Consolas" w:hAnsi="Consolas"/>
          <w:color w:val="1A6B1A"/>
          <w:sz w:val="19"/>
        </w:rPr>
        <w:t>NIM_MODE=cloud</w:t>
      </w:r>
      <w:r>
        <w:t xml:space="preserve"> or API key has </w:t>
      </w:r>
      <w:r>
        <w:rPr>
          <w:rFonts w:ascii="Consolas" w:hAnsi="Consolas"/>
          <w:color w:val="1A6B1A"/>
          <w:sz w:val="19"/>
        </w:rPr>
        <w:t>nvapi-</w:t>
      </w:r>
      <w:r>
        <w:t xml:space="preserve"> prefix → NVIDIA hosted endpoints</w:t>
      </w:r>
    </w:p>
    <w:p>
      <w:pPr>
        <w:pStyle w:val="ListNumber"/>
      </w:pPr>
      <w:r>
        <w:rPr>
          <w:b/>
        </w:rPr>
        <w:t>Local</w:t>
      </w:r>
      <w:r>
        <w:t>: If Docker NIM containers detected → local endpoints (ports 8001/8002)</w:t>
      </w:r>
    </w:p>
    <w:p>
      <w:pPr>
        <w:pStyle w:val="ListNumber"/>
      </w:pPr>
      <w:r>
        <w:rPr>
          <w:b/>
        </w:rPr>
        <w:t>Mock</w:t>
      </w:r>
      <w:r>
        <w:t xml:space="preserve">: If </w:t>
      </w:r>
      <w:r>
        <w:rPr>
          <w:rFonts w:ascii="Consolas" w:hAnsi="Consolas"/>
          <w:color w:val="1A6B1A"/>
          <w:sz w:val="19"/>
        </w:rPr>
        <w:t>NIM_ALLOW_MOCK_FALLBACK=true</w:t>
      </w:r>
      <w:r>
        <w:t xml:space="preserve"> → deterministic mock services with VCP inhibitor analogues</w:t>
      </w:r>
    </w:p>
    <w:p>
      <w:pPr>
        <w:pStyle w:val="ListNumber"/>
      </w:pPr>
      <w:r>
        <w:rPr>
          <w:b/>
        </w:rPr>
        <w:t>Error</w:t>
      </w:r>
      <w:r>
        <w:t>: If no services available → RuntimeError</w:t>
      </w:r>
    </w:p>
    <w:p>
      <w:pPr>
        <w:pStyle w:val="Heading3"/>
      </w:pPr>
      <w:r>
        <w:t>7.8 Checkpoint and Resume</w:t>
      </w:r>
    </w:p>
    <w:p>
      <w:r>
        <w:t>A 10-stage checkpoint system serializes complete pipeline state (config, target, structures, molecules, docking results, rankings) to JSON after each stage, enabling resume-after-failure:</w:t>
      </w:r>
    </w:p>
    <w:p>
      <w:pPr>
        <w:spacing w:before="80" w:after="80"/>
        <w:ind w:left="567"/>
        <w:shd w:fill="f5f5f5"/>
      </w:pPr>
      <w:r>
        <w:rPr>
          <w:rFonts w:ascii="Consolas" w:hAnsi="Consolas"/>
          <w:color w:val="2D2D2D"/>
          <w:sz w:val="17"/>
        </w:rPr>
        <w:t>outputs/checkpoints/checkpoint_{run_id}_stage{stage}.json</w:t>
      </w:r>
    </w:p>
    <w:p>
      <w:pPr>
        <w:pStyle w:val="Heading3"/>
      </w:pPr>
      <w:r>
        <w:t>7.9 VCP Demo Configuration</w:t>
      </w:r>
    </w:p>
    <w:p>
      <w:r>
        <w:t>The demonstration target uses:</w:t>
      </w:r>
    </w:p>
    <w:p>
      <w:pPr>
        <w:pStyle w:val="ListBullet"/>
      </w:pPr>
      <w:r>
        <w:rPr>
          <w:b/>
        </w:rPr>
        <w:t>Gene</w:t>
      </w:r>
      <w:r>
        <w:t>: VCP (p97, AAA+ ATPase)</w:t>
      </w:r>
    </w:p>
    <w:p>
      <w:pPr>
        <w:pStyle w:val="ListBullet"/>
      </w:pPr>
      <w:r>
        <w:rPr>
          <w:b/>
        </w:rPr>
        <w:t>Seed Compound</w:t>
      </w:r>
      <w:r>
        <w:t>: CB-5083 (Phase I inhibitor)</w:t>
      </w:r>
    </w:p>
    <w:p>
      <w:pPr>
        <w:pStyle w:val="ListBullet"/>
      </w:pPr>
      <w:r>
        <w:rPr>
          <w:b/>
        </w:rPr>
        <w:t>SMILES</w:t>
      </w:r>
      <w:r>
        <w:t xml:space="preserve">: </w:t>
      </w:r>
      <w:r>
        <w:rPr>
          <w:rFonts w:ascii="Consolas" w:hAnsi="Consolas"/>
          <w:color w:val="1A6B1A"/>
          <w:sz w:val="19"/>
        </w:rPr>
        <w:t>CC(C)C1=C(C=C(C=C1)NC2=NC3=C(C=N2)N(C=C3)C)C(=O)NC4=CC=C(C=C4)CN5CCOCC5</w:t>
      </w:r>
    </w:p>
    <w:p>
      <w:pPr>
        <w:pStyle w:val="ListBullet"/>
      </w:pPr>
      <w:r>
        <w:rPr>
          <w:b/>
        </w:rPr>
        <w:t>PDB Structures</w:t>
      </w:r>
      <w:r>
        <w:t>: 5FTK (2.3A, CB-5083 complex), 8OOI (2.9A, WT hexamer), 9DIL (3.2A, mutant), 7K56 (2.5A, complex)</w:t>
      </w:r>
    </w:p>
    <w:p>
      <w:pPr>
        <w:pStyle w:val="ListBullet"/>
      </w:pPr>
      <w:r>
        <w:rPr>
          <w:b/>
        </w:rPr>
        <w:t>Binding Site</w:t>
      </w:r>
      <w:r>
        <w:t>: D2 ATPase domain (ATP-competitive)</w:t>
      </w:r>
    </w:p>
    <w:p>
      <w:pPr>
        <w:pStyle w:val="ListBullet"/>
      </w:pPr>
      <w:r>
        <w:rPr>
          <w:b/>
        </w:rPr>
        <w:t>Pre-designed Analogues</w:t>
      </w:r>
      <w:r>
        <w:t>: 9 VCP inhibitor variants with systematic modifications (morpholine→piperazine, isopropyl→methyl, methyl→ethyl, etc.)</w:t>
      </w:r>
    </w:p>
    <w:p>
      <w:pPr>
        <w:spacing w:before="120" w:after="120"/>
        <w:pBdr>
          <w:bottom w:val="single" w:sz="4" w:space="1" w:color="76B900"/>
        </w:pBdr>
      </w:pPr>
    </w:p>
    <w:p>
      <w:r>
        <w:br w:type="page"/>
      </w:r>
    </w:p>
    <w:p>
      <w:pPr>
        <w:pStyle w:val="Heading2"/>
      </w:pPr>
      <w:r>
        <w:t>8. Orchestration Layer: Nextflow DSL2</w:t>
      </w:r>
    </w:p>
    <w:p>
      <w:pPr>
        <w:pStyle w:val="Heading3"/>
      </w:pPr>
      <w:r>
        <w:t>8.1 Pipeline Configuration</w:t>
      </w:r>
    </w:p>
    <w:p>
      <w:r>
        <w:t xml:space="preserve">The Nextflow DSL2 orchestrator (v1.0.3, </w:t>
      </w:r>
      <w:r>
        <w:rPr>
          <w:rFonts w:ascii="Consolas" w:hAnsi="Consolas"/>
          <w:color w:val="1A6B1A"/>
          <w:sz w:val="19"/>
        </w:rPr>
        <w:t>HLS-Pipeline</w:t>
      </w:r>
      <w:r>
        <w:t>) coordinates the three primary stages through a modular workflow system:</w:t>
      </w:r>
    </w:p>
    <w:p>
      <w:pPr>
        <w:spacing w:before="80" w:after="80"/>
        <w:ind w:left="567"/>
        <w:shd w:fill="f5f5f5"/>
      </w:pPr>
      <w:r>
        <w:rPr>
          <w:rFonts w:ascii="Consolas" w:hAnsi="Consolas"/>
          <w:color w:val="2D2D2D"/>
          <w:sz w:val="17"/>
        </w:rPr>
        <w:t>include { GENOMICS_PIPELINE } from './modules/genomics'</w:t>
        <w:br/>
        <w:t>include { RAG_CHAT_PIPELINE } from './modules/rag_chat'</w:t>
        <w:br/>
        <w:t>include { DRUG_DISCOVERY    } from './modules/drug_discovery'</w:t>
        <w:br/>
        <w:t>include { GENERATE_REPORT   } from './modules/reporting'</w:t>
      </w:r>
    </w:p>
    <w:p>
      <w:pPr>
        <w:pStyle w:val="Heading3"/>
      </w:pPr>
      <w:r>
        <w:t>8.2 Execution Modes</w:t>
      </w:r>
    </w:p>
    <w:p>
      <w:r>
        <w:t>Five workflow modes support different entry points: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Mode</w:t>
            </w:r>
          </w:p>
        </w:tc>
        <w:tc>
          <w:tcPr>
            <w:tcW w:type="dxa" w:w="2340"/>
            <w:shd w:fill="1a1a24"/>
          </w:tcPr>
          <w:p>
            <w:pPr>
              <w:spacing w:before="40" w:after="40"/>
            </w:pPr>
            <w:r>
              <w:rPr>
                <w:b/>
                <w:color w:val="FFFFFF"/>
                <w:sz w:val="19"/>
              </w:rPr>
            </w:r>
            <w:r>
              <w:rPr>
                <w:b/>
                <w:color w:val="FFFFFF"/>
                <w:sz w:val="19"/>
              </w:rPr>
              <w:t>Input</w:t>
            </w:r>
          </w:p>
        </w:tc>
        <w:tc>
          <w:tcPr>
            <w:tcW w:type="dxa" w:w="2340"/>
            <w:shd w:fill="1a1a24"/>
          </w:tcPr>
          <w:p>
            <w:pPr>
              <w:spacing w:before="40" w:after="40"/>
            </w:pPr>
            <w:r>
              <w:rPr>
                <w:b/>
                <w:color w:val="FFFFFF"/>
                <w:sz w:val="19"/>
              </w:rPr>
            </w:r>
            <w:r>
              <w:rPr>
                <w:b/>
                <w:color w:val="FFFFFF"/>
                <w:sz w:val="19"/>
              </w:rPr>
              <w:t>Pipeline</w:t>
            </w:r>
          </w:p>
        </w:tc>
        <w:tc>
          <w:tcPr>
            <w:tcW w:type="dxa" w:w="2340"/>
            <w:shd w:fill="1a1a24"/>
          </w:tcPr>
          <w:p>
            <w:pPr>
              <w:spacing w:before="40" w:after="40"/>
            </w:pPr>
            <w:r>
              <w:rPr>
                <w:b/>
                <w:color w:val="FFFFFF"/>
                <w:sz w:val="19"/>
              </w:rPr>
            </w:r>
            <w:r>
              <w:rPr>
                <w:b/>
                <w:color w:val="FFFFFF"/>
                <w:sz w:val="19"/>
              </w:rPr>
              <w:t>Output</w:t>
            </w:r>
          </w:p>
        </w:tc>
      </w:tr>
      <w:tr>
        <w:tc>
          <w:tcPr>
            <w:tcW w:type="dxa" w:w="2340"/>
          </w:tcPr>
          <w:p>
            <w:pPr>
              <w:spacing w:before="40" w:after="40"/>
            </w:pPr>
            <w:r>
              <w:rPr>
                <w:sz w:val="19"/>
              </w:rPr>
            </w:r>
            <w:r>
              <w:rPr>
                <w:rFonts w:ascii="Consolas" w:hAnsi="Consolas"/>
                <w:color w:val="1A6B1A"/>
                <w:sz w:val="19"/>
              </w:rPr>
              <w:t>full</w:t>
            </w:r>
          </w:p>
        </w:tc>
        <w:tc>
          <w:tcPr>
            <w:tcW w:type="dxa" w:w="2340"/>
          </w:tcPr>
          <w:p>
            <w:pPr>
              <w:spacing w:before="40" w:after="40"/>
            </w:pPr>
            <w:r>
              <w:rPr>
                <w:sz w:val="19"/>
              </w:rPr>
            </w:r>
            <w:r>
              <w:rPr>
                <w:sz w:val="19"/>
              </w:rPr>
              <w:t>FASTQ file pairs</w:t>
            </w:r>
          </w:p>
        </w:tc>
        <w:tc>
          <w:tcPr>
            <w:tcW w:type="dxa" w:w="2340"/>
          </w:tcPr>
          <w:p>
            <w:pPr>
              <w:spacing w:before="40" w:after="40"/>
            </w:pPr>
            <w:r>
              <w:rPr>
                <w:sz w:val="19"/>
              </w:rPr>
            </w:r>
            <w:r>
              <w:rPr>
                <w:sz w:val="19"/>
              </w:rPr>
              <w:t>Genomics → RAG → Drug Discovery → Report</w:t>
            </w:r>
          </w:p>
        </w:tc>
        <w:tc>
          <w:tcPr>
            <w:tcW w:type="dxa" w:w="2340"/>
          </w:tcPr>
          <w:p>
            <w:pPr>
              <w:spacing w:before="40" w:after="40"/>
            </w:pPr>
            <w:r>
              <w:rPr>
                <w:sz w:val="19"/>
              </w:rPr>
            </w:r>
            <w:r>
              <w:rPr>
                <w:sz w:val="19"/>
              </w:rPr>
              <w:t>Complete analysis</w:t>
            </w:r>
          </w:p>
        </w:tc>
      </w:tr>
      <w:tr>
        <w:tc>
          <w:tcPr>
            <w:tcW w:type="dxa" w:w="2340"/>
            <w:shd w:fill="f0f4e8"/>
          </w:tcPr>
          <w:p>
            <w:pPr>
              <w:spacing w:before="40" w:after="40"/>
            </w:pPr>
            <w:r>
              <w:rPr>
                <w:sz w:val="19"/>
              </w:rPr>
            </w:r>
            <w:r>
              <w:rPr>
                <w:rFonts w:ascii="Consolas" w:hAnsi="Consolas"/>
                <w:color w:val="1A6B1A"/>
                <w:sz w:val="19"/>
              </w:rPr>
              <w:t>target</w:t>
            </w:r>
          </w:p>
        </w:tc>
        <w:tc>
          <w:tcPr>
            <w:tcW w:type="dxa" w:w="2340"/>
            <w:shd w:fill="f0f4e8"/>
          </w:tcPr>
          <w:p>
            <w:pPr>
              <w:spacing w:before="40" w:after="40"/>
            </w:pPr>
            <w:r>
              <w:rPr>
                <w:sz w:val="19"/>
              </w:rPr>
            </w:r>
            <w:r>
              <w:rPr>
                <w:sz w:val="19"/>
              </w:rPr>
              <w:t>Pre-computed VCF</w:t>
            </w:r>
          </w:p>
        </w:tc>
        <w:tc>
          <w:tcPr>
            <w:tcW w:type="dxa" w:w="2340"/>
            <w:shd w:fill="f0f4e8"/>
          </w:tcPr>
          <w:p>
            <w:pPr>
              <w:spacing w:before="40" w:after="40"/>
            </w:pPr>
            <w:r>
              <w:rPr>
                <w:sz w:val="19"/>
              </w:rPr>
            </w:r>
            <w:r>
              <w:rPr>
                <w:sz w:val="19"/>
              </w:rPr>
              <w:t>RAG → Drug Discovery → Report</w:t>
            </w:r>
          </w:p>
        </w:tc>
        <w:tc>
          <w:tcPr>
            <w:tcW w:type="dxa" w:w="2340"/>
            <w:shd w:fill="f0f4e8"/>
          </w:tcPr>
          <w:p>
            <w:pPr>
              <w:spacing w:before="40" w:after="40"/>
            </w:pPr>
            <w:r>
              <w:rPr>
                <w:sz w:val="19"/>
              </w:rPr>
            </w:r>
            <w:r>
              <w:rPr>
                <w:sz w:val="19"/>
              </w:rPr>
              <w:t>Skip genomics</w:t>
            </w:r>
          </w:p>
        </w:tc>
      </w:tr>
      <w:tr>
        <w:tc>
          <w:tcPr>
            <w:tcW w:type="dxa" w:w="2340"/>
          </w:tcPr>
          <w:p>
            <w:pPr>
              <w:spacing w:before="40" w:after="40"/>
            </w:pPr>
            <w:r>
              <w:rPr>
                <w:sz w:val="19"/>
              </w:rPr>
            </w:r>
            <w:r>
              <w:rPr>
                <w:rFonts w:ascii="Consolas" w:hAnsi="Consolas"/>
                <w:color w:val="1A6B1A"/>
                <w:sz w:val="19"/>
              </w:rPr>
              <w:t>drug</w:t>
            </w:r>
          </w:p>
        </w:tc>
        <w:tc>
          <w:tcPr>
            <w:tcW w:type="dxa" w:w="2340"/>
          </w:tcPr>
          <w:p>
            <w:pPr>
              <w:spacing w:before="40" w:after="40"/>
            </w:pPr>
            <w:r>
              <w:rPr>
                <w:sz w:val="19"/>
              </w:rPr>
            </w:r>
            <w:r>
              <w:rPr>
                <w:sz w:val="19"/>
              </w:rPr>
              <w:t>Target JSON</w:t>
            </w:r>
          </w:p>
        </w:tc>
        <w:tc>
          <w:tcPr>
            <w:tcW w:type="dxa" w:w="2340"/>
          </w:tcPr>
          <w:p>
            <w:pPr>
              <w:spacing w:before="40" w:after="40"/>
            </w:pPr>
            <w:r>
              <w:rPr>
                <w:sz w:val="19"/>
              </w:rPr>
            </w:r>
            <w:r>
              <w:rPr>
                <w:sz w:val="19"/>
              </w:rPr>
              <w:t>Drug Discovery → Report</w:t>
            </w:r>
          </w:p>
        </w:tc>
        <w:tc>
          <w:tcPr>
            <w:tcW w:type="dxa" w:w="2340"/>
          </w:tcPr>
          <w:p>
            <w:pPr>
              <w:spacing w:before="40" w:after="40"/>
            </w:pPr>
            <w:r>
              <w:rPr>
                <w:sz w:val="19"/>
              </w:rPr>
            </w:r>
            <w:r>
              <w:rPr>
                <w:sz w:val="19"/>
              </w:rPr>
              <w:t>Skip genomics + RAG</w:t>
            </w:r>
          </w:p>
        </w:tc>
      </w:tr>
      <w:tr>
        <w:tc>
          <w:tcPr>
            <w:tcW w:type="dxa" w:w="2340"/>
            <w:shd w:fill="f0f4e8"/>
          </w:tcPr>
          <w:p>
            <w:pPr>
              <w:spacing w:before="40" w:after="40"/>
            </w:pPr>
            <w:r>
              <w:rPr>
                <w:sz w:val="19"/>
              </w:rPr>
            </w:r>
            <w:r>
              <w:rPr>
                <w:rFonts w:ascii="Consolas" w:hAnsi="Consolas"/>
                <w:color w:val="1A6B1A"/>
                <w:sz w:val="19"/>
              </w:rPr>
              <w:t>demo</w:t>
            </w:r>
          </w:p>
        </w:tc>
        <w:tc>
          <w:tcPr>
            <w:tcW w:type="dxa" w:w="2340"/>
            <w:shd w:fill="f0f4e8"/>
          </w:tcPr>
          <w:p>
            <w:pPr>
              <w:spacing w:before="40" w:after="40"/>
            </w:pPr>
            <w:r>
              <w:rPr>
                <w:sz w:val="19"/>
              </w:rPr>
            </w:r>
            <w:r>
              <w:rPr>
                <w:sz w:val="19"/>
              </w:rPr>
              <w:t>Built-in VCP data</w:t>
            </w:r>
          </w:p>
        </w:tc>
        <w:tc>
          <w:tcPr>
            <w:tcW w:type="dxa" w:w="2340"/>
            <w:shd w:fill="f0f4e8"/>
          </w:tcPr>
          <w:p>
            <w:pPr>
              <w:spacing w:before="40" w:after="40"/>
            </w:pPr>
            <w:r>
              <w:rPr>
                <w:sz w:val="19"/>
              </w:rPr>
            </w:r>
            <w:r>
              <w:rPr>
                <w:sz w:val="19"/>
              </w:rPr>
              <w:t>Drug Discovery → Report</w:t>
            </w:r>
          </w:p>
        </w:tc>
        <w:tc>
          <w:tcPr>
            <w:tcW w:type="dxa" w:w="2340"/>
            <w:shd w:fill="f0f4e8"/>
          </w:tcPr>
          <w:p>
            <w:pPr>
              <w:spacing w:before="40" w:after="40"/>
            </w:pPr>
            <w:r>
              <w:rPr>
                <w:sz w:val="19"/>
              </w:rPr>
            </w:r>
            <w:r>
              <w:rPr>
                <w:sz w:val="19"/>
              </w:rPr>
              <w:t>Quick demonstration</w:t>
            </w:r>
          </w:p>
        </w:tc>
      </w:tr>
      <w:tr>
        <w:tc>
          <w:tcPr>
            <w:tcW w:type="dxa" w:w="2340"/>
          </w:tcPr>
          <w:p>
            <w:pPr>
              <w:spacing w:before="40" w:after="40"/>
            </w:pPr>
            <w:r>
              <w:rPr>
                <w:sz w:val="19"/>
              </w:rPr>
            </w:r>
            <w:r>
              <w:rPr>
                <w:rFonts w:ascii="Consolas" w:hAnsi="Consolas"/>
                <w:color w:val="1A6B1A"/>
                <w:sz w:val="19"/>
              </w:rPr>
              <w:t>genomics_only</w:t>
            </w:r>
          </w:p>
        </w:tc>
        <w:tc>
          <w:tcPr>
            <w:tcW w:type="dxa" w:w="2340"/>
          </w:tcPr>
          <w:p>
            <w:pPr>
              <w:spacing w:before="40" w:after="40"/>
            </w:pPr>
            <w:r>
              <w:rPr>
                <w:sz w:val="19"/>
              </w:rPr>
            </w:r>
            <w:r>
              <w:rPr>
                <w:sz w:val="19"/>
              </w:rPr>
              <w:t>FASTQ file pairs</w:t>
            </w:r>
          </w:p>
        </w:tc>
        <w:tc>
          <w:tcPr>
            <w:tcW w:type="dxa" w:w="2340"/>
          </w:tcPr>
          <w:p>
            <w:pPr>
              <w:spacing w:before="40" w:after="40"/>
            </w:pPr>
            <w:r>
              <w:rPr>
                <w:sz w:val="19"/>
              </w:rPr>
            </w:r>
            <w:r>
              <w:rPr>
                <w:sz w:val="19"/>
              </w:rPr>
              <w:t>Genomics only</w:t>
            </w:r>
          </w:p>
        </w:tc>
        <w:tc>
          <w:tcPr>
            <w:tcW w:type="dxa" w:w="2340"/>
          </w:tcPr>
          <w:p>
            <w:pPr>
              <w:spacing w:before="40" w:after="40"/>
            </w:pPr>
            <w:r>
              <w:rPr>
                <w:sz w:val="19"/>
              </w:rPr>
            </w:r>
            <w:r>
              <w:rPr>
                <w:sz w:val="19"/>
              </w:rPr>
              <w:t>VCF output</w:t>
            </w:r>
          </w:p>
        </w:tc>
      </w:tr>
    </w:tbl>
    <w:p/>
    <w:p>
      <w:pPr>
        <w:pStyle w:val="Heading3"/>
      </w:pPr>
      <w:r>
        <w:t>8.3 Configuration Parameters</w:t>
      </w:r>
    </w:p>
    <w:p>
      <w:r>
        <w:t xml:space="preserve">Key parameters from </w:t>
      </w:r>
      <w:r>
        <w:rPr>
          <w:rFonts w:ascii="Consolas" w:hAnsi="Consolas"/>
          <w:color w:val="1A6B1A"/>
          <w:sz w:val="19"/>
        </w:rPr>
        <w:t>nextflow.config</w:t>
      </w:r>
      <w:r>
        <w: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Parameter</w:t>
            </w:r>
          </w:p>
        </w:tc>
        <w:tc>
          <w:tcPr>
            <w:tcW w:type="dxa" w:w="3120"/>
            <w:shd w:fill="1a1a24"/>
          </w:tcPr>
          <w:p>
            <w:pPr>
              <w:spacing w:before="40" w:after="40"/>
            </w:pPr>
            <w:r>
              <w:rPr>
                <w:b/>
                <w:color w:val="FFFFFF"/>
                <w:sz w:val="19"/>
              </w:rPr>
            </w:r>
            <w:r>
              <w:rPr>
                <w:b/>
                <w:color w:val="FFFFFF"/>
                <w:sz w:val="19"/>
              </w:rPr>
              <w:t>Default</w:t>
            </w:r>
          </w:p>
        </w:tc>
        <w:tc>
          <w:tcPr>
            <w:tcW w:type="dxa" w:w="3120"/>
            <w:shd w:fill="1a1a24"/>
          </w:tcPr>
          <w:p>
            <w:pPr>
              <w:spacing w:before="40" w:after="40"/>
            </w:pPr>
            <w:r>
              <w:rPr>
                <w:b/>
                <w:color w:val="FFFFFF"/>
                <w:sz w:val="19"/>
              </w:rPr>
            </w:r>
            <w:r>
              <w:rPr>
                <w:b/>
                <w:color w:val="FFFFFF"/>
                <w:sz w:val="19"/>
              </w:rPr>
              <w:t>Purpose</w:t>
            </w:r>
          </w:p>
        </w:tc>
      </w:tr>
      <w:tr>
        <w:tc>
          <w:tcPr>
            <w:tcW w:type="dxa" w:w="3120"/>
          </w:tcPr>
          <w:p>
            <w:pPr>
              <w:spacing w:before="40" w:after="40"/>
            </w:pPr>
            <w:r>
              <w:rPr>
                <w:sz w:val="19"/>
              </w:rPr>
            </w:r>
            <w:r>
              <w:rPr>
                <w:rFonts w:ascii="Consolas" w:hAnsi="Consolas"/>
                <w:color w:val="1A6B1A"/>
                <w:sz w:val="19"/>
              </w:rPr>
              <w:t>genome</w:t>
            </w:r>
          </w:p>
        </w:tc>
        <w:tc>
          <w:tcPr>
            <w:tcW w:type="dxa" w:w="3120"/>
          </w:tcPr>
          <w:p>
            <w:pPr>
              <w:spacing w:before="40" w:after="40"/>
            </w:pPr>
            <w:r>
              <w:rPr>
                <w:sz w:val="19"/>
              </w:rPr>
            </w:r>
            <w:r>
              <w:rPr>
                <w:sz w:val="19"/>
              </w:rPr>
              <w:t>GRCh38</w:t>
            </w:r>
          </w:p>
        </w:tc>
        <w:tc>
          <w:tcPr>
            <w:tcW w:type="dxa" w:w="3120"/>
          </w:tcPr>
          <w:p>
            <w:pPr>
              <w:spacing w:before="40" w:after="40"/>
            </w:pPr>
            <w:r>
              <w:rPr>
                <w:sz w:val="19"/>
              </w:rPr>
            </w:r>
            <w:r>
              <w:rPr>
                <w:sz w:val="19"/>
              </w:rPr>
              <w:t>Reference genome build</w:t>
            </w:r>
          </w:p>
        </w:tc>
      </w:tr>
      <w:tr>
        <w:tc>
          <w:tcPr>
            <w:tcW w:type="dxa" w:w="3120"/>
            <w:shd w:fill="f0f4e8"/>
          </w:tcPr>
          <w:p>
            <w:pPr>
              <w:spacing w:before="40" w:after="40"/>
            </w:pPr>
            <w:r>
              <w:rPr>
                <w:sz w:val="19"/>
              </w:rPr>
            </w:r>
            <w:r>
              <w:rPr>
                <w:rFonts w:ascii="Consolas" w:hAnsi="Consolas"/>
                <w:color w:val="1A6B1A"/>
                <w:sz w:val="19"/>
              </w:rPr>
              <w:t>rag_model</w:t>
            </w:r>
          </w:p>
        </w:tc>
        <w:tc>
          <w:tcPr>
            <w:tcW w:type="dxa" w:w="3120"/>
            <w:shd w:fill="f0f4e8"/>
          </w:tcPr>
          <w:p>
            <w:pPr>
              <w:spacing w:before="40" w:after="40"/>
            </w:pPr>
            <w:r>
              <w:rPr>
                <w:sz w:val="19"/>
              </w:rPr>
            </w:r>
            <w:r>
              <w:rPr>
                <w:sz w:val="19"/>
              </w:rPr>
              <w:t>claude-sonnet-4-20250514</w:t>
            </w:r>
          </w:p>
        </w:tc>
        <w:tc>
          <w:tcPr>
            <w:tcW w:type="dxa" w:w="3120"/>
            <w:shd w:fill="f0f4e8"/>
          </w:tcPr>
          <w:p>
            <w:pPr>
              <w:spacing w:before="40" w:after="40"/>
            </w:pPr>
            <w:r>
              <w:rPr>
                <w:sz w:val="19"/>
              </w:rPr>
            </w:r>
            <w:r>
              <w:rPr>
                <w:sz w:val="19"/>
              </w:rPr>
              <w:t>LLM for variant interpretation</w:t>
            </w:r>
          </w:p>
        </w:tc>
      </w:tr>
      <w:tr>
        <w:tc>
          <w:tcPr>
            <w:tcW w:type="dxa" w:w="3120"/>
          </w:tcPr>
          <w:p>
            <w:pPr>
              <w:spacing w:before="40" w:after="40"/>
            </w:pPr>
            <w:r>
              <w:rPr>
                <w:sz w:val="19"/>
              </w:rPr>
            </w:r>
            <w:r>
              <w:rPr>
                <w:rFonts w:ascii="Consolas" w:hAnsi="Consolas"/>
                <w:color w:val="1A6B1A"/>
                <w:sz w:val="19"/>
              </w:rPr>
              <w:t>max_targets</w:t>
            </w:r>
          </w:p>
        </w:tc>
        <w:tc>
          <w:tcPr>
            <w:tcW w:type="dxa" w:w="3120"/>
          </w:tcPr>
          <w:p>
            <w:pPr>
              <w:spacing w:before="40" w:after="40"/>
            </w:pPr>
            <w:r>
              <w:rPr>
                <w:sz w:val="19"/>
              </w:rPr>
            </w:r>
            <w:r>
              <w:rPr>
                <w:sz w:val="19"/>
              </w:rPr>
              <w:t>5</w:t>
            </w:r>
          </w:p>
        </w:tc>
        <w:tc>
          <w:tcPr>
            <w:tcW w:type="dxa" w:w="3120"/>
          </w:tcPr>
          <w:p>
            <w:pPr>
              <w:spacing w:before="40" w:after="40"/>
            </w:pPr>
            <w:r>
              <w:rPr>
                <w:sz w:val="19"/>
              </w:rPr>
            </w:r>
            <w:r>
              <w:rPr>
                <w:sz w:val="19"/>
              </w:rPr>
              <w:t>Maximum target hypotheses</w:t>
            </w:r>
          </w:p>
        </w:tc>
      </w:tr>
      <w:tr>
        <w:tc>
          <w:tcPr>
            <w:tcW w:type="dxa" w:w="3120"/>
            <w:shd w:fill="f0f4e8"/>
          </w:tcPr>
          <w:p>
            <w:pPr>
              <w:spacing w:before="40" w:after="40"/>
            </w:pPr>
            <w:r>
              <w:rPr>
                <w:sz w:val="19"/>
              </w:rPr>
            </w:r>
            <w:r>
              <w:rPr>
                <w:rFonts w:ascii="Consolas" w:hAnsi="Consolas"/>
                <w:color w:val="1A6B1A"/>
                <w:sz w:val="19"/>
              </w:rPr>
              <w:t>confidence_threshold</w:t>
            </w:r>
          </w:p>
        </w:tc>
        <w:tc>
          <w:tcPr>
            <w:tcW w:type="dxa" w:w="3120"/>
            <w:shd w:fill="f0f4e8"/>
          </w:tcPr>
          <w:p>
            <w:pPr>
              <w:spacing w:before="40" w:after="40"/>
            </w:pPr>
            <w:r>
              <w:rPr>
                <w:sz w:val="19"/>
              </w:rPr>
            </w:r>
            <w:r>
              <w:rPr>
                <w:sz w:val="19"/>
              </w:rPr>
              <w:t>0.7</w:t>
            </w:r>
          </w:p>
        </w:tc>
        <w:tc>
          <w:tcPr>
            <w:tcW w:type="dxa" w:w="3120"/>
            <w:shd w:fill="f0f4e8"/>
          </w:tcPr>
          <w:p>
            <w:pPr>
              <w:spacing w:before="40" w:after="40"/>
            </w:pPr>
            <w:r>
              <w:rPr>
                <w:sz w:val="19"/>
              </w:rPr>
            </w:r>
            <w:r>
              <w:rPr>
                <w:sz w:val="19"/>
              </w:rPr>
              <w:t>Minimum variant call confidence</w:t>
            </w:r>
          </w:p>
        </w:tc>
      </w:tr>
      <w:tr>
        <w:tc>
          <w:tcPr>
            <w:tcW w:type="dxa" w:w="3120"/>
          </w:tcPr>
          <w:p>
            <w:pPr>
              <w:spacing w:before="40" w:after="40"/>
            </w:pPr>
            <w:r>
              <w:rPr>
                <w:sz w:val="19"/>
              </w:rPr>
            </w:r>
            <w:r>
              <w:rPr>
                <w:rFonts w:ascii="Consolas" w:hAnsi="Consolas"/>
                <w:color w:val="1A6B1A"/>
                <w:sz w:val="19"/>
              </w:rPr>
              <w:t>num_molecules</w:t>
            </w:r>
          </w:p>
        </w:tc>
        <w:tc>
          <w:tcPr>
            <w:tcW w:type="dxa" w:w="3120"/>
          </w:tcPr>
          <w:p>
            <w:pPr>
              <w:spacing w:before="40" w:after="40"/>
            </w:pPr>
            <w:r>
              <w:rPr>
                <w:sz w:val="19"/>
              </w:rPr>
            </w:r>
            <w:r>
              <w:rPr>
                <w:sz w:val="19"/>
              </w:rPr>
              <w:t>20</w:t>
            </w:r>
          </w:p>
        </w:tc>
        <w:tc>
          <w:tcPr>
            <w:tcW w:type="dxa" w:w="3120"/>
          </w:tcPr>
          <w:p>
            <w:pPr>
              <w:spacing w:before="40" w:after="40"/>
            </w:pPr>
            <w:r>
              <w:rPr>
                <w:sz w:val="19"/>
              </w:rPr>
            </w:r>
            <w:r>
              <w:rPr>
                <w:sz w:val="19"/>
              </w:rPr>
              <w:t>Candidate molecules to generate</w:t>
            </w:r>
          </w:p>
        </w:tc>
      </w:tr>
      <w:tr>
        <w:tc>
          <w:tcPr>
            <w:tcW w:type="dxa" w:w="3120"/>
            <w:shd w:fill="f0f4e8"/>
          </w:tcPr>
          <w:p>
            <w:pPr>
              <w:spacing w:before="40" w:after="40"/>
            </w:pPr>
            <w:r>
              <w:rPr>
                <w:sz w:val="19"/>
              </w:rPr>
            </w:r>
            <w:r>
              <w:rPr>
                <w:rFonts w:ascii="Consolas" w:hAnsi="Consolas"/>
                <w:color w:val="1A6B1A"/>
                <w:sz w:val="19"/>
              </w:rPr>
              <w:t>diversity</w:t>
            </w:r>
          </w:p>
        </w:tc>
        <w:tc>
          <w:tcPr>
            <w:tcW w:type="dxa" w:w="3120"/>
            <w:shd w:fill="f0f4e8"/>
          </w:tcPr>
          <w:p>
            <w:pPr>
              <w:spacing w:before="40" w:after="40"/>
            </w:pPr>
            <w:r>
              <w:rPr>
                <w:sz w:val="19"/>
              </w:rPr>
            </w:r>
            <w:r>
              <w:rPr>
                <w:sz w:val="19"/>
              </w:rPr>
              <w:t>0.3</w:t>
            </w:r>
          </w:p>
        </w:tc>
        <w:tc>
          <w:tcPr>
            <w:tcW w:type="dxa" w:w="3120"/>
            <w:shd w:fill="f0f4e8"/>
          </w:tcPr>
          <w:p>
            <w:pPr>
              <w:spacing w:before="40" w:after="40"/>
            </w:pPr>
            <w:r>
              <w:rPr>
                <w:sz w:val="19"/>
              </w:rPr>
            </w:r>
            <w:r>
              <w:rPr>
                <w:sz w:val="19"/>
              </w:rPr>
              <w:t>Molecular diversity constraint</w:t>
            </w:r>
          </w:p>
        </w:tc>
      </w:tr>
      <w:tr>
        <w:tc>
          <w:tcPr>
            <w:tcW w:type="dxa" w:w="3120"/>
          </w:tcPr>
          <w:p>
            <w:pPr>
              <w:spacing w:before="40" w:after="40"/>
            </w:pPr>
            <w:r>
              <w:rPr>
                <w:sz w:val="19"/>
              </w:rPr>
            </w:r>
            <w:r>
              <w:rPr>
                <w:rFonts w:ascii="Consolas" w:hAnsi="Consolas"/>
                <w:color w:val="1A6B1A"/>
                <w:sz w:val="19"/>
              </w:rPr>
              <w:t>max_mw</w:t>
            </w:r>
          </w:p>
        </w:tc>
        <w:tc>
          <w:tcPr>
            <w:tcW w:type="dxa" w:w="3120"/>
          </w:tcPr>
          <w:p>
            <w:pPr>
              <w:spacing w:before="40" w:after="40"/>
            </w:pPr>
            <w:r>
              <w:rPr>
                <w:sz w:val="19"/>
              </w:rPr>
            </w:r>
            <w:r>
              <w:rPr>
                <w:sz w:val="19"/>
              </w:rPr>
              <w:t>550</w:t>
            </w:r>
          </w:p>
        </w:tc>
        <w:tc>
          <w:tcPr>
            <w:tcW w:type="dxa" w:w="3120"/>
          </w:tcPr>
          <w:p>
            <w:pPr>
              <w:spacing w:before="40" w:after="40"/>
            </w:pPr>
            <w:r>
              <w:rPr>
                <w:sz w:val="19"/>
              </w:rPr>
            </w:r>
            <w:r>
              <w:rPr>
                <w:sz w:val="19"/>
              </w:rPr>
              <w:t>Maximum molecular weight (Da)</w:t>
            </w:r>
          </w:p>
        </w:tc>
      </w:tr>
      <w:tr>
        <w:tc>
          <w:tcPr>
            <w:tcW w:type="dxa" w:w="3120"/>
            <w:shd w:fill="f0f4e8"/>
          </w:tcPr>
          <w:p>
            <w:pPr>
              <w:spacing w:before="40" w:after="40"/>
            </w:pPr>
            <w:r>
              <w:rPr>
                <w:sz w:val="19"/>
              </w:rPr>
            </w:r>
            <w:r>
              <w:rPr>
                <w:rFonts w:ascii="Consolas" w:hAnsi="Consolas"/>
                <w:color w:val="1A6B1A"/>
                <w:sz w:val="19"/>
              </w:rPr>
              <w:t>docking_poses</w:t>
            </w:r>
          </w:p>
        </w:tc>
        <w:tc>
          <w:tcPr>
            <w:tcW w:type="dxa" w:w="3120"/>
            <w:shd w:fill="f0f4e8"/>
          </w:tcPr>
          <w:p>
            <w:pPr>
              <w:spacing w:before="40" w:after="40"/>
            </w:pPr>
            <w:r>
              <w:rPr>
                <w:sz w:val="19"/>
              </w:rPr>
            </w:r>
            <w:r>
              <w:rPr>
                <w:sz w:val="19"/>
              </w:rPr>
              <w:t>10</w:t>
            </w:r>
          </w:p>
        </w:tc>
        <w:tc>
          <w:tcPr>
            <w:tcW w:type="dxa" w:w="3120"/>
            <w:shd w:fill="f0f4e8"/>
          </w:tcPr>
          <w:p>
            <w:pPr>
              <w:spacing w:before="40" w:after="40"/>
            </w:pPr>
            <w:r>
              <w:rPr>
                <w:sz w:val="19"/>
              </w:rPr>
            </w:r>
            <w:r>
              <w:rPr>
                <w:sz w:val="19"/>
              </w:rPr>
              <w:t>Conformations per molecule</w:t>
            </w:r>
          </w:p>
        </w:tc>
      </w:tr>
      <w:tr>
        <w:tc>
          <w:tcPr>
            <w:tcW w:type="dxa" w:w="3120"/>
          </w:tcPr>
          <w:p>
            <w:pPr>
              <w:spacing w:before="40" w:after="40"/>
            </w:pPr>
            <w:r>
              <w:rPr>
                <w:sz w:val="19"/>
              </w:rPr>
            </w:r>
            <w:r>
              <w:rPr>
                <w:rFonts w:ascii="Consolas" w:hAnsi="Consolas"/>
                <w:color w:val="1A6B1A"/>
                <w:sz w:val="19"/>
              </w:rPr>
              <w:t>max_memory</w:t>
            </w:r>
          </w:p>
        </w:tc>
        <w:tc>
          <w:tcPr>
            <w:tcW w:type="dxa" w:w="3120"/>
          </w:tcPr>
          <w:p>
            <w:pPr>
              <w:spacing w:before="40" w:after="40"/>
            </w:pPr>
            <w:r>
              <w:rPr>
                <w:sz w:val="19"/>
              </w:rPr>
            </w:r>
            <w:r>
              <w:rPr>
                <w:sz w:val="19"/>
              </w:rPr>
              <w:t>128.GB</w:t>
            </w:r>
          </w:p>
        </w:tc>
        <w:tc>
          <w:tcPr>
            <w:tcW w:type="dxa" w:w="3120"/>
          </w:tcPr>
          <w:p>
            <w:pPr>
              <w:spacing w:before="40" w:after="40"/>
            </w:pPr>
            <w:r>
              <w:rPr>
                <w:sz w:val="19"/>
              </w:rPr>
            </w:r>
            <w:r>
              <w:rPr>
                <w:sz w:val="19"/>
              </w:rPr>
              <w:t>DGX Spark memory ceiling</w:t>
            </w:r>
          </w:p>
        </w:tc>
      </w:tr>
      <w:tr>
        <w:tc>
          <w:tcPr>
            <w:tcW w:type="dxa" w:w="3120"/>
            <w:shd w:fill="f0f4e8"/>
          </w:tcPr>
          <w:p>
            <w:pPr>
              <w:spacing w:before="40" w:after="40"/>
            </w:pPr>
            <w:r>
              <w:rPr>
                <w:sz w:val="19"/>
              </w:rPr>
            </w:r>
            <w:r>
              <w:rPr>
                <w:rFonts w:ascii="Consolas" w:hAnsi="Consolas"/>
                <w:color w:val="1A6B1A"/>
                <w:sz w:val="19"/>
              </w:rPr>
              <w:t>max_cpus</w:t>
            </w:r>
          </w:p>
        </w:tc>
        <w:tc>
          <w:tcPr>
            <w:tcW w:type="dxa" w:w="3120"/>
            <w:shd w:fill="f0f4e8"/>
          </w:tcPr>
          <w:p>
            <w:pPr>
              <w:spacing w:before="40" w:after="40"/>
            </w:pPr>
            <w:r>
              <w:rPr>
                <w:sz w:val="19"/>
              </w:rPr>
            </w:r>
            <w:r>
              <w:rPr>
                <w:sz w:val="19"/>
              </w:rPr>
              <w:t>32</w:t>
            </w:r>
          </w:p>
        </w:tc>
        <w:tc>
          <w:tcPr>
            <w:tcW w:type="dxa" w:w="3120"/>
            <w:shd w:fill="f0f4e8"/>
          </w:tcPr>
          <w:p>
            <w:pPr>
              <w:spacing w:before="40" w:after="40"/>
            </w:pPr>
            <w:r>
              <w:rPr>
                <w:sz w:val="19"/>
              </w:rPr>
            </w:r>
            <w:r>
              <w:rPr>
                <w:sz w:val="19"/>
              </w:rPr>
              <w:t>Grace CPU core count</w:t>
            </w:r>
          </w:p>
        </w:tc>
      </w:tr>
      <w:tr>
        <w:tc>
          <w:tcPr>
            <w:tcW w:type="dxa" w:w="3120"/>
          </w:tcPr>
          <w:p>
            <w:pPr>
              <w:spacing w:before="40" w:after="40"/>
            </w:pPr>
            <w:r>
              <w:rPr>
                <w:sz w:val="19"/>
              </w:rPr>
            </w:r>
            <w:r>
              <w:rPr>
                <w:rFonts w:ascii="Consolas" w:hAnsi="Consolas"/>
                <w:color w:val="1A6B1A"/>
                <w:sz w:val="19"/>
              </w:rPr>
              <w:t>max_gpus</w:t>
            </w:r>
          </w:p>
        </w:tc>
        <w:tc>
          <w:tcPr>
            <w:tcW w:type="dxa" w:w="3120"/>
          </w:tcPr>
          <w:p>
            <w:pPr>
              <w:spacing w:before="40" w:after="40"/>
            </w:pPr>
            <w:r>
              <w:rPr>
                <w:sz w:val="19"/>
              </w:rPr>
            </w:r>
            <w:r>
              <w:rPr>
                <w:sz w:val="19"/>
              </w:rPr>
              <w:t>1</w:t>
            </w:r>
          </w:p>
        </w:tc>
        <w:tc>
          <w:tcPr>
            <w:tcW w:type="dxa" w:w="3120"/>
          </w:tcPr>
          <w:p>
            <w:pPr>
              <w:spacing w:before="40" w:after="40"/>
            </w:pPr>
            <w:r>
              <w:rPr>
                <w:sz w:val="19"/>
              </w:rPr>
            </w:r>
            <w:r>
              <w:rPr>
                <w:sz w:val="19"/>
              </w:rPr>
              <w:t>GB10 GPU count</w:t>
            </w:r>
          </w:p>
        </w:tc>
      </w:tr>
    </w:tbl>
    <w:p/>
    <w:p>
      <w:pPr>
        <w:pStyle w:val="Heading3"/>
      </w:pPr>
      <w:r>
        <w:t>8.4 Execution Profiles</w:t>
      </w:r>
    </w:p>
    <w:p>
      <w:r>
        <w:t>Six profiles optimize for different deployment environments:</w:t>
      </w:r>
    </w:p>
    <w:p>
      <w:pPr>
        <w:pStyle w:val="ListBullet"/>
      </w:pPr>
      <w:r>
        <w:rPr>
          <w:b/>
        </w:rPr>
        <w:t>standard</w:t>
      </w:r>
      <w:r>
        <w:t>: Local executor</w:t>
      </w:r>
    </w:p>
    <w:p>
      <w:pPr>
        <w:pStyle w:val="ListBullet"/>
      </w:pPr>
      <w:r>
        <w:rPr>
          <w:b/>
        </w:rPr>
        <w:t>docker</w:t>
      </w:r>
      <w:r>
        <w:t>: Docker with user ID mapping</w:t>
      </w:r>
    </w:p>
    <w:p>
      <w:pPr>
        <w:pStyle w:val="ListBullet"/>
      </w:pPr>
      <w:r>
        <w:rPr>
          <w:b/>
        </w:rPr>
        <w:t>singularity</w:t>
      </w:r>
      <w:r>
        <w:t>: Singularity with automounts (HPC)</w:t>
      </w:r>
    </w:p>
    <w:p>
      <w:pPr>
        <w:pStyle w:val="ListBullet"/>
      </w:pPr>
      <w:r>
        <w:rPr>
          <w:b/>
        </w:rPr>
        <w:t>dgx_spark</w:t>
      </w:r>
      <w:r>
        <w:t xml:space="preserve">: Docker with </w:t>
      </w:r>
      <w:r>
        <w:rPr>
          <w:rFonts w:ascii="Consolas" w:hAnsi="Consolas"/>
          <w:color w:val="1A6B1A"/>
          <w:sz w:val="19"/>
        </w:rPr>
        <w:t>--gpus all</w:t>
      </w:r>
      <w:r>
        <w:t>, GPU/memory optimized</w:t>
      </w:r>
    </w:p>
    <w:p>
      <w:pPr>
        <w:pStyle w:val="ListBullet"/>
      </w:pPr>
      <w:r>
        <w:rPr>
          <w:b/>
        </w:rPr>
        <w:t>slurm</w:t>
      </w:r>
      <w:r>
        <w:t>: SLURM queue-based execution (HPC clusters)</w:t>
      </w:r>
    </w:p>
    <w:p>
      <w:pPr>
        <w:pStyle w:val="ListBullet"/>
      </w:pPr>
      <w:r>
        <w:rPr>
          <w:b/>
        </w:rPr>
        <w:t>test</w:t>
      </w:r>
      <w:r>
        <w:t>: Demo mode with reduced molecule count</w:t>
      </w:r>
    </w:p>
    <w:p>
      <w:pPr>
        <w:pStyle w:val="Heading3"/>
      </w:pPr>
      <w:r>
        <w:t>8.5 Container Assignments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a1a24"/>
          </w:tcPr>
          <w:p>
            <w:pPr>
              <w:spacing w:before="40" w:after="40"/>
            </w:pPr>
            <w:r>
              <w:rPr>
                <w:b/>
                <w:color w:val="FFFFFF"/>
                <w:sz w:val="19"/>
              </w:rPr>
            </w:r>
            <w:r>
              <w:rPr>
                <w:b/>
                <w:color w:val="FFFFFF"/>
                <w:sz w:val="19"/>
              </w:rPr>
              <w:t>Process Pattern</w:t>
            </w:r>
          </w:p>
        </w:tc>
        <w:tc>
          <w:tcPr>
            <w:tcW w:type="dxa" w:w="4680"/>
            <w:shd w:fill="1a1a24"/>
          </w:tcPr>
          <w:p>
            <w:pPr>
              <w:spacing w:before="40" w:after="40"/>
            </w:pPr>
            <w:r>
              <w:rPr>
                <w:b/>
                <w:color w:val="FFFFFF"/>
                <w:sz w:val="19"/>
              </w:rPr>
            </w:r>
            <w:r>
              <w:rPr>
                <w:b/>
                <w:color w:val="FFFFFF"/>
                <w:sz w:val="19"/>
              </w:rPr>
              <w:t>Container Image</w:t>
            </w:r>
          </w:p>
        </w:tc>
      </w:tr>
      <w:tr>
        <w:tc>
          <w:tcPr>
            <w:tcW w:type="dxa" w:w="4680"/>
          </w:tcPr>
          <w:p>
            <w:pPr>
              <w:spacing w:before="40" w:after="40"/>
            </w:pPr>
            <w:r>
              <w:rPr>
                <w:sz w:val="19"/>
              </w:rPr>
            </w:r>
            <w:r>
              <w:rPr>
                <w:rFonts w:ascii="Consolas" w:hAnsi="Consolas"/>
                <w:color w:val="1A6B1A"/>
                <w:sz w:val="19"/>
              </w:rPr>
              <w:t>GENOMICS_.*</w:t>
            </w:r>
          </w:p>
        </w:tc>
        <w:tc>
          <w:tcPr>
            <w:tcW w:type="dxa" w:w="4680"/>
          </w:tcPr>
          <w:p>
            <w:pPr>
              <w:spacing w:before="40" w:after="40"/>
            </w:pPr>
            <w:r>
              <w:rPr>
                <w:sz w:val="19"/>
              </w:rPr>
            </w:r>
            <w:r>
              <w:rPr>
                <w:sz w:val="19"/>
              </w:rPr>
              <w:t>nfcore/sarek:3.4.0</w:t>
            </w:r>
          </w:p>
        </w:tc>
      </w:tr>
      <w:tr>
        <w:tc>
          <w:tcPr>
            <w:tcW w:type="dxa" w:w="4680"/>
            <w:shd w:fill="f0f4e8"/>
          </w:tcPr>
          <w:p>
            <w:pPr>
              <w:spacing w:before="40" w:after="40"/>
            </w:pPr>
            <w:r>
              <w:rPr>
                <w:sz w:val="19"/>
              </w:rPr>
            </w:r>
            <w:r>
              <w:rPr>
                <w:rFonts w:ascii="Consolas" w:hAnsi="Consolas"/>
                <w:color w:val="1A6B1A"/>
                <w:sz w:val="19"/>
              </w:rPr>
              <w:t>RAG_CHAT_.*</w:t>
            </w:r>
          </w:p>
        </w:tc>
        <w:tc>
          <w:tcPr>
            <w:tcW w:type="dxa" w:w="4680"/>
            <w:shd w:fill="f0f4e8"/>
          </w:tcPr>
          <w:p>
            <w:pPr>
              <w:spacing w:before="40" w:after="40"/>
            </w:pPr>
            <w:r>
              <w:rPr>
                <w:sz w:val="19"/>
              </w:rPr>
            </w:r>
            <w:r>
              <w:rPr>
                <w:sz w:val="19"/>
              </w:rPr>
              <w:t>hls-pipeline/rag-chat:latest</w:t>
            </w:r>
          </w:p>
        </w:tc>
      </w:tr>
      <w:tr>
        <w:tc>
          <w:tcPr>
            <w:tcW w:type="dxa" w:w="4680"/>
          </w:tcPr>
          <w:p>
            <w:pPr>
              <w:spacing w:before="40" w:after="40"/>
            </w:pPr>
            <w:r>
              <w:rPr>
                <w:sz w:val="19"/>
              </w:rPr>
            </w:r>
            <w:r>
              <w:rPr>
                <w:rFonts w:ascii="Consolas" w:hAnsi="Consolas"/>
                <w:color w:val="1A6B1A"/>
                <w:sz w:val="19"/>
              </w:rPr>
              <w:t>DRUG_DISCOVERY_.*</w:t>
            </w:r>
          </w:p>
        </w:tc>
        <w:tc>
          <w:tcPr>
            <w:tcW w:type="dxa" w:w="4680"/>
          </w:tcPr>
          <w:p>
            <w:pPr>
              <w:spacing w:before="40" w:after="40"/>
            </w:pPr>
            <w:r>
              <w:rPr>
                <w:sz w:val="19"/>
              </w:rPr>
            </w:r>
            <w:r>
              <w:rPr>
                <w:sz w:val="19"/>
              </w:rPr>
              <w:t>hls-pipeline/drug-discovery:latest</w:t>
            </w:r>
          </w:p>
        </w:tc>
      </w:tr>
      <w:tr>
        <w:tc>
          <w:tcPr>
            <w:tcW w:type="dxa" w:w="4680"/>
            <w:shd w:fill="f0f4e8"/>
          </w:tcPr>
          <w:p>
            <w:pPr>
              <w:spacing w:before="40" w:after="40"/>
            </w:pPr>
            <w:r>
              <w:rPr>
                <w:sz w:val="19"/>
              </w:rPr>
            </w:r>
            <w:r>
              <w:rPr>
                <w:rFonts w:ascii="Consolas" w:hAnsi="Consolas"/>
                <w:color w:val="1A6B1A"/>
                <w:sz w:val="19"/>
              </w:rPr>
              <w:t>MOLMIM_.*</w:t>
            </w:r>
          </w:p>
        </w:tc>
        <w:tc>
          <w:tcPr>
            <w:tcW w:type="dxa" w:w="4680"/>
            <w:shd w:fill="f0f4e8"/>
          </w:tcPr>
          <w:p>
            <w:pPr>
              <w:spacing w:before="40" w:after="40"/>
            </w:pPr>
            <w:r>
              <w:rPr>
                <w:sz w:val="19"/>
              </w:rPr>
            </w:r>
            <w:r>
              <w:rPr>
                <w:sz w:val="19"/>
              </w:rPr>
              <w:t>nvcr.io/nim/nvidia/molmim:1.0.0</w:t>
            </w:r>
          </w:p>
        </w:tc>
      </w:tr>
      <w:tr>
        <w:tc>
          <w:tcPr>
            <w:tcW w:type="dxa" w:w="4680"/>
          </w:tcPr>
          <w:p>
            <w:pPr>
              <w:spacing w:before="40" w:after="40"/>
            </w:pPr>
            <w:r>
              <w:rPr>
                <w:sz w:val="19"/>
              </w:rPr>
            </w:r>
            <w:r>
              <w:rPr>
                <w:rFonts w:ascii="Consolas" w:hAnsi="Consolas"/>
                <w:color w:val="1A6B1A"/>
                <w:sz w:val="19"/>
              </w:rPr>
              <w:t>DIFFDOCK_.*</w:t>
            </w:r>
          </w:p>
        </w:tc>
        <w:tc>
          <w:tcPr>
            <w:tcW w:type="dxa" w:w="4680"/>
          </w:tcPr>
          <w:p>
            <w:pPr>
              <w:spacing w:before="40" w:after="40"/>
            </w:pPr>
            <w:r>
              <w:rPr>
                <w:sz w:val="19"/>
              </w:rPr>
            </w:r>
            <w:r>
              <w:rPr>
                <w:sz w:val="19"/>
              </w:rPr>
              <w:t>nvcr.io/nim/mit/diffdock:2.2.0</w:t>
            </w:r>
          </w:p>
        </w:tc>
      </w:tr>
    </w:tbl>
    <w:p/>
    <w:p>
      <w:pPr>
        <w:pStyle w:val="Heading3"/>
      </w:pPr>
      <w:r>
        <w:t>8.6 Reporting and Tracing</w:t>
      </w:r>
    </w:p>
    <w:p>
      <w:r>
        <w:t>The orchestrator generates four reports per run:</w:t>
      </w:r>
    </w:p>
    <w:p>
      <w:pPr>
        <w:pStyle w:val="ListBullet"/>
      </w:pPr>
      <w:r>
        <w:t>Pipeline execution report (HTML)</w:t>
      </w:r>
    </w:p>
    <w:p>
      <w:pPr>
        <w:pStyle w:val="ListBullet"/>
      </w:pPr>
      <w:r>
        <w:t>Timeline visualization (HTML)</w:t>
      </w:r>
    </w:p>
    <w:p>
      <w:pPr>
        <w:pStyle w:val="ListBullet"/>
      </w:pPr>
      <w:r>
        <w:t>Trace data (TSV: task_id, hash, status, duration, CPU, RSS, VMEM)</w:t>
      </w:r>
    </w:p>
    <w:p>
      <w:pPr>
        <w:pStyle w:val="ListBullet"/>
      </w:pPr>
      <w:r>
        <w:t>DAG visualization (HTML)</w:t>
      </w:r>
    </w:p>
    <w:p>
      <w:pPr>
        <w:spacing w:before="120" w:after="120"/>
        <w:pBdr>
          <w:bottom w:val="single" w:sz="4" w:space="1" w:color="76B900"/>
        </w:pBdr>
      </w:pPr>
    </w:p>
    <w:p>
      <w:r>
        <w:br w:type="page"/>
      </w:r>
    </w:p>
    <w:p>
      <w:pPr>
        <w:pStyle w:val="Heading2"/>
      </w:pPr>
      <w:r>
        <w:t>9. Shared Infrastructure and Services</w:t>
      </w:r>
    </w:p>
    <w:p>
      <w:pPr>
        <w:pStyle w:val="Heading3"/>
      </w:pPr>
      <w:r>
        <w:t>9.1 Milvus Vector Database</w:t>
      </w:r>
    </w:p>
    <w:p>
      <w:r>
        <w:t>Milvus 2.4+ serves as the unified vector store for all RAG operations: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a1a24"/>
          </w:tcPr>
          <w:p>
            <w:pPr>
              <w:spacing w:before="40" w:after="40"/>
            </w:pPr>
            <w:r>
              <w:rPr>
                <w:b/>
                <w:color w:val="FFFFFF"/>
                <w:sz w:val="19"/>
              </w:rPr>
            </w:r>
            <w:r>
              <w:rPr>
                <w:b/>
                <w:color w:val="FFFFFF"/>
                <w:sz w:val="19"/>
              </w:rPr>
              <w:t>Configuration</w:t>
            </w:r>
          </w:p>
        </w:tc>
        <w:tc>
          <w:tcPr>
            <w:tcW w:type="dxa" w:w="4680"/>
            <w:shd w:fill="1a1a24"/>
          </w:tcPr>
          <w:p>
            <w:pPr>
              <w:spacing w:before="40" w:after="40"/>
            </w:pPr>
            <w:r>
              <w:rPr>
                <w:b/>
                <w:color w:val="FFFFFF"/>
                <w:sz w:val="19"/>
              </w:rPr>
            </w:r>
            <w:r>
              <w:rPr>
                <w:b/>
                <w:color w:val="FFFFFF"/>
                <w:sz w:val="19"/>
              </w:rPr>
              <w:t>Value</w:t>
            </w:r>
          </w:p>
        </w:tc>
      </w:tr>
      <w:tr>
        <w:tc>
          <w:tcPr>
            <w:tcW w:type="dxa" w:w="4680"/>
          </w:tcPr>
          <w:p>
            <w:pPr>
              <w:spacing w:before="40" w:after="40"/>
            </w:pPr>
            <w:r>
              <w:rPr>
                <w:sz w:val="19"/>
              </w:rPr>
            </w:r>
            <w:r>
              <w:rPr>
                <w:sz w:val="19"/>
              </w:rPr>
              <w:t>Port</w:t>
            </w:r>
          </w:p>
        </w:tc>
        <w:tc>
          <w:tcPr>
            <w:tcW w:type="dxa" w:w="4680"/>
          </w:tcPr>
          <w:p>
            <w:pPr>
              <w:spacing w:before="40" w:after="40"/>
            </w:pPr>
            <w:r>
              <w:rPr>
                <w:sz w:val="19"/>
              </w:rPr>
            </w:r>
            <w:r>
              <w:rPr>
                <w:sz w:val="19"/>
              </w:rPr>
              <w:t>19530</w:t>
            </w:r>
          </w:p>
        </w:tc>
      </w:tr>
      <w:tr>
        <w:tc>
          <w:tcPr>
            <w:tcW w:type="dxa" w:w="4680"/>
            <w:shd w:fill="f0f4e8"/>
          </w:tcPr>
          <w:p>
            <w:pPr>
              <w:spacing w:before="40" w:after="40"/>
            </w:pPr>
            <w:r>
              <w:rPr>
                <w:sz w:val="19"/>
              </w:rPr>
            </w:r>
            <w:r>
              <w:rPr>
                <w:sz w:val="19"/>
              </w:rPr>
              <w:t>Index Type</w:t>
            </w:r>
          </w:p>
        </w:tc>
        <w:tc>
          <w:tcPr>
            <w:tcW w:type="dxa" w:w="4680"/>
            <w:shd w:fill="f0f4e8"/>
          </w:tcPr>
          <w:p>
            <w:pPr>
              <w:spacing w:before="40" w:after="40"/>
            </w:pPr>
            <w:r>
              <w:rPr>
                <w:sz w:val="19"/>
              </w:rPr>
            </w:r>
            <w:r>
              <w:rPr>
                <w:sz w:val="19"/>
              </w:rPr>
              <w:t>IVF_FLAT</w:t>
            </w:r>
          </w:p>
        </w:tc>
      </w:tr>
      <w:tr>
        <w:tc>
          <w:tcPr>
            <w:tcW w:type="dxa" w:w="4680"/>
          </w:tcPr>
          <w:p>
            <w:pPr>
              <w:spacing w:before="40" w:after="40"/>
            </w:pPr>
            <w:r>
              <w:rPr>
                <w:sz w:val="19"/>
              </w:rPr>
            </w:r>
            <w:r>
              <w:rPr>
                <w:sz w:val="19"/>
              </w:rPr>
              <w:t>Metric</w:t>
            </w:r>
          </w:p>
        </w:tc>
        <w:tc>
          <w:tcPr>
            <w:tcW w:type="dxa" w:w="4680"/>
          </w:tcPr>
          <w:p>
            <w:pPr>
              <w:spacing w:before="40" w:after="40"/>
            </w:pPr>
            <w:r>
              <w:rPr>
                <w:sz w:val="19"/>
              </w:rPr>
            </w:r>
            <w:r>
              <w:rPr>
                <w:sz w:val="19"/>
              </w:rPr>
              <w:t>COSINE</w:t>
            </w:r>
          </w:p>
        </w:tc>
      </w:tr>
      <w:tr>
        <w:tc>
          <w:tcPr>
            <w:tcW w:type="dxa" w:w="4680"/>
            <w:shd w:fill="f0f4e8"/>
          </w:tcPr>
          <w:p>
            <w:pPr>
              <w:spacing w:before="40" w:after="40"/>
            </w:pPr>
            <w:r>
              <w:rPr>
                <w:sz w:val="19"/>
              </w:rPr>
            </w:r>
            <w:r>
              <w:rPr>
                <w:sz w:val="19"/>
              </w:rPr>
              <w:t>nlist (partitions)</w:t>
            </w:r>
          </w:p>
        </w:tc>
        <w:tc>
          <w:tcPr>
            <w:tcW w:type="dxa" w:w="4680"/>
            <w:shd w:fill="f0f4e8"/>
          </w:tcPr>
          <w:p>
            <w:pPr>
              <w:spacing w:before="40" w:after="40"/>
            </w:pPr>
            <w:r>
              <w:rPr>
                <w:sz w:val="19"/>
              </w:rPr>
            </w:r>
            <w:r>
              <w:rPr>
                <w:sz w:val="19"/>
              </w:rPr>
              <w:t>1,024</w:t>
            </w:r>
          </w:p>
        </w:tc>
      </w:tr>
      <w:tr>
        <w:tc>
          <w:tcPr>
            <w:tcW w:type="dxa" w:w="4680"/>
          </w:tcPr>
          <w:p>
            <w:pPr>
              <w:spacing w:before="40" w:after="40"/>
            </w:pPr>
            <w:r>
              <w:rPr>
                <w:sz w:val="19"/>
              </w:rPr>
            </w:r>
            <w:r>
              <w:rPr>
                <w:sz w:val="19"/>
              </w:rPr>
              <w:t>nprobe (search probes)</w:t>
            </w:r>
          </w:p>
        </w:tc>
        <w:tc>
          <w:tcPr>
            <w:tcW w:type="dxa" w:w="4680"/>
          </w:tcPr>
          <w:p>
            <w:pPr>
              <w:spacing w:before="40" w:after="40"/>
            </w:pPr>
            <w:r>
              <w:rPr>
                <w:sz w:val="19"/>
              </w:rPr>
            </w:r>
            <w:r>
              <w:rPr>
                <w:sz w:val="19"/>
              </w:rPr>
              <w:t>16</w:t>
            </w:r>
          </w:p>
        </w:tc>
      </w:tr>
      <w:tr>
        <w:tc>
          <w:tcPr>
            <w:tcW w:type="dxa" w:w="4680"/>
            <w:shd w:fill="f0f4e8"/>
          </w:tcPr>
          <w:p>
            <w:pPr>
              <w:spacing w:before="40" w:after="40"/>
            </w:pPr>
            <w:r>
              <w:rPr>
                <w:sz w:val="19"/>
              </w:rPr>
            </w:r>
            <w:r>
              <w:rPr>
                <w:sz w:val="19"/>
              </w:rPr>
              <w:t>Embedding Dimension</w:t>
            </w:r>
          </w:p>
        </w:tc>
        <w:tc>
          <w:tcPr>
            <w:tcW w:type="dxa" w:w="4680"/>
            <w:shd w:fill="f0f4e8"/>
          </w:tcPr>
          <w:p>
            <w:pPr>
              <w:spacing w:before="40" w:after="40"/>
            </w:pPr>
            <w:r>
              <w:rPr>
                <w:sz w:val="19"/>
              </w:rPr>
            </w:r>
            <w:r>
              <w:rPr>
                <w:sz w:val="19"/>
              </w:rPr>
              <w:t>384</w:t>
            </w:r>
          </w:p>
        </w:tc>
      </w:tr>
    </w:tbl>
    <w:p/>
    <w:p>
      <w:r>
        <w:t>Total vector inventory:</w:t>
      </w:r>
    </w:p>
    <w:p>
      <w:pPr>
        <w:pStyle w:val="ListBullet"/>
      </w:pPr>
      <w:r>
        <w:t>genomic_evidence: 35,616 variants</w:t>
      </w:r>
    </w:p>
    <w:p>
      <w:pPr>
        <w:pStyle w:val="ListBullet"/>
      </w:pPr>
      <w:r>
        <w:t>CAR-T collections (10): 6,266+ records</w:t>
      </w:r>
    </w:p>
    <w:p>
      <w:pPr>
        <w:pStyle w:val="ListBullet"/>
      </w:pPr>
      <w:r>
        <w:rPr>
          <w:b/>
        </w:rPr>
        <w:t>Total: ~41,882 vectors</w:t>
      </w:r>
    </w:p>
    <w:p>
      <w:pPr>
        <w:pStyle w:val="Heading3"/>
      </w:pPr>
      <w:r>
        <w:t>9.2 Embedding Model</w:t>
      </w:r>
    </w:p>
    <w:p>
      <w:r>
        <w:t>BGE-small-en-v1.5 (BAAI) generates all embeddings:</w:t>
      </w:r>
    </w:p>
    <w:p>
      <w:pPr>
        <w:pStyle w:val="ListBullet"/>
      </w:pPr>
      <w:r>
        <w:t>Dimension: 384</w:t>
      </w:r>
    </w:p>
    <w:p>
      <w:pPr>
        <w:pStyle w:val="ListBullet"/>
      </w:pPr>
      <w:r>
        <w:t>Normalization: L2-normalized</w:t>
      </w:r>
    </w:p>
    <w:p>
      <w:pPr>
        <w:pStyle w:val="ListBullet"/>
      </w:pPr>
      <w:r>
        <w:t>Query prefix: "Represent this sentence for searching relevant passages: "</w:t>
      </w:r>
    </w:p>
    <w:p>
      <w:pPr>
        <w:pStyle w:val="ListBullet"/>
      </w:pPr>
      <w:r>
        <w:t>Batch size: 32</w:t>
      </w:r>
    </w:p>
    <w:p>
      <w:pPr>
        <w:pStyle w:val="ListBullet"/>
      </w:pPr>
      <w:r>
        <w:t>Speed: ~50-100 embeddings/second on GPU</w:t>
      </w:r>
    </w:p>
    <w:p>
      <w:pPr>
        <w:pStyle w:val="Heading3"/>
      </w:pPr>
      <w:r>
        <w:t>9.3 Landing Page Dashboard</w:t>
      </w:r>
    </w:p>
    <w:p>
      <w:r>
        <w:t>The Flask landing page (port 8080) provides centralized health monitoring for 11 services:</w:t>
      </w:r>
    </w:p>
    <w:p>
      <w:pPr>
        <w:pStyle w:val="ListBullet"/>
      </w:pPr>
      <w:r>
        <w:rPr>
          <w:b/>
        </w:rPr>
        <w:t>Health checking</w:t>
      </w:r>
      <w:r>
        <w:t>: HTTP GET or TCP socket probing per service</w:t>
      </w:r>
    </w:p>
    <w:p>
      <w:pPr>
        <w:pStyle w:val="ListBullet"/>
      </w:pPr>
      <w:r>
        <w:rPr>
          <w:b/>
        </w:rPr>
        <w:t>Parallel execution</w:t>
      </w:r>
      <w:r>
        <w:t>: ThreadPoolExecutor (10 workers) for simultaneous checks</w:t>
      </w:r>
    </w:p>
    <w:p>
      <w:pPr>
        <w:pStyle w:val="ListBullet"/>
      </w:pPr>
      <w:r>
        <w:rPr>
          <w:b/>
        </w:rPr>
        <w:t>Auto-start capability</w:t>
      </w:r>
      <w:r>
        <w:t>: Genomics Portal (port 5000) and RAG API (port 5001) are auto-launched if their ports are closed</w:t>
      </w:r>
    </w:p>
    <w:p>
      <w:pPr>
        <w:pStyle w:val="ListBullet"/>
      </w:pPr>
      <w:r>
        <w:rPr>
          <w:b/>
        </w:rPr>
        <w:t>Readiness gate</w:t>
      </w:r>
      <w:r>
        <w:t xml:space="preserve">: </w:t>
      </w:r>
      <w:r>
        <w:rPr>
          <w:rFonts w:ascii="Consolas" w:hAnsi="Consolas"/>
          <w:color w:val="1A6B1A"/>
          <w:sz w:val="19"/>
        </w:rPr>
        <w:t>/api/ready</w:t>
      </w:r>
      <w:r>
        <w:t xml:space="preserve"> returns HTTP 503 until critical services (genomics, rag-portal, drug-main) respond</w:t>
      </w:r>
    </w:p>
    <w:p>
      <w:pPr>
        <w:pStyle w:val="ListBullet"/>
      </w:pPr>
      <w:r>
        <w:rPr>
          <w:b/>
        </w:rPr>
        <w:t>Report freshness</w:t>
      </w:r>
      <w:r>
        <w:t xml:space="preserve">: </w:t>
      </w:r>
      <w:r>
        <w:rPr>
          <w:rFonts w:ascii="Consolas" w:hAnsi="Consolas"/>
          <w:color w:val="1A6B1A"/>
          <w:sz w:val="19"/>
        </w:rPr>
        <w:t>/api/report-status</w:t>
      </w:r>
      <w:r>
        <w:t xml:space="preserve"> tracks PDF report generation timestamps</w:t>
      </w:r>
    </w:p>
    <w:p>
      <w:pPr>
        <w:pStyle w:val="Heading3"/>
      </w:pPr>
      <w:r>
        <w:t>9.4 Monitoring Stack</w:t>
      </w:r>
    </w:p>
    <w:p>
      <w:pPr>
        <w:pStyle w:val="ListBullet"/>
      </w:pPr>
      <w:r>
        <w:rPr>
          <w:b/>
        </w:rPr>
        <w:t>Grafana</w:t>
      </w:r>
      <w:r>
        <w:t xml:space="preserve"> (port 3000): Dashboard visualization</w:t>
      </w:r>
    </w:p>
    <w:p>
      <w:pPr>
        <w:pStyle w:val="ListBullet"/>
      </w:pPr>
      <w:r>
        <w:rPr>
          <w:b/>
        </w:rPr>
        <w:t>Prometheus</w:t>
      </w:r>
      <w:r>
        <w:t xml:space="preserve"> (port 9099): Time-series metrics collection</w:t>
      </w:r>
    </w:p>
    <w:p>
      <w:pPr>
        <w:pStyle w:val="ListBullet"/>
      </w:pPr>
      <w:r>
        <w:rPr>
          <w:b/>
        </w:rPr>
        <w:t>Node Exporter</w:t>
      </w:r>
      <w:r>
        <w:t xml:space="preserve"> (port 9100): System-level metrics (CPU, memory, disk, network)</w:t>
      </w:r>
    </w:p>
    <w:p>
      <w:pPr>
        <w:pStyle w:val="ListBullet"/>
      </w:pPr>
      <w:r>
        <w:rPr>
          <w:b/>
        </w:rPr>
        <w:t>DCGM Exporter</w:t>
      </w:r>
      <w:r>
        <w:t xml:space="preserve"> (port 9400): GPU-specific metrics (utilization, temperature, power, memory bandwidth)</w:t>
      </w:r>
    </w:p>
    <w:p>
      <w:pPr>
        <w:spacing w:before="120" w:after="120"/>
        <w:pBdr>
          <w:bottom w:val="single" w:sz="4" w:space="1" w:color="76B900"/>
        </w:pBdr>
      </w:pPr>
    </w:p>
    <w:p>
      <w:r>
        <w:br w:type="page"/>
      </w:r>
    </w:p>
    <w:p>
      <w:pPr>
        <w:pStyle w:val="Heading2"/>
      </w:pPr>
      <w:r>
        <w:t>10. Current Integration Analysis</w:t>
      </w:r>
    </w:p>
    <w:p>
      <w:pPr>
        <w:pStyle w:val="Heading3"/>
      </w:pPr>
      <w:r>
        <w:t>10.1 Existing Integration Points</w:t>
      </w:r>
    </w:p>
    <w:p>
      <w:r>
        <w:t>The platform currently has four integration points:</w:t>
      </w:r>
    </w:p>
    <w:p>
      <w:pPr>
        <w:pStyle w:val="ListNumber"/>
      </w:pPr>
      <w:r>
        <w:rPr>
          <w:b/>
        </w:rPr>
        <w:t>VCF Handoff</w:t>
      </w:r>
      <w:r>
        <w:t xml:space="preserve"> (Genomics → RAG): The VCF file produced by Stage 1 is manually ingested by the RAG pipeline's VCF parser. This is a one-time batch process, not a continuous data flow.</w:t>
      </w:r>
    </w:p>
    <w:p>
      <w:pPr>
        <w:pStyle w:val="ListNumber"/>
      </w:pPr>
      <w:r>
        <w:rPr>
          <w:b/>
        </w:rPr>
        <w:t>Target Export</w:t>
      </w:r>
      <w:r>
        <w:t xml:space="preserve"> (RAG → Drug Discovery): The RAG pipeline's TargetHypothesisManager exports validated targets as JSON, which the Drug Discovery pipeline's TargetImporter consumes.</w:t>
      </w:r>
    </w:p>
    <w:p>
      <w:pPr>
        <w:pStyle w:val="ListNumber"/>
      </w:pPr>
      <w:r>
        <w:rPr>
          <w:b/>
        </w:rPr>
        <w:t>Shared Milvus</w:t>
      </w:r>
      <w:r>
        <w:t xml:space="preserve"> (RAG ↔ CAR-T): Both systems connect to the same Milvus instance. The CAR-T Agent has read-only access to the </w:t>
      </w:r>
      <w:r>
        <w:rPr>
          <w:rFonts w:ascii="Consolas" w:hAnsi="Consolas"/>
          <w:color w:val="1A6B1A"/>
          <w:sz w:val="19"/>
        </w:rPr>
        <w:t>genomic_evidence</w:t>
      </w:r>
      <w:r>
        <w:t xml:space="preserve"> collection populated by the RAG pipeline.</w:t>
      </w:r>
    </w:p>
    <w:p>
      <w:pPr>
        <w:pStyle w:val="ListNumber"/>
      </w:pPr>
      <w:r>
        <w:rPr>
          <w:b/>
        </w:rPr>
        <w:t>Shared Embedder</w:t>
      </w:r>
      <w:r>
        <w:t xml:space="preserve"> (RAG ↔ CAR-T): Both use identical BGE-small-en-v1.5 models, ensuring vector compatibility.</w:t>
      </w:r>
    </w:p>
    <w:p>
      <w:pPr>
        <w:pStyle w:val="Heading3"/>
      </w:pPr>
      <w:r>
        <w:t>10.2 Integration Gaps</w:t>
      </w:r>
    </w:p>
    <w:p>
      <w:r>
        <w:t>Despite sharing infrastructure, the platform has significant integration gaps:</w:t>
      </w:r>
    </w:p>
    <w:p>
      <w:r>
        <w:rPr>
          <w:b/>
        </w:rPr>
        <w:t>Gap 1: No Bidirectional Communication.</w:t>
      </w:r>
      <w:r>
        <w:t xml:space="preserve"> The pipeline flows strictly downward (FASTQ → VCF → Targets → Molecules). The Drug Discovery pipeline cannot request additional variant context from the RAG system, and the CAR-T Agent cannot trigger drug design for identified targets.</w:t>
      </w:r>
    </w:p>
    <w:p>
      <w:r>
        <w:rPr>
          <w:b/>
        </w:rPr>
        <w:t>Gap 2: Hardcoded Gene Database.</w:t>
      </w:r>
      <w:r>
        <w:t xml:space="preserve"> The Nextflow orchestrator's </w:t>
      </w:r>
      <w:r>
        <w:rPr>
          <w:rFonts w:ascii="Consolas" w:hAnsi="Consolas"/>
          <w:color w:val="1A6B1A"/>
          <w:sz w:val="19"/>
        </w:rPr>
        <w:t>RAG_IDENTIFY_TARGETS</w:t>
      </w:r>
      <w:r>
        <w:t xml:space="preserve"> process contains a hardcoded 11-gene database (VCP, BRCA1, TP53, EGFR, etc.) rather than dynamically querying Milvus for variant-driven target identification.</w:t>
      </w:r>
    </w:p>
    <w:p>
      <w:r>
        <w:rPr>
          <w:b/>
        </w:rPr>
        <w:t>Gap 3: Duplicate Code.</w:t>
      </w:r>
      <w:r>
        <w:t xml:space="preserve"> The RAG pipeline (</w:t>
      </w:r>
      <w:r>
        <w:rPr>
          <w:rFonts w:ascii="Consolas" w:hAnsi="Consolas"/>
          <w:color w:val="1A6B1A"/>
          <w:sz w:val="19"/>
        </w:rPr>
        <w:t>src/milvus_client.py</w:t>
      </w:r>
      <w:r>
        <w:t>) and CAR-T Agent (</w:t>
      </w:r>
      <w:r>
        <w:rPr>
          <w:rFonts w:ascii="Consolas" w:hAnsi="Consolas"/>
          <w:color w:val="1A6B1A"/>
          <w:sz w:val="19"/>
        </w:rPr>
        <w:t>src/milvus_manager.py</w:t>
      </w:r>
      <w:r>
        <w:t>) each implement their own Milvus connection management, embedding wrappers, and Claude API clients. Bug fixes in one don't propagate to the other.</w:t>
      </w:r>
    </w:p>
    <w:p>
      <w:r>
        <w:rPr>
          <w:b/>
        </w:rPr>
        <w:t>Gap 4: CAR-T Agent Isolation.</w:t>
      </w:r>
      <w:r>
        <w:t xml:space="preserve"> The CAR-T Agent operates as a standalone application with no presence in the Nextflow orchestrator, landing page dashboard, or Unified Portal. It cannot receive patient-specific genomic context from Stage 1.</w:t>
      </w:r>
    </w:p>
    <w:p>
      <w:r>
        <w:rPr>
          <w:b/>
        </w:rPr>
        <w:t>Gap 5: No Cross-Collection Querying.</w:t>
      </w:r>
      <w:r>
        <w:t xml:space="preserve"> The RAG pipeline cannot access CAR-T-specific knowledge (clinical trials, toxicity profiles, construct designs) when a user asks about CAR-T therapies for an identified target. Conversely, the CAR-T Agent cannot leverage ClinVar annotations or the Clinker knowledge graph.</w:t>
      </w:r>
    </w:p>
    <w:p>
      <w:r>
        <w:rPr>
          <w:b/>
        </w:rPr>
        <w:t>Gap 6: No Unified Report.</w:t>
      </w:r>
      <w:r>
        <w:t xml:space="preserve"> Each stage produces its own output (VCF, chat response, molecule rankings, therapy recommendations) with no mechanism to synthesize a single patient-facing clinical report.</w:t>
      </w:r>
    </w:p>
    <w:p>
      <w:r>
        <w:rPr>
          <w:b/>
        </w:rPr>
        <w:t>Gap 7: No CAR-T Engineering Path.</w:t>
      </w:r>
      <w:r>
        <w:t xml:space="preserve"> The Drug Discovery pipeline designs small molecules. CAR-T therapies are biologics requiring different computational approaches (scFv design, protein-protein docking, immunogenicity prediction). There is no computational path from CAR-T target selection to engineered construct optimization.</w:t>
      </w:r>
    </w:p>
    <w:p>
      <w:pPr>
        <w:spacing w:before="120" w:after="120"/>
        <w:pBdr>
          <w:bottom w:val="single" w:sz="4" w:space="1" w:color="76B900"/>
        </w:pBdr>
      </w:pPr>
    </w:p>
    <w:p>
      <w:r>
        <w:br w:type="page"/>
      </w:r>
    </w:p>
    <w:p>
      <w:pPr>
        <w:pStyle w:val="Heading2"/>
      </w:pPr>
      <w:r>
        <w:t>11. Proposed Integration Research Plan</w:t>
      </w:r>
    </w:p>
    <w:p>
      <w:pPr>
        <w:pStyle w:val="Heading3"/>
      </w:pPr>
      <w:r>
        <w:t>11.1 Phase 1: Foundation --- Shared Component Consolidation</w:t>
      </w:r>
    </w:p>
    <w:p>
      <w:pPr>
        <w:jc w:val="center"/>
      </w:pPr>
      <w:r>
        <w:rPr>
          <w:b/>
        </w:rPr>
        <w:t>Objective</w:t>
      </w:r>
      <w:r>
        <w:t>: Eliminate duplicate code and establish the CAR-T Agent as a first-class citizen of the platform.</w:t>
      </w:r>
    </w:p>
    <w:p>
      <w:r>
        <w:rPr>
          <w:b/>
        </w:rPr>
        <w:t>1.1.1 Unified Python Package (`hcls_common/`)</w:t>
      </w:r>
    </w:p>
    <w:p>
      <w:r>
        <w:t>Extract a shared package with four modules:</w:t>
      </w:r>
    </w:p>
    <w:p>
      <w:pPr>
        <w:pStyle w:val="ListBullet"/>
      </w:pPr>
      <w:r>
        <w:rPr>
          <w:rFonts w:ascii="Consolas" w:hAnsi="Consolas"/>
          <w:color w:val="1A6B1A"/>
          <w:sz w:val="19"/>
        </w:rPr>
        <w:t>milvus.py</w:t>
      </w:r>
      <w:r>
        <w:t>: Unified connection manager supporting both RAG's 6 collections and CAR-T's 11 collections, with connection pooling</w:t>
      </w:r>
    </w:p>
    <w:p>
      <w:pPr>
        <w:pStyle w:val="ListBullet"/>
      </w:pPr>
      <w:r>
        <w:rPr>
          <w:rFonts w:ascii="Consolas" w:hAnsi="Consolas"/>
          <w:color w:val="1A6B1A"/>
          <w:sz w:val="19"/>
        </w:rPr>
        <w:t>embedder.py</w:t>
      </w:r>
      <w:r>
        <w:t>: BGE-small-en-v1.5 wrapper with embedding caching (LRU)</w:t>
      </w:r>
    </w:p>
    <w:p>
      <w:pPr>
        <w:pStyle w:val="ListBullet"/>
      </w:pPr>
      <w:r>
        <w:rPr>
          <w:rFonts w:ascii="Consolas" w:hAnsi="Consolas"/>
          <w:color w:val="1A6B1A"/>
          <w:sz w:val="19"/>
        </w:rPr>
        <w:t>llm.py</w:t>
      </w:r>
      <w:r>
        <w:t>: Claude API client with retry logic and token tracking</w:t>
      </w:r>
    </w:p>
    <w:p>
      <w:pPr>
        <w:pStyle w:val="ListBullet"/>
      </w:pPr>
      <w:r>
        <w:rPr>
          <w:rFonts w:ascii="Consolas" w:hAnsi="Consolas"/>
          <w:color w:val="1A6B1A"/>
          <w:sz w:val="19"/>
        </w:rPr>
        <w:t>export.py</w:t>
      </w:r>
      <w:r>
        <w:t>: PDF/Markdown/JSON export engine (ported from CAR-T's 1,264-line implementation to serve both pipelines)</w:t>
      </w:r>
    </w:p>
    <w:p>
      <w:r>
        <w:t>Install as editable package in both virtual environments. This consolidation ensures that improvements to Milvus connection handling, embedding performance, or export quality propagate automatically.</w:t>
      </w:r>
    </w:p>
    <w:p>
      <w:r>
        <w:rPr>
          <w:b/>
        </w:rPr>
        <w:t>1.1.2 Landing Page Integration</w:t>
      </w:r>
    </w:p>
    <w:p>
      <w:r>
        <w:t>Add the CAR-T Agent to the landing page's service registry:</w:t>
      </w:r>
    </w:p>
    <w:p>
      <w:pPr>
        <w:spacing w:before="80" w:after="80"/>
        <w:ind w:left="567"/>
        <w:shd w:fill="f5f5f5"/>
      </w:pPr>
      <w:r>
        <w:rPr>
          <w:rFonts w:ascii="Consolas" w:hAnsi="Consolas"/>
          <w:color w:val="2D2D2D"/>
          <w:sz w:val="17"/>
        </w:rPr>
        <w:t>SERVICES['cart-agent'] = {</w:t>
        <w:br/>
        <w:t xml:space="preserve">    'port': 8521, 'name': 'CAR-T Intelligence Agent',</w:t>
        <w:br/>
        <w:t xml:space="preserve">    'path': '/healthz', 'type': 'Pipeline'</w:t>
        <w:br/>
        <w:t>}</w:t>
      </w:r>
    </w:p>
    <w:p>
      <w:r>
        <w:t>Add a CAR-T card to the Portal UI with direct navigation.</w:t>
      </w:r>
    </w:p>
    <w:p>
      <w:r>
        <w:rPr>
          <w:b/>
        </w:rPr>
        <w:t>1.1.3 Export Capabilities for RAG Pipeline</w:t>
      </w:r>
    </w:p>
    <w:p>
      <w:r>
        <w:t>The RAG Chat Pipeline currently has no export functionality. Port the shared export engine and wire download buttons (Markdown, JSON, PDF) into the Streamlit chat UI, adapting evidence table schemas for genomic collections.</w:t>
      </w:r>
    </w:p>
    <w:p>
      <w:pPr>
        <w:pStyle w:val="Heading3"/>
      </w:pPr>
      <w:r>
        <w:t>11.2 Phase 2: Pipeline Integration --- Connecting the Stages</w:t>
      </w:r>
    </w:p>
    <w:p>
      <w:pPr>
        <w:jc w:val="center"/>
      </w:pPr>
      <w:r>
        <w:rPr>
          <w:b/>
        </w:rPr>
        <w:t>Objective</w:t>
      </w:r>
      <w:r>
        <w:t>: Enable data to flow between stages without manual intervention.</w:t>
      </w:r>
    </w:p>
    <w:p>
      <w:r>
        <w:rPr>
          <w:b/>
        </w:rPr>
        <w:t>11.2.1 Dynamic Target Identification</w:t>
      </w:r>
    </w:p>
    <w:p>
      <w:r>
        <w:t>Replace the hardcoded gene database in the Nextflow orchestrator with a Python script that:</w:t>
      </w:r>
    </w:p>
    <w:p>
      <w:pPr>
        <w:pStyle w:val="ListNumber"/>
      </w:pPr>
      <w:r>
        <w:t xml:space="preserve">Queries the </w:t>
      </w:r>
      <w:r>
        <w:rPr>
          <w:rFonts w:ascii="Consolas" w:hAnsi="Consolas"/>
          <w:color w:val="1A6B1A"/>
          <w:sz w:val="19"/>
        </w:rPr>
        <w:t>genomic_evidence</w:t>
      </w:r>
      <w:r>
        <w:t xml:space="preserve"> and </w:t>
      </w:r>
      <w:r>
        <w:rPr>
          <w:rFonts w:ascii="Consolas" w:hAnsi="Consolas"/>
          <w:color w:val="1A6B1A"/>
          <w:sz w:val="19"/>
        </w:rPr>
        <w:t>clinvar_variants</w:t>
      </w:r>
      <w:r>
        <w:t xml:space="preserve"> collections for pathogenic/likely pathogenic variants</w:t>
      </w:r>
    </w:p>
    <w:p>
      <w:pPr>
        <w:pStyle w:val="ListNumber"/>
      </w:pPr>
      <w:r>
        <w:t>Cross-references against the 201-gene knowledge graph for druggability</w:t>
      </w:r>
    </w:p>
    <w:p>
      <w:pPr>
        <w:pStyle w:val="ListNumber"/>
      </w:pPr>
      <w:r>
        <w:t>Returns prioritized target hypotheses with variant evidence</w:t>
      </w:r>
    </w:p>
    <w:p>
      <w:r>
        <w:t>This transforms target identification from static lookup to variant-driven discovery.</w:t>
      </w:r>
    </w:p>
    <w:p>
      <w:r>
        <w:rPr>
          <w:b/>
        </w:rPr>
        <w:t>11.2.2 Genomics → CAR-T Patient Stratification</w:t>
      </w:r>
    </w:p>
    <w:p>
      <w:r>
        <w:t>Build a VCF ingestion module for the CAR-T Agent that:</w:t>
      </w:r>
    </w:p>
    <w:p>
      <w:pPr>
        <w:pStyle w:val="ListNumber"/>
      </w:pPr>
      <w:r>
        <w:t>Reads the Parabricks VCF output</w:t>
      </w:r>
    </w:p>
    <w:p>
      <w:pPr>
        <w:pStyle w:val="ListNumber"/>
      </w:pPr>
      <w:r>
        <w:t>Identifies patient-specific tumor antigens via ClinVar cross-reference</w:t>
      </w:r>
    </w:p>
    <w:p>
      <w:pPr>
        <w:pStyle w:val="ListNumber"/>
      </w:pPr>
      <w:r>
        <w:t>Infers HLA types relevant to CAR-T immunogenicity</w:t>
      </w:r>
    </w:p>
    <w:p>
      <w:pPr>
        <w:pStyle w:val="ListNumber"/>
      </w:pPr>
      <w:r>
        <w:t>Feeds patient context into target antigen selection</w:t>
      </w:r>
    </w:p>
    <w:p>
      <w:r>
        <w:t>This enables personalized CAR-T therapy recommendations grounded in individual genomic profiles.</w:t>
      </w:r>
    </w:p>
    <w:p>
      <w:r>
        <w:rPr>
          <w:b/>
        </w:rPr>
        <w:t>11.2.3 Bidirectional RAG ↔ CAR-T Knowledge Sharing</w:t>
      </w:r>
    </w:p>
    <w:p>
      <w:r>
        <w:t>Implement a shared query router that determines which collections to search based on query intent:</w:t>
      </w:r>
    </w:p>
    <w:p>
      <w:pPr>
        <w:pStyle w:val="ListBullet"/>
      </w:pPr>
      <w:r>
        <w:t xml:space="preserve">RAG pipeline queries CAR-T's </w:t>
      </w:r>
      <w:r>
        <w:rPr>
          <w:rFonts w:ascii="Consolas" w:hAnsi="Consolas"/>
          <w:color w:val="1A6B1A"/>
          <w:sz w:val="19"/>
        </w:rPr>
        <w:t>cart_clinical_trials</w:t>
      </w:r>
      <w:r>
        <w:t xml:space="preserve">, </w:t>
      </w:r>
      <w:r>
        <w:rPr>
          <w:rFonts w:ascii="Consolas" w:hAnsi="Consolas"/>
          <w:color w:val="1A6B1A"/>
          <w:sz w:val="19"/>
        </w:rPr>
        <w:t>cart_toxicity</w:t>
      </w:r>
      <w:r>
        <w:t xml:space="preserve">, and </w:t>
      </w:r>
      <w:r>
        <w:rPr>
          <w:rFonts w:ascii="Consolas" w:hAnsi="Consolas"/>
          <w:color w:val="1A6B1A"/>
          <w:sz w:val="19"/>
        </w:rPr>
        <w:t>cart_target_antigens</w:t>
      </w:r>
      <w:r>
        <w:t xml:space="preserve"> when users ask about cell therapies for identified targets</w:t>
      </w:r>
    </w:p>
    <w:p>
      <w:pPr>
        <w:pStyle w:val="ListBullet"/>
      </w:pPr>
      <w:r>
        <w:t xml:space="preserve">CAR-T Agent queries RAG's </w:t>
      </w:r>
      <w:r>
        <w:rPr>
          <w:rFonts w:ascii="Consolas" w:hAnsi="Consolas"/>
          <w:color w:val="1A6B1A"/>
          <w:sz w:val="19"/>
        </w:rPr>
        <w:t>clinvar_variants</w:t>
      </w:r>
      <w:r>
        <w:t xml:space="preserve"> and </w:t>
      </w:r>
      <w:r>
        <w:rPr>
          <w:rFonts w:ascii="Consolas" w:hAnsi="Consolas"/>
          <w:color w:val="1A6B1A"/>
          <w:sz w:val="19"/>
        </w:rPr>
        <w:t>clinker_kg</w:t>
      </w:r>
      <w:r>
        <w:t xml:space="preserve"> when evaluating target viability and variant pathogenicity</w:t>
      </w:r>
    </w:p>
    <w:p>
      <w:r>
        <w:t>The router uses keyword and intent classification to select the optimal collection subset.</w:t>
      </w:r>
    </w:p>
    <w:p>
      <w:pPr>
        <w:jc w:val="center"/>
      </w:pPr>
      <w:r>
        <w:rPr>
          <w:b/>
        </w:rPr>
        <w:t>11.2.4 CAR-T → Drug Discovery: CAR-T Engineering Branch</w:t>
      </w:r>
    </w:p>
    <w:p>
      <w:r>
        <w:t>Propose a "Stage 3b" for biologics engineering:</w:t>
      </w:r>
    </w:p>
    <w:p>
      <w:pPr>
        <w:pStyle w:val="ListBullet"/>
      </w:pPr>
      <w:r>
        <w:rPr>
          <w:b/>
        </w:rPr>
        <w:t>scFv Design</w:t>
      </w:r>
      <w:r>
        <w:t>: Use construct data (scFv sequences, hinge/TM domains, costimulatory domains) from the CAR-T Agent's collections</w:t>
      </w:r>
    </w:p>
    <w:p>
      <w:pPr>
        <w:pStyle w:val="ListBullet"/>
      </w:pPr>
      <w:r>
        <w:rPr>
          <w:b/>
        </w:rPr>
        <w:t>Antigen-Antibody Docking</w:t>
      </w:r>
      <w:r>
        <w:t>: Adapt DiffDock or integrate a protein-protein docking NIM for scFv-target interaction modeling</w:t>
      </w:r>
    </w:p>
    <w:p>
      <w:pPr>
        <w:pStyle w:val="ListBullet"/>
      </w:pPr>
      <w:r>
        <w:rPr>
          <w:b/>
        </w:rPr>
        <w:t>CAR-T Fitness Scoring</w:t>
      </w:r>
      <w:r>
        <w:t>: Replace RDKit ADMET metrics with CAR-T-specific scores: binding affinity prediction, immunogenicity risk, cytokine storm probability</w:t>
      </w:r>
    </w:p>
    <w:p>
      <w:pPr>
        <w:pStyle w:val="Heading3"/>
      </w:pPr>
      <w:r>
        <w:t>11.3 Phase 3: Intelligence Layer --- Agent Coordination</w:t>
      </w:r>
    </w:p>
    <w:p>
      <w:pPr>
        <w:jc w:val="center"/>
      </w:pPr>
      <w:r>
        <w:rPr>
          <w:b/>
        </w:rPr>
        <w:t>Objective</w:t>
      </w:r>
      <w:r>
        <w:t>: Enable autonomous cross-pipeline reasoning.</w:t>
      </w:r>
    </w:p>
    <w:p>
      <w:r>
        <w:rPr>
          <w:b/>
        </w:rPr>
        <w:t>11.3.1 Nextflow CAR-T Workflow Mode</w:t>
      </w:r>
    </w:p>
    <w:p>
      <w:r>
        <w:t>Add two workflow modes to the orchestrator:</w:t>
      </w:r>
    </w:p>
    <w:p>
      <w:pPr>
        <w:pStyle w:val="ListBullet"/>
      </w:pPr>
      <w:r>
        <w:rPr>
          <w:rFonts w:ascii="Consolas" w:hAnsi="Consolas"/>
          <w:color w:val="1A6B1A"/>
          <w:sz w:val="19"/>
        </w:rPr>
        <w:t>cart</w:t>
      </w:r>
      <w:r>
        <w:t>: VCF → Target Identification → CAR-T Agent evaluation → Therapy Report</w:t>
      </w:r>
    </w:p>
    <w:p>
      <w:pPr>
        <w:pStyle w:val="ListBullet"/>
      </w:pPr>
      <w:r>
        <w:rPr>
          <w:rFonts w:ascii="Consolas" w:hAnsi="Consolas"/>
          <w:color w:val="1A6B1A"/>
          <w:sz w:val="19"/>
        </w:rPr>
        <w:t>full_cart</w:t>
      </w:r>
      <w:r>
        <w:t>: FASTQ → VCF → Targets → CAR-T evaluation + Drug Discovery → Unified Report</w:t>
      </w:r>
    </w:p>
    <w:p>
      <w:r>
        <w:t xml:space="preserve">This requires adding a REST API to the CAR-T Agent (currently Streamlit-only) and a corresponding </w:t>
      </w:r>
      <w:r>
        <w:rPr>
          <w:rFonts w:ascii="Consolas" w:hAnsi="Consolas"/>
          <w:color w:val="1A6B1A"/>
          <w:sz w:val="19"/>
        </w:rPr>
        <w:t>CART_EVALUATE</w:t>
      </w:r>
      <w:r>
        <w:t xml:space="preserve"> Nextflow process.</w:t>
      </w:r>
    </w:p>
    <w:p>
      <w:r>
        <w:rPr>
          <w:b/>
        </w:rPr>
        <w:t>11.3.2 Meta-Agent Orchestration</w:t>
      </w:r>
    </w:p>
    <w:p>
      <w:r>
        <w:t>Build a lightweight meta-agent that:</w:t>
      </w:r>
    </w:p>
    <w:p>
      <w:pPr>
        <w:pStyle w:val="ListNumber"/>
      </w:pPr>
      <w:r>
        <w:t xml:space="preserve">Receives high-level clinical questions (e.g., </w:t>
      </w:r>
      <w:r>
        <w:rPr>
          <w:i/>
        </w:rPr>
        <w:t>"What are the best treatment options for this patient's B-ALL?"</w:t>
      </w:r>
      <w:r>
        <w:t>)</w:t>
      </w:r>
    </w:p>
    <w:p>
      <w:pPr>
        <w:pStyle w:val="ListNumber"/>
      </w:pPr>
      <w:r>
        <w:t>Routes sub-questions to the appropriate specialist: genomic context → RAG, therapy options → CAR-T, molecule design → Drug Discovery</w:t>
      </w:r>
    </w:p>
    <w:p>
      <w:pPr>
        <w:pStyle w:val="ListNumber"/>
      </w:pPr>
      <w:r>
        <w:t>Synthesizes a unified clinical narrative combining genomic findings, CAR-T recommendations, and drug candidates</w:t>
      </w:r>
    </w:p>
    <w:p>
      <w:r>
        <w:t>This uses Claude's tool-use capability to orchestrate sub-agents, with each existing pipeline exposed as a callable tool.</w:t>
      </w:r>
    </w:p>
    <w:p>
      <w:r>
        <w:rPr>
          <w:b/>
        </w:rPr>
        <w:t>11.3.3 Unified Clinical Report</w:t>
      </w:r>
    </w:p>
    <w:p>
      <w:r>
        <w:t>Extend the PDF export engine to generate a comprehensive patient report:</w:t>
      </w:r>
    </w:p>
    <w:p>
      <w:pPr>
        <w:pStyle w:val="ListBullet"/>
      </w:pPr>
      <w:r>
        <w:rPr>
          <w:b/>
        </w:rPr>
        <w:t>Section 1: Genomic Profile</w:t>
      </w:r>
      <w:r>
        <w:t xml:space="preserve"> --- Key variants from VCF, ClinVar annotations, AlphaMissense scores</w:t>
      </w:r>
    </w:p>
    <w:p>
      <w:pPr>
        <w:pStyle w:val="ListBullet"/>
      </w:pPr>
      <w:r>
        <w:rPr>
          <w:b/>
        </w:rPr>
        <w:t>Section 2: Target Analysis</w:t>
      </w:r>
      <w:r>
        <w:t xml:space="preserve"> --- Identified therapeutic targets, evidence strength, druggability</w:t>
      </w:r>
    </w:p>
    <w:p>
      <w:pPr>
        <w:pStyle w:val="ListBullet"/>
      </w:pPr>
      <w:r>
        <w:rPr>
          <w:b/>
        </w:rPr>
        <w:t>Section 3: CAR-T Therapy Evaluation</w:t>
      </w:r>
      <w:r>
        <w:t xml:space="preserve"> --- Recommended constructs, toxicity profiles, clinical trial matches</w:t>
      </w:r>
    </w:p>
    <w:p>
      <w:pPr>
        <w:pStyle w:val="ListBullet"/>
      </w:pPr>
      <w:r>
        <w:rPr>
          <w:b/>
        </w:rPr>
        <w:t>Section 4: Small Molecule Candidates</w:t>
      </w:r>
      <w:r>
        <w:t xml:space="preserve"> --- MolMIM-generated molecules, DiffDock binding scores, QED</w:t>
      </w:r>
    </w:p>
    <w:p>
      <w:pPr>
        <w:pStyle w:val="ListBullet"/>
      </w:pPr>
      <w:r>
        <w:rPr>
          <w:b/>
        </w:rPr>
        <w:t>Section 5: Treatment Recommendation</w:t>
      </w:r>
      <w:r>
        <w:t xml:space="preserve"> --- Meta-agent synthesized recommendation with cross-pipeline evidence</w:t>
      </w:r>
    </w:p>
    <w:p>
      <w:pPr>
        <w:spacing w:before="120" w:after="120"/>
        <w:pBdr>
          <w:bottom w:val="single" w:sz="4" w:space="1" w:color="76B900"/>
        </w:pBdr>
      </w:pPr>
    </w:p>
    <w:p>
      <w:r>
        <w:br w:type="page"/>
      </w:r>
    </w:p>
    <w:p>
      <w:pPr>
        <w:pStyle w:val="Heading2"/>
      </w:pPr>
      <w:r>
        <w:t>12. Implementation Roadmap</w:t>
      </w:r>
    </w:p>
    <w:p>
      <w:pPr>
        <w:pStyle w:val="Heading3"/>
      </w:pPr>
      <w:r>
        <w:t>12.1 Priority Matrix</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1a24"/>
          </w:tcPr>
          <w:p>
            <w:pPr>
              <w:spacing w:before="40" w:after="40"/>
            </w:pPr>
            <w:r>
              <w:rPr>
                <w:b/>
                <w:color w:val="FFFFFF"/>
                <w:sz w:val="19"/>
              </w:rPr>
            </w:r>
            <w:r>
              <w:rPr>
                <w:b/>
                <w:color w:val="FFFFFF"/>
                <w:sz w:val="19"/>
              </w:rPr>
              <w:t>Phase</w:t>
            </w:r>
          </w:p>
        </w:tc>
        <w:tc>
          <w:tcPr>
            <w:tcW w:type="dxa" w:w="1872"/>
            <w:shd w:fill="1a1a24"/>
          </w:tcPr>
          <w:p>
            <w:pPr>
              <w:spacing w:before="40" w:after="40"/>
            </w:pPr>
            <w:r>
              <w:rPr>
                <w:b/>
                <w:color w:val="FFFFFF"/>
                <w:sz w:val="19"/>
              </w:rPr>
            </w:r>
            <w:r>
              <w:rPr>
                <w:b/>
                <w:color w:val="FFFFFF"/>
                <w:sz w:val="19"/>
              </w:rPr>
              <w:t>Item</w:t>
            </w:r>
          </w:p>
        </w:tc>
        <w:tc>
          <w:tcPr>
            <w:tcW w:type="dxa" w:w="1872"/>
            <w:shd w:fill="1a1a24"/>
          </w:tcPr>
          <w:p>
            <w:pPr>
              <w:spacing w:before="40" w:after="40"/>
            </w:pPr>
            <w:r>
              <w:rPr>
                <w:b/>
                <w:color w:val="FFFFFF"/>
                <w:sz w:val="19"/>
              </w:rPr>
            </w:r>
            <w:r>
              <w:rPr>
                <w:b/>
                <w:color w:val="FFFFFF"/>
                <w:sz w:val="19"/>
              </w:rPr>
              <w:t>Impact</w:t>
            </w:r>
          </w:p>
        </w:tc>
        <w:tc>
          <w:tcPr>
            <w:tcW w:type="dxa" w:w="1872"/>
            <w:shd w:fill="1a1a24"/>
          </w:tcPr>
          <w:p>
            <w:pPr>
              <w:spacing w:before="40" w:after="40"/>
            </w:pPr>
            <w:r>
              <w:rPr>
                <w:b/>
                <w:color w:val="FFFFFF"/>
                <w:sz w:val="19"/>
              </w:rPr>
            </w:r>
            <w:r>
              <w:rPr>
                <w:b/>
                <w:color w:val="FFFFFF"/>
                <w:sz w:val="19"/>
              </w:rPr>
              <w:t>Effort</w:t>
            </w:r>
          </w:p>
        </w:tc>
        <w:tc>
          <w:tcPr>
            <w:tcW w:type="dxa" w:w="1872"/>
            <w:shd w:fill="1a1a24"/>
          </w:tcPr>
          <w:p>
            <w:pPr>
              <w:spacing w:before="40" w:after="40"/>
            </w:pPr>
            <w:r>
              <w:rPr>
                <w:b/>
                <w:color w:val="FFFFFF"/>
                <w:sz w:val="19"/>
              </w:rPr>
            </w:r>
            <w:r>
              <w:rPr>
                <w:b/>
                <w:color w:val="FFFFFF"/>
                <w:sz w:val="19"/>
              </w:rPr>
              <w:t>Priority</w:t>
            </w:r>
          </w:p>
        </w:tc>
      </w:tr>
      <w:tr>
        <w:tc>
          <w:tcPr>
            <w:tcW w:type="dxa" w:w="1872"/>
          </w:tcPr>
          <w:p>
            <w:pPr>
              <w:spacing w:before="40" w:after="40"/>
            </w:pPr>
            <w:r>
              <w:rPr>
                <w:sz w:val="19"/>
              </w:rPr>
            </w:r>
            <w:r>
              <w:rPr>
                <w:sz w:val="19"/>
              </w:rPr>
              <w:t>1</w:t>
            </w:r>
          </w:p>
        </w:tc>
        <w:tc>
          <w:tcPr>
            <w:tcW w:type="dxa" w:w="1872"/>
          </w:tcPr>
          <w:p>
            <w:pPr>
              <w:spacing w:before="40" w:after="40"/>
            </w:pPr>
            <w:r>
              <w:rPr>
                <w:sz w:val="19"/>
              </w:rPr>
            </w:r>
            <w:r>
              <w:rPr>
                <w:sz w:val="19"/>
              </w:rPr>
              <w:t xml:space="preserve">Shared </w:t>
            </w:r>
            <w:r>
              <w:rPr>
                <w:rFonts w:ascii="Consolas" w:hAnsi="Consolas"/>
                <w:color w:val="1A6B1A"/>
                <w:sz w:val="19"/>
              </w:rPr>
              <w:t>hcls_common</w:t>
            </w:r>
            <w:r>
              <w:rPr>
                <w:sz w:val="19"/>
              </w:rPr>
              <w:t xml:space="preserve"> package</w:t>
            </w:r>
          </w:p>
        </w:tc>
        <w:tc>
          <w:tcPr>
            <w:tcW w:type="dxa" w:w="1872"/>
          </w:tcPr>
          <w:p>
            <w:pPr>
              <w:spacing w:before="40" w:after="40"/>
            </w:pPr>
            <w:r>
              <w:rPr>
                <w:sz w:val="19"/>
              </w:rPr>
            </w:r>
            <w:r>
              <w:rPr>
                <w:sz w:val="19"/>
              </w:rPr>
              <w:t>High</w:t>
            </w:r>
          </w:p>
        </w:tc>
        <w:tc>
          <w:tcPr>
            <w:tcW w:type="dxa" w:w="1872"/>
          </w:tcPr>
          <w:p>
            <w:pPr>
              <w:spacing w:before="40" w:after="40"/>
            </w:pPr>
            <w:r>
              <w:rPr>
                <w:sz w:val="19"/>
              </w:rPr>
            </w:r>
            <w:r>
              <w:rPr>
                <w:sz w:val="19"/>
              </w:rPr>
              <w:t>Medium</w:t>
            </w:r>
          </w:p>
        </w:tc>
        <w:tc>
          <w:tcPr>
            <w:tcW w:type="dxa" w:w="1872"/>
          </w:tcPr>
          <w:p>
            <w:pPr>
              <w:spacing w:before="40" w:after="40"/>
            </w:pPr>
            <w:r>
              <w:rPr>
                <w:sz w:val="19"/>
              </w:rPr>
            </w:r>
            <w:r>
              <w:rPr>
                <w:b/>
                <w:sz w:val="19"/>
              </w:rPr>
              <w:t>P0</w:t>
            </w:r>
          </w:p>
        </w:tc>
      </w:tr>
      <w:tr>
        <w:tc>
          <w:tcPr>
            <w:tcW w:type="dxa" w:w="1872"/>
            <w:shd w:fill="f0f4e8"/>
          </w:tcPr>
          <w:p>
            <w:pPr>
              <w:spacing w:before="40" w:after="40"/>
            </w:pPr>
            <w:r>
              <w:rPr>
                <w:sz w:val="19"/>
              </w:rPr>
            </w:r>
            <w:r>
              <w:rPr>
                <w:sz w:val="19"/>
              </w:rPr>
              <w:t>1</w:t>
            </w:r>
          </w:p>
        </w:tc>
        <w:tc>
          <w:tcPr>
            <w:tcW w:type="dxa" w:w="1872"/>
            <w:shd w:fill="f0f4e8"/>
          </w:tcPr>
          <w:p>
            <w:pPr>
              <w:spacing w:before="40" w:after="40"/>
            </w:pPr>
            <w:r>
              <w:rPr>
                <w:sz w:val="19"/>
              </w:rPr>
            </w:r>
            <w:r>
              <w:rPr>
                <w:sz w:val="19"/>
              </w:rPr>
              <w:t>Landing page + Portal integration</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sz w:val="19"/>
              </w:rPr>
              <w:t>Low</w:t>
            </w:r>
          </w:p>
        </w:tc>
        <w:tc>
          <w:tcPr>
            <w:tcW w:type="dxa" w:w="1872"/>
            <w:shd w:fill="f0f4e8"/>
          </w:tcPr>
          <w:p>
            <w:pPr>
              <w:spacing w:before="40" w:after="40"/>
            </w:pPr>
            <w:r>
              <w:rPr>
                <w:sz w:val="19"/>
              </w:rPr>
            </w:r>
            <w:r>
              <w:rPr>
                <w:b/>
                <w:sz w:val="19"/>
              </w:rPr>
              <w:t>P0</w:t>
            </w:r>
          </w:p>
        </w:tc>
      </w:tr>
      <w:tr>
        <w:tc>
          <w:tcPr>
            <w:tcW w:type="dxa" w:w="1872"/>
          </w:tcPr>
          <w:p>
            <w:pPr>
              <w:spacing w:before="40" w:after="40"/>
            </w:pPr>
            <w:r>
              <w:rPr>
                <w:sz w:val="19"/>
              </w:rPr>
            </w:r>
            <w:r>
              <w:rPr>
                <w:sz w:val="19"/>
              </w:rPr>
              <w:t>1</w:t>
            </w:r>
          </w:p>
        </w:tc>
        <w:tc>
          <w:tcPr>
            <w:tcW w:type="dxa" w:w="1872"/>
          </w:tcPr>
          <w:p>
            <w:pPr>
              <w:spacing w:before="40" w:after="40"/>
            </w:pPr>
            <w:r>
              <w:rPr>
                <w:sz w:val="19"/>
              </w:rPr>
            </w:r>
            <w:r>
              <w:rPr>
                <w:sz w:val="19"/>
              </w:rPr>
              <w:t>Export to RAG pipeline</w:t>
            </w:r>
          </w:p>
        </w:tc>
        <w:tc>
          <w:tcPr>
            <w:tcW w:type="dxa" w:w="1872"/>
          </w:tcPr>
          <w:p>
            <w:pPr>
              <w:spacing w:before="40" w:after="40"/>
            </w:pPr>
            <w:r>
              <w:rPr>
                <w:sz w:val="19"/>
              </w:rPr>
            </w:r>
            <w:r>
              <w:rPr>
                <w:sz w:val="19"/>
              </w:rPr>
              <w:t>Medium</w:t>
            </w:r>
          </w:p>
        </w:tc>
        <w:tc>
          <w:tcPr>
            <w:tcW w:type="dxa" w:w="1872"/>
          </w:tcPr>
          <w:p>
            <w:pPr>
              <w:spacing w:before="40" w:after="40"/>
            </w:pPr>
            <w:r>
              <w:rPr>
                <w:sz w:val="19"/>
              </w:rPr>
            </w:r>
            <w:r>
              <w:rPr>
                <w:sz w:val="19"/>
              </w:rPr>
              <w:t>Low</w:t>
            </w:r>
          </w:p>
        </w:tc>
        <w:tc>
          <w:tcPr>
            <w:tcW w:type="dxa" w:w="1872"/>
          </w:tcPr>
          <w:p>
            <w:pPr>
              <w:spacing w:before="40" w:after="40"/>
            </w:pPr>
            <w:r>
              <w:rPr>
                <w:sz w:val="19"/>
              </w:rPr>
            </w:r>
            <w:r>
              <w:rPr>
                <w:b/>
                <w:sz w:val="19"/>
              </w:rPr>
              <w:t>P1</w:t>
            </w:r>
          </w:p>
        </w:tc>
      </w:tr>
      <w:tr>
        <w:tc>
          <w:tcPr>
            <w:tcW w:type="dxa" w:w="1872"/>
            <w:shd w:fill="f0f4e8"/>
          </w:tcPr>
          <w:p>
            <w:pPr>
              <w:spacing w:before="40" w:after="40"/>
            </w:pPr>
            <w:r>
              <w:rPr>
                <w:sz w:val="19"/>
              </w:rPr>
            </w:r>
            <w:r>
              <w:rPr>
                <w:sz w:val="19"/>
              </w:rPr>
              <w:t>2</w:t>
            </w:r>
          </w:p>
        </w:tc>
        <w:tc>
          <w:tcPr>
            <w:tcW w:type="dxa" w:w="1872"/>
            <w:shd w:fill="f0f4e8"/>
          </w:tcPr>
          <w:p>
            <w:pPr>
              <w:spacing w:before="40" w:after="40"/>
            </w:pPr>
            <w:r>
              <w:rPr>
                <w:sz w:val="19"/>
              </w:rPr>
            </w:r>
            <w:r>
              <w:rPr>
                <w:sz w:val="19"/>
              </w:rPr>
              <w:t>Dynamic target identification</w:t>
            </w:r>
          </w:p>
        </w:tc>
        <w:tc>
          <w:tcPr>
            <w:tcW w:type="dxa" w:w="1872"/>
            <w:shd w:fill="f0f4e8"/>
          </w:tcPr>
          <w:p>
            <w:pPr>
              <w:spacing w:before="40" w:after="40"/>
            </w:pPr>
            <w:r>
              <w:rPr>
                <w:sz w:val="19"/>
              </w:rPr>
            </w:r>
            <w:r>
              <w:rPr>
                <w:sz w:val="19"/>
              </w:rPr>
              <w:t>High</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b/>
                <w:sz w:val="19"/>
              </w:rPr>
              <w:t>P1</w:t>
            </w:r>
          </w:p>
        </w:tc>
      </w:tr>
      <w:tr>
        <w:tc>
          <w:tcPr>
            <w:tcW w:type="dxa" w:w="1872"/>
          </w:tcPr>
          <w:p>
            <w:pPr>
              <w:spacing w:before="40" w:after="40"/>
            </w:pPr>
            <w:r>
              <w:rPr>
                <w:sz w:val="19"/>
              </w:rPr>
            </w:r>
            <w:r>
              <w:rPr>
                <w:sz w:val="19"/>
              </w:rPr>
              <w:t>2</w:t>
            </w:r>
          </w:p>
        </w:tc>
        <w:tc>
          <w:tcPr>
            <w:tcW w:type="dxa" w:w="1872"/>
          </w:tcPr>
          <w:p>
            <w:pPr>
              <w:spacing w:before="40" w:after="40"/>
            </w:pPr>
            <w:r>
              <w:rPr>
                <w:sz w:val="19"/>
              </w:rPr>
            </w:r>
            <w:r>
              <w:rPr>
                <w:sz w:val="19"/>
              </w:rPr>
              <w:t>Genomics → CAR-T patient stratification</w:t>
            </w:r>
          </w:p>
        </w:tc>
        <w:tc>
          <w:tcPr>
            <w:tcW w:type="dxa" w:w="1872"/>
          </w:tcPr>
          <w:p>
            <w:pPr>
              <w:spacing w:before="40" w:after="40"/>
            </w:pPr>
            <w:r>
              <w:rPr>
                <w:sz w:val="19"/>
              </w:rPr>
            </w:r>
            <w:r>
              <w:rPr>
                <w:sz w:val="19"/>
              </w:rPr>
              <w:t>Very High</w:t>
            </w:r>
          </w:p>
        </w:tc>
        <w:tc>
          <w:tcPr>
            <w:tcW w:type="dxa" w:w="1872"/>
          </w:tcPr>
          <w:p>
            <w:pPr>
              <w:spacing w:before="40" w:after="40"/>
            </w:pPr>
            <w:r>
              <w:rPr>
                <w:sz w:val="19"/>
              </w:rPr>
            </w:r>
            <w:r>
              <w:rPr>
                <w:sz w:val="19"/>
              </w:rPr>
              <w:t>High</w:t>
            </w:r>
          </w:p>
        </w:tc>
        <w:tc>
          <w:tcPr>
            <w:tcW w:type="dxa" w:w="1872"/>
          </w:tcPr>
          <w:p>
            <w:pPr>
              <w:spacing w:before="40" w:after="40"/>
            </w:pPr>
            <w:r>
              <w:rPr>
                <w:sz w:val="19"/>
              </w:rPr>
            </w:r>
            <w:r>
              <w:rPr>
                <w:b/>
                <w:sz w:val="19"/>
              </w:rPr>
              <w:t>P1</w:t>
            </w:r>
          </w:p>
        </w:tc>
      </w:tr>
      <w:tr>
        <w:tc>
          <w:tcPr>
            <w:tcW w:type="dxa" w:w="1872"/>
            <w:shd w:fill="f0f4e8"/>
          </w:tcPr>
          <w:p>
            <w:pPr>
              <w:spacing w:before="40" w:after="40"/>
            </w:pPr>
            <w:r>
              <w:rPr>
                <w:sz w:val="19"/>
              </w:rPr>
            </w:r>
            <w:r>
              <w:rPr>
                <w:sz w:val="19"/>
              </w:rPr>
              <w:t>2</w:t>
            </w:r>
          </w:p>
        </w:tc>
        <w:tc>
          <w:tcPr>
            <w:tcW w:type="dxa" w:w="1872"/>
            <w:shd w:fill="f0f4e8"/>
          </w:tcPr>
          <w:p>
            <w:pPr>
              <w:spacing w:before="40" w:after="40"/>
            </w:pPr>
            <w:r>
              <w:rPr>
                <w:sz w:val="19"/>
              </w:rPr>
            </w:r>
            <w:r>
              <w:rPr>
                <w:sz w:val="19"/>
              </w:rPr>
              <w:t>Cross-collection query router</w:t>
            </w:r>
          </w:p>
        </w:tc>
        <w:tc>
          <w:tcPr>
            <w:tcW w:type="dxa" w:w="1872"/>
            <w:shd w:fill="f0f4e8"/>
          </w:tcPr>
          <w:p>
            <w:pPr>
              <w:spacing w:before="40" w:after="40"/>
            </w:pPr>
            <w:r>
              <w:rPr>
                <w:sz w:val="19"/>
              </w:rPr>
            </w:r>
            <w:r>
              <w:rPr>
                <w:sz w:val="19"/>
              </w:rPr>
              <w:t>High</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b/>
                <w:sz w:val="19"/>
              </w:rPr>
              <w:t>P1</w:t>
            </w:r>
          </w:p>
        </w:tc>
      </w:tr>
      <w:tr>
        <w:tc>
          <w:tcPr>
            <w:tcW w:type="dxa" w:w="1872"/>
          </w:tcPr>
          <w:p>
            <w:pPr>
              <w:spacing w:before="40" w:after="40"/>
            </w:pPr>
            <w:r>
              <w:rPr>
                <w:sz w:val="19"/>
              </w:rPr>
            </w:r>
            <w:r>
              <w:rPr>
                <w:sz w:val="19"/>
              </w:rPr>
              <w:t>2</w:t>
            </w:r>
          </w:p>
        </w:tc>
        <w:tc>
          <w:tcPr>
            <w:tcW w:type="dxa" w:w="1872"/>
          </w:tcPr>
          <w:p>
            <w:pPr>
              <w:spacing w:before="40" w:after="40"/>
            </w:pPr>
            <w:r>
              <w:rPr>
                <w:sz w:val="19"/>
              </w:rPr>
            </w:r>
            <w:r>
              <w:rPr>
                <w:sz w:val="19"/>
              </w:rPr>
              <w:t>CAR-T Engineering branch (Stage 3b)</w:t>
            </w:r>
          </w:p>
        </w:tc>
        <w:tc>
          <w:tcPr>
            <w:tcW w:type="dxa" w:w="1872"/>
          </w:tcPr>
          <w:p>
            <w:pPr>
              <w:spacing w:before="40" w:after="40"/>
            </w:pPr>
            <w:r>
              <w:rPr>
                <w:sz w:val="19"/>
              </w:rPr>
            </w:r>
            <w:r>
              <w:rPr>
                <w:sz w:val="19"/>
              </w:rPr>
              <w:t>Very High</w:t>
            </w:r>
          </w:p>
        </w:tc>
        <w:tc>
          <w:tcPr>
            <w:tcW w:type="dxa" w:w="1872"/>
          </w:tcPr>
          <w:p>
            <w:pPr>
              <w:spacing w:before="40" w:after="40"/>
            </w:pPr>
            <w:r>
              <w:rPr>
                <w:sz w:val="19"/>
              </w:rPr>
            </w:r>
            <w:r>
              <w:rPr>
                <w:sz w:val="19"/>
              </w:rPr>
              <w:t>Very High</w:t>
            </w:r>
          </w:p>
        </w:tc>
        <w:tc>
          <w:tcPr>
            <w:tcW w:type="dxa" w:w="1872"/>
          </w:tcPr>
          <w:p>
            <w:pPr>
              <w:spacing w:before="40" w:after="40"/>
            </w:pPr>
            <w:r>
              <w:rPr>
                <w:sz w:val="19"/>
              </w:rPr>
            </w:r>
            <w:r>
              <w:rPr>
                <w:b/>
                <w:sz w:val="19"/>
              </w:rPr>
              <w:t>P2</w:t>
            </w:r>
          </w:p>
        </w:tc>
      </w:tr>
      <w:tr>
        <w:tc>
          <w:tcPr>
            <w:tcW w:type="dxa" w:w="1872"/>
            <w:shd w:fill="f0f4e8"/>
          </w:tcPr>
          <w:p>
            <w:pPr>
              <w:spacing w:before="40" w:after="40"/>
            </w:pPr>
            <w:r>
              <w:rPr>
                <w:sz w:val="19"/>
              </w:rPr>
            </w:r>
            <w:r>
              <w:rPr>
                <w:sz w:val="19"/>
              </w:rPr>
              <w:t>3</w:t>
            </w:r>
          </w:p>
        </w:tc>
        <w:tc>
          <w:tcPr>
            <w:tcW w:type="dxa" w:w="1872"/>
            <w:shd w:fill="f0f4e8"/>
          </w:tcPr>
          <w:p>
            <w:pPr>
              <w:spacing w:before="40" w:after="40"/>
            </w:pPr>
            <w:r>
              <w:rPr>
                <w:sz w:val="19"/>
              </w:rPr>
            </w:r>
            <w:r>
              <w:rPr>
                <w:sz w:val="19"/>
              </w:rPr>
              <w:t>Nextflow CAR-T workflow mode + REST API</w:t>
            </w:r>
          </w:p>
        </w:tc>
        <w:tc>
          <w:tcPr>
            <w:tcW w:type="dxa" w:w="1872"/>
            <w:shd w:fill="f0f4e8"/>
          </w:tcPr>
          <w:p>
            <w:pPr>
              <w:spacing w:before="40" w:after="40"/>
            </w:pPr>
            <w:r>
              <w:rPr>
                <w:sz w:val="19"/>
              </w:rPr>
            </w:r>
            <w:r>
              <w:rPr>
                <w:sz w:val="19"/>
              </w:rPr>
              <w:t>High</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b/>
                <w:sz w:val="19"/>
              </w:rPr>
              <w:t>P2</w:t>
            </w:r>
          </w:p>
        </w:tc>
      </w:tr>
      <w:tr>
        <w:tc>
          <w:tcPr>
            <w:tcW w:type="dxa" w:w="1872"/>
          </w:tcPr>
          <w:p>
            <w:pPr>
              <w:spacing w:before="40" w:after="40"/>
            </w:pPr>
            <w:r>
              <w:rPr>
                <w:sz w:val="19"/>
              </w:rPr>
            </w:r>
            <w:r>
              <w:rPr>
                <w:sz w:val="19"/>
              </w:rPr>
              <w:t>3</w:t>
            </w:r>
          </w:p>
        </w:tc>
        <w:tc>
          <w:tcPr>
            <w:tcW w:type="dxa" w:w="1872"/>
          </w:tcPr>
          <w:p>
            <w:pPr>
              <w:spacing w:before="40" w:after="40"/>
            </w:pPr>
            <w:r>
              <w:rPr>
                <w:sz w:val="19"/>
              </w:rPr>
            </w:r>
            <w:r>
              <w:rPr>
                <w:sz w:val="19"/>
              </w:rPr>
              <w:t>Unified clinical report</w:t>
            </w:r>
          </w:p>
        </w:tc>
        <w:tc>
          <w:tcPr>
            <w:tcW w:type="dxa" w:w="1872"/>
          </w:tcPr>
          <w:p>
            <w:pPr>
              <w:spacing w:before="40" w:after="40"/>
            </w:pPr>
            <w:r>
              <w:rPr>
                <w:sz w:val="19"/>
              </w:rPr>
            </w:r>
            <w:r>
              <w:rPr>
                <w:sz w:val="19"/>
              </w:rPr>
              <w:t>High</w:t>
            </w:r>
          </w:p>
        </w:tc>
        <w:tc>
          <w:tcPr>
            <w:tcW w:type="dxa" w:w="1872"/>
          </w:tcPr>
          <w:p>
            <w:pPr>
              <w:spacing w:before="40" w:after="40"/>
            </w:pPr>
            <w:r>
              <w:rPr>
                <w:sz w:val="19"/>
              </w:rPr>
            </w:r>
            <w:r>
              <w:rPr>
                <w:sz w:val="19"/>
              </w:rPr>
              <w:t>High</w:t>
            </w:r>
          </w:p>
        </w:tc>
        <w:tc>
          <w:tcPr>
            <w:tcW w:type="dxa" w:w="1872"/>
          </w:tcPr>
          <w:p>
            <w:pPr>
              <w:spacing w:before="40" w:after="40"/>
            </w:pPr>
            <w:r>
              <w:rPr>
                <w:sz w:val="19"/>
              </w:rPr>
            </w:r>
            <w:r>
              <w:rPr>
                <w:b/>
                <w:sz w:val="19"/>
              </w:rPr>
              <w:t>P2</w:t>
            </w:r>
          </w:p>
        </w:tc>
      </w:tr>
      <w:tr>
        <w:tc>
          <w:tcPr>
            <w:tcW w:type="dxa" w:w="1872"/>
            <w:shd w:fill="f0f4e8"/>
          </w:tcPr>
          <w:p>
            <w:pPr>
              <w:spacing w:before="40" w:after="40"/>
            </w:pPr>
            <w:r>
              <w:rPr>
                <w:sz w:val="19"/>
              </w:rPr>
            </w:r>
            <w:r>
              <w:rPr>
                <w:sz w:val="19"/>
              </w:rPr>
              <w:t>3</w:t>
            </w:r>
          </w:p>
        </w:tc>
        <w:tc>
          <w:tcPr>
            <w:tcW w:type="dxa" w:w="1872"/>
            <w:shd w:fill="f0f4e8"/>
          </w:tcPr>
          <w:p>
            <w:pPr>
              <w:spacing w:before="40" w:after="40"/>
            </w:pPr>
            <w:r>
              <w:rPr>
                <w:sz w:val="19"/>
              </w:rPr>
            </w:r>
            <w:r>
              <w:rPr>
                <w:sz w:val="19"/>
              </w:rPr>
              <w:t>Meta-agent orchestration</w:t>
            </w:r>
          </w:p>
        </w:tc>
        <w:tc>
          <w:tcPr>
            <w:tcW w:type="dxa" w:w="1872"/>
            <w:shd w:fill="f0f4e8"/>
          </w:tcPr>
          <w:p>
            <w:pPr>
              <w:spacing w:before="40" w:after="40"/>
            </w:pPr>
            <w:r>
              <w:rPr>
                <w:sz w:val="19"/>
              </w:rPr>
            </w:r>
            <w:r>
              <w:rPr>
                <w:sz w:val="19"/>
              </w:rPr>
              <w:t>Very High</w:t>
            </w:r>
          </w:p>
        </w:tc>
        <w:tc>
          <w:tcPr>
            <w:tcW w:type="dxa" w:w="1872"/>
            <w:shd w:fill="f0f4e8"/>
          </w:tcPr>
          <w:p>
            <w:pPr>
              <w:spacing w:before="40" w:after="40"/>
            </w:pPr>
            <w:r>
              <w:rPr>
                <w:sz w:val="19"/>
              </w:rPr>
            </w:r>
            <w:r>
              <w:rPr>
                <w:sz w:val="19"/>
              </w:rPr>
              <w:t>Very High</w:t>
            </w:r>
          </w:p>
        </w:tc>
        <w:tc>
          <w:tcPr>
            <w:tcW w:type="dxa" w:w="1872"/>
            <w:shd w:fill="f0f4e8"/>
          </w:tcPr>
          <w:p>
            <w:pPr>
              <w:spacing w:before="40" w:after="40"/>
            </w:pPr>
            <w:r>
              <w:rPr>
                <w:sz w:val="19"/>
              </w:rPr>
            </w:r>
            <w:r>
              <w:rPr>
                <w:b/>
                <w:sz w:val="19"/>
              </w:rPr>
              <w:t>P3</w:t>
            </w:r>
          </w:p>
        </w:tc>
      </w:tr>
      <w:tr>
        <w:tc>
          <w:tcPr>
            <w:tcW w:type="dxa" w:w="1872"/>
          </w:tcPr>
          <w:p>
            <w:pPr>
              <w:spacing w:before="40" w:after="40"/>
            </w:pPr>
            <w:r>
              <w:rPr>
                <w:sz w:val="19"/>
              </w:rPr>
            </w:r>
            <w:r>
              <w:rPr>
                <w:sz w:val="19"/>
              </w:rPr>
              <w:t>4</w:t>
            </w:r>
          </w:p>
        </w:tc>
        <w:tc>
          <w:tcPr>
            <w:tcW w:type="dxa" w:w="1872"/>
          </w:tcPr>
          <w:p>
            <w:pPr>
              <w:spacing w:before="40" w:after="40"/>
            </w:pPr>
            <w:r>
              <w:rPr>
                <w:sz w:val="19"/>
              </w:rPr>
            </w:r>
            <w:r>
              <w:rPr>
                <w:sz w:val="19"/>
              </w:rPr>
              <w:t>Real NIM service wiring</w:t>
            </w:r>
          </w:p>
        </w:tc>
        <w:tc>
          <w:tcPr>
            <w:tcW w:type="dxa" w:w="1872"/>
          </w:tcPr>
          <w:p>
            <w:pPr>
              <w:spacing w:before="40" w:after="40"/>
            </w:pPr>
            <w:r>
              <w:rPr>
                <w:sz w:val="19"/>
              </w:rPr>
            </w:r>
            <w:r>
              <w:rPr>
                <w:sz w:val="19"/>
              </w:rPr>
              <w:t>Medium</w:t>
            </w:r>
          </w:p>
        </w:tc>
        <w:tc>
          <w:tcPr>
            <w:tcW w:type="dxa" w:w="1872"/>
          </w:tcPr>
          <w:p>
            <w:pPr>
              <w:spacing w:before="40" w:after="40"/>
            </w:pPr>
            <w:r>
              <w:rPr>
                <w:sz w:val="19"/>
              </w:rPr>
            </w:r>
            <w:r>
              <w:rPr>
                <w:sz w:val="19"/>
              </w:rPr>
              <w:t>Low</w:t>
            </w:r>
          </w:p>
        </w:tc>
        <w:tc>
          <w:tcPr>
            <w:tcW w:type="dxa" w:w="1872"/>
          </w:tcPr>
          <w:p>
            <w:pPr>
              <w:spacing w:before="40" w:after="40"/>
            </w:pPr>
            <w:r>
              <w:rPr>
                <w:sz w:val="19"/>
              </w:rPr>
            </w:r>
            <w:r>
              <w:rPr>
                <w:b/>
                <w:sz w:val="19"/>
              </w:rPr>
              <w:t>P1</w:t>
            </w:r>
          </w:p>
        </w:tc>
      </w:tr>
      <w:tr>
        <w:tc>
          <w:tcPr>
            <w:tcW w:type="dxa" w:w="1872"/>
            <w:shd w:fill="f0f4e8"/>
          </w:tcPr>
          <w:p>
            <w:pPr>
              <w:spacing w:before="40" w:after="40"/>
            </w:pPr>
            <w:r>
              <w:rPr>
                <w:sz w:val="19"/>
              </w:rPr>
            </w:r>
            <w:r>
              <w:rPr>
                <w:sz w:val="19"/>
              </w:rPr>
              <w:t>4</w:t>
            </w:r>
          </w:p>
        </w:tc>
        <w:tc>
          <w:tcPr>
            <w:tcW w:type="dxa" w:w="1872"/>
            <w:shd w:fill="f0f4e8"/>
          </w:tcPr>
          <w:p>
            <w:pPr>
              <w:spacing w:before="40" w:after="40"/>
            </w:pPr>
            <w:r>
              <w:rPr>
                <w:sz w:val="19"/>
              </w:rPr>
            </w:r>
            <w:r>
              <w:rPr>
                <w:sz w:val="19"/>
              </w:rPr>
              <w:t>Connection pooling + embedding cache</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sz w:val="19"/>
              </w:rPr>
              <w:t>Medium</w:t>
            </w:r>
          </w:p>
        </w:tc>
        <w:tc>
          <w:tcPr>
            <w:tcW w:type="dxa" w:w="1872"/>
            <w:shd w:fill="f0f4e8"/>
          </w:tcPr>
          <w:p>
            <w:pPr>
              <w:spacing w:before="40" w:after="40"/>
            </w:pPr>
            <w:r>
              <w:rPr>
                <w:sz w:val="19"/>
              </w:rPr>
            </w:r>
            <w:r>
              <w:rPr>
                <w:b/>
                <w:sz w:val="19"/>
              </w:rPr>
              <w:t>P2</w:t>
            </w:r>
          </w:p>
        </w:tc>
      </w:tr>
      <w:tr>
        <w:tc>
          <w:tcPr>
            <w:tcW w:type="dxa" w:w="1872"/>
          </w:tcPr>
          <w:p>
            <w:pPr>
              <w:spacing w:before="40" w:after="40"/>
            </w:pPr>
            <w:r>
              <w:rPr>
                <w:sz w:val="19"/>
              </w:rPr>
            </w:r>
            <w:r>
              <w:rPr>
                <w:sz w:val="19"/>
              </w:rPr>
              <w:t>4</w:t>
            </w:r>
          </w:p>
        </w:tc>
        <w:tc>
          <w:tcPr>
            <w:tcW w:type="dxa" w:w="1872"/>
          </w:tcPr>
          <w:p>
            <w:pPr>
              <w:spacing w:before="40" w:after="40"/>
            </w:pPr>
            <w:r>
              <w:rPr>
                <w:sz w:val="19"/>
              </w:rPr>
            </w:r>
            <w:r>
              <w:rPr>
                <w:sz w:val="19"/>
              </w:rPr>
              <w:t>OpenTelemetry tracing</w:t>
            </w:r>
          </w:p>
        </w:tc>
        <w:tc>
          <w:tcPr>
            <w:tcW w:type="dxa" w:w="1872"/>
          </w:tcPr>
          <w:p>
            <w:pPr>
              <w:spacing w:before="40" w:after="40"/>
            </w:pPr>
            <w:r>
              <w:rPr>
                <w:sz w:val="19"/>
              </w:rPr>
            </w:r>
            <w:r>
              <w:rPr>
                <w:sz w:val="19"/>
              </w:rPr>
              <w:t>Medium</w:t>
            </w:r>
          </w:p>
        </w:tc>
        <w:tc>
          <w:tcPr>
            <w:tcW w:type="dxa" w:w="1872"/>
          </w:tcPr>
          <w:p>
            <w:pPr>
              <w:spacing w:before="40" w:after="40"/>
            </w:pPr>
            <w:r>
              <w:rPr>
                <w:sz w:val="19"/>
              </w:rPr>
            </w:r>
            <w:r>
              <w:rPr>
                <w:sz w:val="19"/>
              </w:rPr>
              <w:t>High</w:t>
            </w:r>
          </w:p>
        </w:tc>
        <w:tc>
          <w:tcPr>
            <w:tcW w:type="dxa" w:w="1872"/>
          </w:tcPr>
          <w:p>
            <w:pPr>
              <w:spacing w:before="40" w:after="40"/>
            </w:pPr>
            <w:r>
              <w:rPr>
                <w:sz w:val="19"/>
              </w:rPr>
            </w:r>
            <w:r>
              <w:rPr>
                <w:b/>
                <w:sz w:val="19"/>
              </w:rPr>
              <w:t>P3</w:t>
            </w:r>
          </w:p>
        </w:tc>
      </w:tr>
    </w:tbl>
    <w:p/>
    <w:p>
      <w:pPr>
        <w:pStyle w:val="Heading3"/>
      </w:pPr>
      <w:r>
        <w:t>12.2 Sprint Plan</w:t>
      </w:r>
    </w:p>
    <w:p>
      <w:pPr>
        <w:jc w:val="center"/>
      </w:pPr>
      <w:r>
        <w:rPr>
          <w:b/>
        </w:rPr>
        <w:t>Sprint 1: Foundation</w:t>
      </w:r>
      <w:r>
        <w:t xml:space="preserve"> (Items 1.1, 1.2, 4.1) Get shared code right. Consolidate Milvus/embedding/LLM clients, add CAR-T to landing page, wire real NIM endpoints.</w:t>
      </w:r>
    </w:p>
    <w:p>
      <w:pPr>
        <w:jc w:val="center"/>
      </w:pPr>
      <w:r>
        <w:rPr>
          <w:b/>
        </w:rPr>
        <w:t>Sprint 2: Cross-Pollination</w:t>
      </w:r>
      <w:r>
        <w:t xml:space="preserve"> (Items 1.3, 2.1, 2.3) Export everywhere, dynamic target identification, cross-collection queries.</w:t>
      </w:r>
    </w:p>
    <w:p>
      <w:pPr>
        <w:jc w:val="center"/>
      </w:pPr>
      <w:r>
        <w:rPr>
          <w:b/>
        </w:rPr>
        <w:t>Sprint 3: Patient-Specific Flow</w:t>
      </w:r>
      <w:r>
        <w:t xml:space="preserve"> (Items 2.2, 3.1) VCF → CAR-T ingestion, Nextflow CAR-T workflow mode.</w:t>
      </w:r>
    </w:p>
    <w:p>
      <w:pPr>
        <w:jc w:val="center"/>
      </w:pPr>
      <w:r>
        <w:rPr>
          <w:b/>
        </w:rPr>
        <w:t>Sprint 4: Engineering and Reporting</w:t>
      </w:r>
      <w:r>
        <w:t xml:space="preserve"> (Items 2.4, 3.3, 4.2) CAR-T Engineering branch, unified report, performance optimization.</w:t>
      </w:r>
    </w:p>
    <w:p>
      <w:pPr>
        <w:jc w:val="center"/>
      </w:pPr>
      <w:r>
        <w:rPr>
          <w:b/>
        </w:rPr>
        <w:t>Sprint 5: Intelligence</w:t>
      </w:r>
      <w:r>
        <w:t xml:space="preserve"> (Items 3.2, 4.3) Meta-agent coordination, full observability stack.</w:t>
      </w:r>
    </w:p>
    <w:p>
      <w:pPr>
        <w:spacing w:before="120" w:after="120"/>
        <w:pBdr>
          <w:bottom w:val="single" w:sz="4" w:space="1" w:color="76B900"/>
        </w:pBdr>
      </w:pPr>
    </w:p>
    <w:p>
      <w:r>
        <w:br w:type="page"/>
      </w:r>
    </w:p>
    <w:p>
      <w:pPr>
        <w:pStyle w:val="Heading2"/>
      </w:pPr>
      <w:r>
        <w:t>13. Performance Benchmarks and Metrics</w:t>
      </w:r>
    </w:p>
    <w:p>
      <w:pPr>
        <w:pStyle w:val="Heading3"/>
      </w:pPr>
      <w:r>
        <w:t>13.1 End-to-End Timing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Stage</w:t>
            </w:r>
          </w:p>
        </w:tc>
        <w:tc>
          <w:tcPr>
            <w:tcW w:type="dxa" w:w="3120"/>
            <w:shd w:fill="1a1a24"/>
          </w:tcPr>
          <w:p>
            <w:pPr>
              <w:spacing w:before="40" w:after="40"/>
            </w:pPr>
            <w:r>
              <w:rPr>
                <w:b/>
                <w:color w:val="FFFFFF"/>
                <w:sz w:val="19"/>
              </w:rPr>
            </w:r>
            <w:r>
              <w:rPr>
                <w:b/>
                <w:color w:val="FFFFFF"/>
                <w:sz w:val="19"/>
              </w:rPr>
              <w:t>Duration</w:t>
            </w:r>
          </w:p>
        </w:tc>
        <w:tc>
          <w:tcPr>
            <w:tcW w:type="dxa" w:w="3120"/>
            <w:shd w:fill="1a1a24"/>
          </w:tcPr>
          <w:p>
            <w:pPr>
              <w:spacing w:before="40" w:after="40"/>
            </w:pPr>
            <w:r>
              <w:rPr>
                <w:b/>
                <w:color w:val="FFFFFF"/>
                <w:sz w:val="19"/>
              </w:rPr>
            </w:r>
            <w:r>
              <w:rPr>
                <w:b/>
                <w:color w:val="FFFFFF"/>
                <w:sz w:val="19"/>
              </w:rPr>
              <w:t>Data Volume</w:t>
            </w:r>
          </w:p>
        </w:tc>
      </w:tr>
      <w:tr>
        <w:tc>
          <w:tcPr>
            <w:tcW w:type="dxa" w:w="3120"/>
          </w:tcPr>
          <w:p>
            <w:pPr>
              <w:spacing w:before="40" w:after="40"/>
            </w:pPr>
            <w:r>
              <w:rPr>
                <w:sz w:val="19"/>
              </w:rPr>
            </w:r>
            <w:r>
              <w:rPr>
                <w:sz w:val="19"/>
              </w:rPr>
              <w:t>Genomics (fq2bam)</w:t>
            </w:r>
          </w:p>
        </w:tc>
        <w:tc>
          <w:tcPr>
            <w:tcW w:type="dxa" w:w="3120"/>
          </w:tcPr>
          <w:p>
            <w:pPr>
              <w:spacing w:before="40" w:after="40"/>
            </w:pPr>
            <w:r>
              <w:rPr>
                <w:sz w:val="19"/>
              </w:rPr>
            </w:r>
            <w:r>
              <w:rPr>
                <w:sz w:val="19"/>
              </w:rPr>
              <w:t>60-180 min</w:t>
            </w:r>
          </w:p>
        </w:tc>
        <w:tc>
          <w:tcPr>
            <w:tcW w:type="dxa" w:w="3120"/>
          </w:tcPr>
          <w:p>
            <w:pPr>
              <w:spacing w:before="40" w:after="40"/>
            </w:pPr>
            <w:r>
              <w:rPr>
                <w:sz w:val="19"/>
              </w:rPr>
            </w:r>
            <w:r>
              <w:rPr>
                <w:sz w:val="19"/>
              </w:rPr>
              <w:t>200GB FASTQ → 120GB BAM</w:t>
            </w:r>
          </w:p>
        </w:tc>
      </w:tr>
      <w:tr>
        <w:tc>
          <w:tcPr>
            <w:tcW w:type="dxa" w:w="3120"/>
            <w:shd w:fill="f0f4e8"/>
          </w:tcPr>
          <w:p>
            <w:pPr>
              <w:spacing w:before="40" w:after="40"/>
            </w:pPr>
            <w:r>
              <w:rPr>
                <w:sz w:val="19"/>
              </w:rPr>
            </w:r>
            <w:r>
              <w:rPr>
                <w:sz w:val="19"/>
              </w:rPr>
              <w:t>Genomics (DeepVariant)</w:t>
            </w:r>
          </w:p>
        </w:tc>
        <w:tc>
          <w:tcPr>
            <w:tcW w:type="dxa" w:w="3120"/>
            <w:shd w:fill="f0f4e8"/>
          </w:tcPr>
          <w:p>
            <w:pPr>
              <w:spacing w:before="40" w:after="40"/>
            </w:pPr>
            <w:r>
              <w:rPr>
                <w:sz w:val="19"/>
              </w:rPr>
            </w:r>
            <w:r>
              <w:rPr>
                <w:sz w:val="19"/>
              </w:rPr>
              <w:t>60-90 min</w:t>
            </w:r>
          </w:p>
        </w:tc>
        <w:tc>
          <w:tcPr>
            <w:tcW w:type="dxa" w:w="3120"/>
            <w:shd w:fill="f0f4e8"/>
          </w:tcPr>
          <w:p>
            <w:pPr>
              <w:spacing w:before="40" w:after="40"/>
            </w:pPr>
            <w:r>
              <w:rPr>
                <w:sz w:val="19"/>
              </w:rPr>
            </w:r>
            <w:r>
              <w:rPr>
                <w:sz w:val="19"/>
              </w:rPr>
              <w:t>120GB BAM → 3GB VCF</w:t>
            </w:r>
          </w:p>
        </w:tc>
      </w:tr>
      <w:tr>
        <w:tc>
          <w:tcPr>
            <w:tcW w:type="dxa" w:w="3120"/>
          </w:tcPr>
          <w:p>
            <w:pPr>
              <w:spacing w:before="40" w:after="40"/>
            </w:pPr>
            <w:r>
              <w:rPr>
                <w:sz w:val="19"/>
              </w:rPr>
            </w:r>
            <w:r>
              <w:rPr>
                <w:sz w:val="19"/>
              </w:rPr>
              <w:t>VCF Annotation</w:t>
            </w:r>
          </w:p>
        </w:tc>
        <w:tc>
          <w:tcPr>
            <w:tcW w:type="dxa" w:w="3120"/>
          </w:tcPr>
          <w:p>
            <w:pPr>
              <w:spacing w:before="40" w:after="40"/>
            </w:pPr>
            <w:r>
              <w:rPr>
                <w:sz w:val="19"/>
              </w:rPr>
            </w:r>
            <w:r>
              <w:rPr>
                <w:sz w:val="19"/>
              </w:rPr>
              <w:t>5-15 min</w:t>
            </w:r>
          </w:p>
        </w:tc>
        <w:tc>
          <w:tcPr>
            <w:tcW w:type="dxa" w:w="3120"/>
          </w:tcPr>
          <w:p>
            <w:pPr>
              <w:spacing w:before="40" w:after="40"/>
            </w:pPr>
            <w:r>
              <w:rPr>
                <w:sz w:val="19"/>
              </w:rPr>
            </w:r>
            <w:r>
              <w:rPr>
                <w:sz w:val="19"/>
              </w:rPr>
              <w:t>11.7M variants annotated</w:t>
            </w:r>
          </w:p>
        </w:tc>
      </w:tr>
      <w:tr>
        <w:tc>
          <w:tcPr>
            <w:tcW w:type="dxa" w:w="3120"/>
            <w:shd w:fill="f0f4e8"/>
          </w:tcPr>
          <w:p>
            <w:pPr>
              <w:spacing w:before="40" w:after="40"/>
            </w:pPr>
            <w:r>
              <w:rPr>
                <w:sz w:val="19"/>
              </w:rPr>
            </w:r>
            <w:r>
              <w:rPr>
                <w:sz w:val="19"/>
              </w:rPr>
              <w:t>Vector Ingestion</w:t>
            </w:r>
          </w:p>
        </w:tc>
        <w:tc>
          <w:tcPr>
            <w:tcW w:type="dxa" w:w="3120"/>
            <w:shd w:fill="f0f4e8"/>
          </w:tcPr>
          <w:p>
            <w:pPr>
              <w:spacing w:before="40" w:after="40"/>
            </w:pPr>
            <w:r>
              <w:rPr>
                <w:sz w:val="19"/>
              </w:rPr>
            </w:r>
            <w:r>
              <w:rPr>
                <w:sz w:val="19"/>
              </w:rPr>
              <w:t>10-20 min</w:t>
            </w:r>
          </w:p>
        </w:tc>
        <w:tc>
          <w:tcPr>
            <w:tcW w:type="dxa" w:w="3120"/>
            <w:shd w:fill="f0f4e8"/>
          </w:tcPr>
          <w:p>
            <w:pPr>
              <w:spacing w:before="40" w:after="40"/>
            </w:pPr>
            <w:r>
              <w:rPr>
                <w:sz w:val="19"/>
              </w:rPr>
            </w:r>
            <w:r>
              <w:rPr>
                <w:sz w:val="19"/>
              </w:rPr>
              <w:t>35,616 variants embedded</w:t>
            </w:r>
          </w:p>
        </w:tc>
      </w:tr>
      <w:tr>
        <w:tc>
          <w:tcPr>
            <w:tcW w:type="dxa" w:w="3120"/>
          </w:tcPr>
          <w:p>
            <w:pPr>
              <w:spacing w:before="40" w:after="40"/>
            </w:pPr>
            <w:r>
              <w:rPr>
                <w:sz w:val="19"/>
              </w:rPr>
            </w:r>
            <w:r>
              <w:rPr>
                <w:sz w:val="19"/>
              </w:rPr>
              <w:t>RAG Query</w:t>
            </w:r>
          </w:p>
        </w:tc>
        <w:tc>
          <w:tcPr>
            <w:tcW w:type="dxa" w:w="3120"/>
          </w:tcPr>
          <w:p>
            <w:pPr>
              <w:spacing w:before="40" w:after="40"/>
            </w:pPr>
            <w:r>
              <w:rPr>
                <w:sz w:val="19"/>
              </w:rPr>
            </w:r>
            <w:r>
              <w:rPr>
                <w:sz w:val="19"/>
              </w:rPr>
              <w:t>1-5 sec</w:t>
            </w:r>
          </w:p>
        </w:tc>
        <w:tc>
          <w:tcPr>
            <w:tcW w:type="dxa" w:w="3120"/>
          </w:tcPr>
          <w:p>
            <w:pPr>
              <w:spacing w:before="40" w:after="40"/>
            </w:pPr>
            <w:r>
              <w:rPr>
                <w:sz w:val="19"/>
              </w:rPr>
            </w:r>
            <w:r>
              <w:rPr>
                <w:sz w:val="19"/>
              </w:rPr>
              <w:t>10 results per query</w:t>
            </w:r>
          </w:p>
        </w:tc>
      </w:tr>
      <w:tr>
        <w:tc>
          <w:tcPr>
            <w:tcW w:type="dxa" w:w="3120"/>
            <w:shd w:fill="f0f4e8"/>
          </w:tcPr>
          <w:p>
            <w:pPr>
              <w:spacing w:before="40" w:after="40"/>
            </w:pPr>
            <w:r>
              <w:rPr>
                <w:sz w:val="19"/>
              </w:rPr>
            </w:r>
            <w:r>
              <w:rPr>
                <w:sz w:val="19"/>
              </w:rPr>
              <w:t>CAR-T Agent Query</w:t>
            </w:r>
          </w:p>
        </w:tc>
        <w:tc>
          <w:tcPr>
            <w:tcW w:type="dxa" w:w="3120"/>
            <w:shd w:fill="f0f4e8"/>
          </w:tcPr>
          <w:p>
            <w:pPr>
              <w:spacing w:before="40" w:after="40"/>
            </w:pPr>
            <w:r>
              <w:rPr>
                <w:sz w:val="19"/>
              </w:rPr>
            </w:r>
            <w:r>
              <w:rPr>
                <w:sz w:val="19"/>
              </w:rPr>
              <w:t>2-8 sec</w:t>
            </w:r>
          </w:p>
        </w:tc>
        <w:tc>
          <w:tcPr>
            <w:tcW w:type="dxa" w:w="3120"/>
            <w:shd w:fill="f0f4e8"/>
          </w:tcPr>
          <w:p>
            <w:pPr>
              <w:spacing w:before="40" w:after="40"/>
            </w:pPr>
            <w:r>
              <w:rPr>
                <w:sz w:val="19"/>
              </w:rPr>
            </w:r>
            <w:r>
              <w:rPr>
                <w:sz w:val="19"/>
              </w:rPr>
              <w:t>30 results across 11 collections</w:t>
            </w:r>
          </w:p>
        </w:tc>
      </w:tr>
      <w:tr>
        <w:tc>
          <w:tcPr>
            <w:tcW w:type="dxa" w:w="3120"/>
          </w:tcPr>
          <w:p>
            <w:pPr>
              <w:spacing w:before="40" w:after="40"/>
            </w:pPr>
            <w:r>
              <w:rPr>
                <w:sz w:val="19"/>
              </w:rPr>
            </w:r>
            <w:r>
              <w:rPr>
                <w:sz w:val="19"/>
              </w:rPr>
              <w:t>Drug Discovery</w:t>
            </w:r>
          </w:p>
        </w:tc>
        <w:tc>
          <w:tcPr>
            <w:tcW w:type="dxa" w:w="3120"/>
          </w:tcPr>
          <w:p>
            <w:pPr>
              <w:spacing w:before="40" w:after="40"/>
            </w:pPr>
            <w:r>
              <w:rPr>
                <w:sz w:val="19"/>
              </w:rPr>
            </w:r>
            <w:r>
              <w:rPr>
                <w:sz w:val="19"/>
              </w:rPr>
              <w:t>8-16 min</w:t>
            </w:r>
          </w:p>
        </w:tc>
        <w:tc>
          <w:tcPr>
            <w:tcW w:type="dxa" w:w="3120"/>
          </w:tcPr>
          <w:p>
            <w:pPr>
              <w:spacing w:before="40" w:after="40"/>
            </w:pPr>
            <w:r>
              <w:rPr>
                <w:sz w:val="19"/>
              </w:rPr>
            </w:r>
            <w:r>
              <w:rPr>
                <w:sz w:val="19"/>
              </w:rPr>
              <w:t>20 molecules generated, docked, ranked</w:t>
            </w:r>
          </w:p>
        </w:tc>
      </w:tr>
      <w:tr>
        <w:tc>
          <w:tcPr>
            <w:tcW w:type="dxa" w:w="3120"/>
            <w:shd w:fill="f0f4e8"/>
          </w:tcPr>
          <w:p>
            <w:pPr>
              <w:spacing w:before="40" w:after="40"/>
            </w:pPr>
            <w:r>
              <w:rPr>
                <w:sz w:val="19"/>
              </w:rPr>
            </w:r>
            <w:r>
              <w:rPr>
                <w:b/>
                <w:sz w:val="19"/>
              </w:rPr>
              <w:t>Total</w:t>
            </w:r>
          </w:p>
        </w:tc>
        <w:tc>
          <w:tcPr>
            <w:tcW w:type="dxa" w:w="3120"/>
            <w:shd w:fill="f0f4e8"/>
          </w:tcPr>
          <w:p>
            <w:pPr>
              <w:spacing w:before="40" w:after="40"/>
            </w:pPr>
            <w:r>
              <w:rPr>
                <w:sz w:val="19"/>
              </w:rPr>
            </w:r>
            <w:r>
              <w:rPr>
                <w:b/>
                <w:sz w:val="19"/>
              </w:rPr>
              <w:t>&lt;5 hours</w:t>
            </w:r>
          </w:p>
        </w:tc>
        <w:tc>
          <w:tcPr>
            <w:tcW w:type="dxa" w:w="3120"/>
            <w:shd w:fill="f0f4e8"/>
          </w:tcPr>
          <w:p>
            <w:pPr>
              <w:spacing w:before="40" w:after="40"/>
            </w:pPr>
            <w:r>
              <w:rPr>
                <w:sz w:val="19"/>
              </w:rPr>
            </w:r>
            <w:r>
              <w:rPr>
                <w:sz w:val="19"/>
              </w:rPr>
              <w:t>Patient DNA → Drug Candidates</w:t>
            </w:r>
          </w:p>
        </w:tc>
      </w:tr>
    </w:tbl>
    <w:p/>
    <w:p>
      <w:pPr>
        <w:pStyle w:val="Heading3"/>
      </w:pPr>
      <w:r>
        <w:t>13.2 Vector Search Performance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a1a24"/>
          </w:tcPr>
          <w:p>
            <w:pPr>
              <w:spacing w:before="40" w:after="40"/>
            </w:pPr>
            <w:r>
              <w:rPr>
                <w:b/>
                <w:color w:val="FFFFFF"/>
                <w:sz w:val="19"/>
              </w:rPr>
            </w:r>
            <w:r>
              <w:rPr>
                <w:b/>
                <w:color w:val="FFFFFF"/>
                <w:sz w:val="19"/>
              </w:rPr>
              <w:t>Metric</w:t>
            </w:r>
          </w:p>
        </w:tc>
        <w:tc>
          <w:tcPr>
            <w:tcW w:type="dxa" w:w="4680"/>
            <w:shd w:fill="1a1a24"/>
          </w:tcPr>
          <w:p>
            <w:pPr>
              <w:spacing w:before="40" w:after="40"/>
            </w:pPr>
            <w:r>
              <w:rPr>
                <w:b/>
                <w:color w:val="FFFFFF"/>
                <w:sz w:val="19"/>
              </w:rPr>
            </w:r>
            <w:r>
              <w:rPr>
                <w:b/>
                <w:color w:val="FFFFFF"/>
                <w:sz w:val="19"/>
              </w:rPr>
              <w:t>Value</w:t>
            </w:r>
          </w:p>
        </w:tc>
      </w:tr>
      <w:tr>
        <w:tc>
          <w:tcPr>
            <w:tcW w:type="dxa" w:w="4680"/>
          </w:tcPr>
          <w:p>
            <w:pPr>
              <w:spacing w:before="40" w:after="40"/>
            </w:pPr>
            <w:r>
              <w:rPr>
                <w:sz w:val="19"/>
              </w:rPr>
            </w:r>
            <w:r>
              <w:rPr>
                <w:sz w:val="19"/>
              </w:rPr>
              <w:t>Single-collection search latency</w:t>
            </w:r>
          </w:p>
        </w:tc>
        <w:tc>
          <w:tcPr>
            <w:tcW w:type="dxa" w:w="4680"/>
          </w:tcPr>
          <w:p>
            <w:pPr>
              <w:spacing w:before="40" w:after="40"/>
            </w:pPr>
            <w:r>
              <w:rPr>
                <w:sz w:val="19"/>
              </w:rPr>
            </w:r>
            <w:r>
              <w:rPr>
                <w:sz w:val="19"/>
              </w:rPr>
              <w:t>&lt;100ms</w:t>
            </w:r>
          </w:p>
        </w:tc>
      </w:tr>
      <w:tr>
        <w:tc>
          <w:tcPr>
            <w:tcW w:type="dxa" w:w="4680"/>
            <w:shd w:fill="f0f4e8"/>
          </w:tcPr>
          <w:p>
            <w:pPr>
              <w:spacing w:before="40" w:after="40"/>
            </w:pPr>
            <w:r>
              <w:rPr>
                <w:sz w:val="19"/>
              </w:rPr>
            </w:r>
            <w:r>
              <w:rPr>
                <w:sz w:val="19"/>
              </w:rPr>
              <w:t>11-collection parallel search</w:t>
            </w:r>
          </w:p>
        </w:tc>
        <w:tc>
          <w:tcPr>
            <w:tcW w:type="dxa" w:w="4680"/>
            <w:shd w:fill="f0f4e8"/>
          </w:tcPr>
          <w:p>
            <w:pPr>
              <w:spacing w:before="40" w:after="40"/>
            </w:pPr>
            <w:r>
              <w:rPr>
                <w:sz w:val="19"/>
              </w:rPr>
            </w:r>
            <w:r>
              <w:rPr>
                <w:sz w:val="19"/>
              </w:rPr>
              <w:t>&lt;500ms</w:t>
            </w:r>
          </w:p>
        </w:tc>
      </w:tr>
      <w:tr>
        <w:tc>
          <w:tcPr>
            <w:tcW w:type="dxa" w:w="4680"/>
          </w:tcPr>
          <w:p>
            <w:pPr>
              <w:spacing w:before="40" w:after="40"/>
            </w:pPr>
            <w:r>
              <w:rPr>
                <w:sz w:val="19"/>
              </w:rPr>
            </w:r>
            <w:r>
              <w:rPr>
                <w:sz w:val="19"/>
              </w:rPr>
              <w:t>Embedding generation (per query)</w:t>
            </w:r>
          </w:p>
        </w:tc>
        <w:tc>
          <w:tcPr>
            <w:tcW w:type="dxa" w:w="4680"/>
          </w:tcPr>
          <w:p>
            <w:pPr>
              <w:spacing w:before="40" w:after="40"/>
            </w:pPr>
            <w:r>
              <w:rPr>
                <w:sz w:val="19"/>
              </w:rPr>
            </w:r>
            <w:r>
              <w:rPr>
                <w:sz w:val="19"/>
              </w:rPr>
              <w:t>~10ms</w:t>
            </w:r>
          </w:p>
        </w:tc>
      </w:tr>
      <w:tr>
        <w:tc>
          <w:tcPr>
            <w:tcW w:type="dxa" w:w="4680"/>
            <w:shd w:fill="f0f4e8"/>
          </w:tcPr>
          <w:p>
            <w:pPr>
              <w:spacing w:before="40" w:after="40"/>
            </w:pPr>
            <w:r>
              <w:rPr>
                <w:sz w:val="19"/>
              </w:rPr>
            </w:r>
            <w:r>
              <w:rPr>
                <w:sz w:val="19"/>
              </w:rPr>
              <w:t>Top-k per collection</w:t>
            </w:r>
          </w:p>
        </w:tc>
        <w:tc>
          <w:tcPr>
            <w:tcW w:type="dxa" w:w="4680"/>
            <w:shd w:fill="f0f4e8"/>
          </w:tcPr>
          <w:p>
            <w:pPr>
              <w:spacing w:before="40" w:after="40"/>
            </w:pPr>
            <w:r>
              <w:rPr>
                <w:sz w:val="19"/>
              </w:rPr>
            </w:r>
            <w:r>
              <w:rPr>
                <w:sz w:val="19"/>
              </w:rPr>
              <w:t>5</w:t>
            </w:r>
          </w:p>
        </w:tc>
      </w:tr>
      <w:tr>
        <w:tc>
          <w:tcPr>
            <w:tcW w:type="dxa" w:w="4680"/>
          </w:tcPr>
          <w:p>
            <w:pPr>
              <w:spacing w:before="40" w:after="40"/>
            </w:pPr>
            <w:r>
              <w:rPr>
                <w:sz w:val="19"/>
              </w:rPr>
            </w:r>
            <w:r>
              <w:rPr>
                <w:sz w:val="19"/>
              </w:rPr>
              <w:t>Max merged results</w:t>
            </w:r>
          </w:p>
        </w:tc>
        <w:tc>
          <w:tcPr>
            <w:tcW w:type="dxa" w:w="4680"/>
          </w:tcPr>
          <w:p>
            <w:pPr>
              <w:spacing w:before="40" w:after="40"/>
            </w:pPr>
            <w:r>
              <w:rPr>
                <w:sz w:val="19"/>
              </w:rPr>
            </w:r>
            <w:r>
              <w:rPr>
                <w:sz w:val="19"/>
              </w:rPr>
              <w:t>30</w:t>
            </w:r>
          </w:p>
        </w:tc>
      </w:tr>
      <w:tr>
        <w:tc>
          <w:tcPr>
            <w:tcW w:type="dxa" w:w="4680"/>
            <w:shd w:fill="f0f4e8"/>
          </w:tcPr>
          <w:p>
            <w:pPr>
              <w:spacing w:before="40" w:after="40"/>
            </w:pPr>
            <w:r>
              <w:rPr>
                <w:sz w:val="19"/>
              </w:rPr>
            </w:r>
            <w:r>
              <w:rPr>
                <w:sz w:val="19"/>
              </w:rPr>
              <w:t>Score threshold</w:t>
            </w:r>
          </w:p>
        </w:tc>
        <w:tc>
          <w:tcPr>
            <w:tcW w:type="dxa" w:w="4680"/>
            <w:shd w:fill="f0f4e8"/>
          </w:tcPr>
          <w:p>
            <w:pPr>
              <w:spacing w:before="40" w:after="40"/>
            </w:pPr>
            <w:r>
              <w:rPr>
                <w:sz w:val="19"/>
              </w:rPr>
            </w:r>
            <w:r>
              <w:rPr>
                <w:sz w:val="19"/>
              </w:rPr>
              <w:t>0.3-0.5 (configurable)</w:t>
            </w:r>
          </w:p>
        </w:tc>
      </w:tr>
    </w:tbl>
    <w:p/>
    <w:p>
      <w:pPr>
        <w:pStyle w:val="Heading3"/>
      </w:pPr>
      <w:r>
        <w:t>13.3 GPU Utilization Profile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a1a24"/>
          </w:tcPr>
          <w:p>
            <w:pPr>
              <w:spacing w:before="40" w:after="40"/>
            </w:pPr>
            <w:r>
              <w:rPr>
                <w:b/>
                <w:color w:val="FFFFFF"/>
                <w:sz w:val="19"/>
              </w:rPr>
            </w:r>
            <w:r>
              <w:rPr>
                <w:b/>
                <w:color w:val="FFFFFF"/>
                <w:sz w:val="19"/>
              </w:rPr>
              <w:t>Stage</w:t>
            </w:r>
          </w:p>
        </w:tc>
        <w:tc>
          <w:tcPr>
            <w:tcW w:type="dxa" w:w="3120"/>
            <w:shd w:fill="1a1a24"/>
          </w:tcPr>
          <w:p>
            <w:pPr>
              <w:spacing w:before="40" w:after="40"/>
            </w:pPr>
            <w:r>
              <w:rPr>
                <w:b/>
                <w:color w:val="FFFFFF"/>
                <w:sz w:val="19"/>
              </w:rPr>
            </w:r>
            <w:r>
              <w:rPr>
                <w:b/>
                <w:color w:val="FFFFFF"/>
                <w:sz w:val="19"/>
              </w:rPr>
              <w:t>GPU Utilization</w:t>
            </w:r>
          </w:p>
        </w:tc>
        <w:tc>
          <w:tcPr>
            <w:tcW w:type="dxa" w:w="3120"/>
            <w:shd w:fill="1a1a24"/>
          </w:tcPr>
          <w:p>
            <w:pPr>
              <w:spacing w:before="40" w:after="40"/>
            </w:pPr>
            <w:r>
              <w:rPr>
                <w:b/>
                <w:color w:val="FFFFFF"/>
                <w:sz w:val="19"/>
              </w:rPr>
            </w:r>
            <w:r>
              <w:rPr>
                <w:b/>
                <w:color w:val="FFFFFF"/>
                <w:sz w:val="19"/>
              </w:rPr>
              <w:t>GPU Memory</w:t>
            </w:r>
          </w:p>
        </w:tc>
      </w:tr>
      <w:tr>
        <w:tc>
          <w:tcPr>
            <w:tcW w:type="dxa" w:w="3120"/>
          </w:tcPr>
          <w:p>
            <w:pPr>
              <w:spacing w:before="40" w:after="40"/>
            </w:pPr>
            <w:r>
              <w:rPr>
                <w:sz w:val="19"/>
              </w:rPr>
            </w:r>
            <w:r>
              <w:rPr>
                <w:sz w:val="19"/>
              </w:rPr>
              <w:t>Parabricks fq2bam</w:t>
            </w:r>
          </w:p>
        </w:tc>
        <w:tc>
          <w:tcPr>
            <w:tcW w:type="dxa" w:w="3120"/>
          </w:tcPr>
          <w:p>
            <w:pPr>
              <w:spacing w:before="40" w:after="40"/>
            </w:pPr>
            <w:r>
              <w:rPr>
                <w:sz w:val="19"/>
              </w:rPr>
            </w:r>
            <w:r>
              <w:rPr>
                <w:sz w:val="19"/>
              </w:rPr>
              <w:t>80-95%</w:t>
            </w:r>
          </w:p>
        </w:tc>
        <w:tc>
          <w:tcPr>
            <w:tcW w:type="dxa" w:w="3120"/>
          </w:tcPr>
          <w:p>
            <w:pPr>
              <w:spacing w:before="40" w:after="40"/>
            </w:pPr>
            <w:r>
              <w:rPr>
                <w:sz w:val="19"/>
              </w:rPr>
            </w:r>
            <w:r>
              <w:rPr>
                <w:sz w:val="19"/>
              </w:rPr>
              <w:t>12-16GB</w:t>
            </w:r>
          </w:p>
        </w:tc>
      </w:tr>
      <w:tr>
        <w:tc>
          <w:tcPr>
            <w:tcW w:type="dxa" w:w="3120"/>
            <w:shd w:fill="f0f4e8"/>
          </w:tcPr>
          <w:p>
            <w:pPr>
              <w:spacing w:before="40" w:after="40"/>
            </w:pPr>
            <w:r>
              <w:rPr>
                <w:sz w:val="19"/>
              </w:rPr>
            </w:r>
            <w:r>
              <w:rPr>
                <w:sz w:val="19"/>
              </w:rPr>
              <w:t>Parabricks DeepVariant</w:t>
            </w:r>
          </w:p>
        </w:tc>
        <w:tc>
          <w:tcPr>
            <w:tcW w:type="dxa" w:w="3120"/>
            <w:shd w:fill="f0f4e8"/>
          </w:tcPr>
          <w:p>
            <w:pPr>
              <w:spacing w:before="40" w:after="40"/>
            </w:pPr>
            <w:r>
              <w:rPr>
                <w:sz w:val="19"/>
              </w:rPr>
            </w:r>
            <w:r>
              <w:rPr>
                <w:sz w:val="19"/>
              </w:rPr>
              <w:t>70-85%</w:t>
            </w:r>
          </w:p>
        </w:tc>
        <w:tc>
          <w:tcPr>
            <w:tcW w:type="dxa" w:w="3120"/>
            <w:shd w:fill="f0f4e8"/>
          </w:tcPr>
          <w:p>
            <w:pPr>
              <w:spacing w:before="40" w:after="40"/>
            </w:pPr>
            <w:r>
              <w:rPr>
                <w:sz w:val="19"/>
              </w:rPr>
            </w:r>
            <w:r>
              <w:rPr>
                <w:sz w:val="19"/>
              </w:rPr>
              <w:t>10-14GB</w:t>
            </w:r>
          </w:p>
        </w:tc>
      </w:tr>
      <w:tr>
        <w:tc>
          <w:tcPr>
            <w:tcW w:type="dxa" w:w="3120"/>
          </w:tcPr>
          <w:p>
            <w:pPr>
              <w:spacing w:before="40" w:after="40"/>
            </w:pPr>
            <w:r>
              <w:rPr>
                <w:sz w:val="19"/>
              </w:rPr>
            </w:r>
            <w:r>
              <w:rPr>
                <w:sz w:val="19"/>
              </w:rPr>
              <w:t>BGE Embedding</w:t>
            </w:r>
          </w:p>
        </w:tc>
        <w:tc>
          <w:tcPr>
            <w:tcW w:type="dxa" w:w="3120"/>
          </w:tcPr>
          <w:p>
            <w:pPr>
              <w:spacing w:before="40" w:after="40"/>
            </w:pPr>
            <w:r>
              <w:rPr>
                <w:sz w:val="19"/>
              </w:rPr>
            </w:r>
            <w:r>
              <w:rPr>
                <w:sz w:val="19"/>
              </w:rPr>
              <w:t>10-20%</w:t>
            </w:r>
          </w:p>
        </w:tc>
        <w:tc>
          <w:tcPr>
            <w:tcW w:type="dxa" w:w="3120"/>
          </w:tcPr>
          <w:p>
            <w:pPr>
              <w:spacing w:before="40" w:after="40"/>
            </w:pPr>
            <w:r>
              <w:rPr>
                <w:sz w:val="19"/>
              </w:rPr>
            </w:r>
            <w:r>
              <w:rPr>
                <w:sz w:val="19"/>
              </w:rPr>
              <w:t>&lt;1GB</w:t>
            </w:r>
          </w:p>
        </w:tc>
      </w:tr>
      <w:tr>
        <w:tc>
          <w:tcPr>
            <w:tcW w:type="dxa" w:w="3120"/>
            <w:shd w:fill="f0f4e8"/>
          </w:tcPr>
          <w:p>
            <w:pPr>
              <w:spacing w:before="40" w:after="40"/>
            </w:pPr>
            <w:r>
              <w:rPr>
                <w:sz w:val="19"/>
              </w:rPr>
            </w:r>
            <w:r>
              <w:rPr>
                <w:sz w:val="19"/>
              </w:rPr>
              <w:t>MolMIM Generation</w:t>
            </w:r>
          </w:p>
        </w:tc>
        <w:tc>
          <w:tcPr>
            <w:tcW w:type="dxa" w:w="3120"/>
            <w:shd w:fill="f0f4e8"/>
          </w:tcPr>
          <w:p>
            <w:pPr>
              <w:spacing w:before="40" w:after="40"/>
            </w:pPr>
            <w:r>
              <w:rPr>
                <w:sz w:val="19"/>
              </w:rPr>
            </w:r>
            <w:r>
              <w:rPr>
                <w:sz w:val="19"/>
              </w:rPr>
              <w:t>40-60%</w:t>
            </w:r>
          </w:p>
        </w:tc>
        <w:tc>
          <w:tcPr>
            <w:tcW w:type="dxa" w:w="3120"/>
            <w:shd w:fill="f0f4e8"/>
          </w:tcPr>
          <w:p>
            <w:pPr>
              <w:spacing w:before="40" w:after="40"/>
            </w:pPr>
            <w:r>
              <w:rPr>
                <w:sz w:val="19"/>
              </w:rPr>
            </w:r>
            <w:r>
              <w:rPr>
                <w:sz w:val="19"/>
              </w:rPr>
              <w:t>4-8GB</w:t>
            </w:r>
          </w:p>
        </w:tc>
      </w:tr>
      <w:tr>
        <w:tc>
          <w:tcPr>
            <w:tcW w:type="dxa" w:w="3120"/>
          </w:tcPr>
          <w:p>
            <w:pPr>
              <w:spacing w:before="40" w:after="40"/>
            </w:pPr>
            <w:r>
              <w:rPr>
                <w:sz w:val="19"/>
              </w:rPr>
            </w:r>
            <w:r>
              <w:rPr>
                <w:sz w:val="19"/>
              </w:rPr>
              <w:t>DiffDock Docking</w:t>
            </w:r>
          </w:p>
        </w:tc>
        <w:tc>
          <w:tcPr>
            <w:tcW w:type="dxa" w:w="3120"/>
          </w:tcPr>
          <w:p>
            <w:pPr>
              <w:spacing w:before="40" w:after="40"/>
            </w:pPr>
            <w:r>
              <w:rPr>
                <w:sz w:val="19"/>
              </w:rPr>
            </w:r>
            <w:r>
              <w:rPr>
                <w:sz w:val="19"/>
              </w:rPr>
              <w:t>50-70%</w:t>
            </w:r>
          </w:p>
        </w:tc>
        <w:tc>
          <w:tcPr>
            <w:tcW w:type="dxa" w:w="3120"/>
          </w:tcPr>
          <w:p>
            <w:pPr>
              <w:spacing w:before="40" w:after="40"/>
            </w:pPr>
            <w:r>
              <w:rPr>
                <w:sz w:val="19"/>
              </w:rPr>
            </w:r>
            <w:r>
              <w:rPr>
                <w:sz w:val="19"/>
              </w:rPr>
              <w:t>4-8GB</w:t>
            </w:r>
          </w:p>
        </w:tc>
      </w:tr>
    </w:tbl>
    <w:p/>
    <w:p>
      <w:pPr>
        <w:pStyle w:val="Heading3"/>
      </w:pPr>
      <w:r>
        <w:t>13.4 Traditional vs. HCLS AI Factory Comparison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Task</w:t>
            </w:r>
          </w:p>
        </w:tc>
        <w:tc>
          <w:tcPr>
            <w:tcW w:type="dxa" w:w="2340"/>
            <w:shd w:fill="1a1a24"/>
          </w:tcPr>
          <w:p>
            <w:pPr>
              <w:spacing w:before="40" w:after="40"/>
            </w:pPr>
            <w:r>
              <w:rPr>
                <w:b/>
                <w:color w:val="FFFFFF"/>
                <w:sz w:val="19"/>
              </w:rPr>
            </w:r>
            <w:r>
              <w:rPr>
                <w:b/>
                <w:color w:val="FFFFFF"/>
                <w:sz w:val="19"/>
              </w:rPr>
              <w:t>Traditional</w:t>
            </w:r>
          </w:p>
        </w:tc>
        <w:tc>
          <w:tcPr>
            <w:tcW w:type="dxa" w:w="2340"/>
            <w:shd w:fill="1a1a24"/>
          </w:tcPr>
          <w:p>
            <w:pPr>
              <w:spacing w:before="40" w:after="40"/>
            </w:pPr>
            <w:r>
              <w:rPr>
                <w:b/>
                <w:color w:val="FFFFFF"/>
                <w:sz w:val="19"/>
              </w:rPr>
            </w:r>
            <w:r>
              <w:rPr>
                <w:b/>
                <w:color w:val="FFFFFF"/>
                <w:sz w:val="19"/>
              </w:rPr>
              <w:t>HCLS AI Factory</w:t>
            </w:r>
          </w:p>
        </w:tc>
        <w:tc>
          <w:tcPr>
            <w:tcW w:type="dxa" w:w="2340"/>
            <w:shd w:fill="1a1a24"/>
          </w:tcPr>
          <w:p>
            <w:pPr>
              <w:spacing w:before="40" w:after="40"/>
            </w:pPr>
            <w:r>
              <w:rPr>
                <w:b/>
                <w:color w:val="FFFFFF"/>
                <w:sz w:val="19"/>
              </w:rPr>
            </w:r>
            <w:r>
              <w:rPr>
                <w:b/>
                <w:color w:val="FFFFFF"/>
                <w:sz w:val="19"/>
              </w:rPr>
              <w:t>Speedup</w:t>
            </w:r>
          </w:p>
        </w:tc>
      </w:tr>
      <w:tr>
        <w:tc>
          <w:tcPr>
            <w:tcW w:type="dxa" w:w="2340"/>
          </w:tcPr>
          <w:p>
            <w:pPr>
              <w:spacing w:before="40" w:after="40"/>
            </w:pPr>
            <w:r>
              <w:rPr>
                <w:sz w:val="19"/>
              </w:rPr>
            </w:r>
            <w:r>
              <w:rPr>
                <w:sz w:val="19"/>
              </w:rPr>
              <w:t>Variant Calling (WGS)</w:t>
            </w:r>
          </w:p>
        </w:tc>
        <w:tc>
          <w:tcPr>
            <w:tcW w:type="dxa" w:w="2340"/>
          </w:tcPr>
          <w:p>
            <w:pPr>
              <w:spacing w:before="40" w:after="40"/>
            </w:pPr>
            <w:r>
              <w:rPr>
                <w:sz w:val="19"/>
              </w:rPr>
            </w:r>
            <w:r>
              <w:rPr>
                <w:sz w:val="19"/>
              </w:rPr>
              <w:t>24-72 hours (CPU)</w:t>
            </w:r>
          </w:p>
        </w:tc>
        <w:tc>
          <w:tcPr>
            <w:tcW w:type="dxa" w:w="2340"/>
          </w:tcPr>
          <w:p>
            <w:pPr>
              <w:spacing w:before="40" w:after="40"/>
            </w:pPr>
            <w:r>
              <w:rPr>
                <w:sz w:val="19"/>
              </w:rPr>
            </w:r>
            <w:r>
              <w:rPr>
                <w:sz w:val="19"/>
              </w:rPr>
              <w:t>2-4 hours (GPU)</w:t>
            </w:r>
          </w:p>
        </w:tc>
        <w:tc>
          <w:tcPr>
            <w:tcW w:type="dxa" w:w="2340"/>
          </w:tcPr>
          <w:p>
            <w:pPr>
              <w:spacing w:before="40" w:after="40"/>
            </w:pPr>
            <w:r>
              <w:rPr>
                <w:sz w:val="19"/>
              </w:rPr>
            </w:r>
            <w:r>
              <w:rPr>
                <w:sz w:val="19"/>
              </w:rPr>
              <w:t>10-30x</w:t>
            </w:r>
          </w:p>
        </w:tc>
      </w:tr>
      <w:tr>
        <w:tc>
          <w:tcPr>
            <w:tcW w:type="dxa" w:w="2340"/>
            <w:shd w:fill="f0f4e8"/>
          </w:tcPr>
          <w:p>
            <w:pPr>
              <w:spacing w:before="40" w:after="40"/>
            </w:pPr>
            <w:r>
              <w:rPr>
                <w:sz w:val="19"/>
              </w:rPr>
            </w:r>
            <w:r>
              <w:rPr>
                <w:sz w:val="19"/>
              </w:rPr>
              <w:t>Variant Interpretation</w:t>
            </w:r>
          </w:p>
        </w:tc>
        <w:tc>
          <w:tcPr>
            <w:tcW w:type="dxa" w:w="2340"/>
            <w:shd w:fill="f0f4e8"/>
          </w:tcPr>
          <w:p>
            <w:pPr>
              <w:spacing w:before="40" w:after="40"/>
            </w:pPr>
            <w:r>
              <w:rPr>
                <w:sz w:val="19"/>
              </w:rPr>
            </w:r>
            <w:r>
              <w:rPr>
                <w:sz w:val="19"/>
              </w:rPr>
              <w:t>Days (manual curation)</w:t>
            </w:r>
          </w:p>
        </w:tc>
        <w:tc>
          <w:tcPr>
            <w:tcW w:type="dxa" w:w="2340"/>
            <w:shd w:fill="f0f4e8"/>
          </w:tcPr>
          <w:p>
            <w:pPr>
              <w:spacing w:before="40" w:after="40"/>
            </w:pPr>
            <w:r>
              <w:rPr>
                <w:sz w:val="19"/>
              </w:rPr>
            </w:r>
            <w:r>
              <w:rPr>
                <w:sz w:val="19"/>
              </w:rPr>
              <w:t>Seconds (RAG)</w:t>
            </w:r>
          </w:p>
        </w:tc>
        <w:tc>
          <w:tcPr>
            <w:tcW w:type="dxa" w:w="2340"/>
            <w:shd w:fill="f0f4e8"/>
          </w:tcPr>
          <w:p>
            <w:pPr>
              <w:spacing w:before="40" w:after="40"/>
            </w:pPr>
            <w:r>
              <w:rPr>
                <w:sz w:val="19"/>
              </w:rPr>
            </w:r>
            <w:r>
              <w:rPr>
                <w:sz w:val="19"/>
              </w:rPr>
              <w:t>1000x+</w:t>
            </w:r>
          </w:p>
        </w:tc>
      </w:tr>
      <w:tr>
        <w:tc>
          <w:tcPr>
            <w:tcW w:type="dxa" w:w="2340"/>
          </w:tcPr>
          <w:p>
            <w:pPr>
              <w:spacing w:before="40" w:after="40"/>
            </w:pPr>
            <w:r>
              <w:rPr>
                <w:sz w:val="19"/>
              </w:rPr>
            </w:r>
            <w:r>
              <w:rPr>
                <w:sz w:val="19"/>
              </w:rPr>
              <w:t>Lead Discovery</w:t>
            </w:r>
          </w:p>
        </w:tc>
        <w:tc>
          <w:tcPr>
            <w:tcW w:type="dxa" w:w="2340"/>
          </w:tcPr>
          <w:p>
            <w:pPr>
              <w:spacing w:before="40" w:after="40"/>
            </w:pPr>
            <w:r>
              <w:rPr>
                <w:sz w:val="19"/>
              </w:rPr>
            </w:r>
            <w:r>
              <w:rPr>
                <w:sz w:val="19"/>
              </w:rPr>
              <w:t>6-12 months</w:t>
            </w:r>
          </w:p>
        </w:tc>
        <w:tc>
          <w:tcPr>
            <w:tcW w:type="dxa" w:w="2340"/>
          </w:tcPr>
          <w:p>
            <w:pPr>
              <w:spacing w:before="40" w:after="40"/>
            </w:pPr>
            <w:r>
              <w:rPr>
                <w:sz w:val="19"/>
              </w:rPr>
            </w:r>
            <w:r>
              <w:rPr>
                <w:sz w:val="19"/>
              </w:rPr>
              <w:t>8-16 minutes</w:t>
            </w:r>
          </w:p>
        </w:tc>
        <w:tc>
          <w:tcPr>
            <w:tcW w:type="dxa" w:w="2340"/>
          </w:tcPr>
          <w:p>
            <w:pPr>
              <w:spacing w:before="40" w:after="40"/>
            </w:pPr>
            <w:r>
              <w:rPr>
                <w:sz w:val="19"/>
              </w:rPr>
            </w:r>
            <w:r>
              <w:rPr>
                <w:sz w:val="19"/>
              </w:rPr>
              <w:t>30,000x+</w:t>
            </w:r>
          </w:p>
        </w:tc>
      </w:tr>
      <w:tr>
        <w:tc>
          <w:tcPr>
            <w:tcW w:type="dxa" w:w="2340"/>
            <w:shd w:fill="f0f4e8"/>
          </w:tcPr>
          <w:p>
            <w:pPr>
              <w:spacing w:before="40" w:after="40"/>
            </w:pPr>
            <w:r>
              <w:rPr>
                <w:sz w:val="19"/>
              </w:rPr>
            </w:r>
            <w:r>
              <w:rPr>
                <w:sz w:val="19"/>
              </w:rPr>
              <w:t>Lead Optimization</w:t>
            </w:r>
          </w:p>
        </w:tc>
        <w:tc>
          <w:tcPr>
            <w:tcW w:type="dxa" w:w="2340"/>
            <w:shd w:fill="f0f4e8"/>
          </w:tcPr>
          <w:p>
            <w:pPr>
              <w:spacing w:before="40" w:after="40"/>
            </w:pPr>
            <w:r>
              <w:rPr>
                <w:sz w:val="19"/>
              </w:rPr>
            </w:r>
            <w:r>
              <w:rPr>
                <w:sz w:val="19"/>
              </w:rPr>
              <w:t>1-2 years</w:t>
            </w:r>
          </w:p>
        </w:tc>
        <w:tc>
          <w:tcPr>
            <w:tcW w:type="dxa" w:w="2340"/>
            <w:shd w:fill="f0f4e8"/>
          </w:tcPr>
          <w:p>
            <w:pPr>
              <w:spacing w:before="40" w:after="40"/>
            </w:pPr>
            <w:r>
              <w:rPr>
                <w:sz w:val="19"/>
              </w:rPr>
            </w:r>
            <w:r>
              <w:rPr>
                <w:sz w:val="19"/>
              </w:rPr>
              <w:t>Minutes (iterative)</w:t>
            </w:r>
          </w:p>
        </w:tc>
        <w:tc>
          <w:tcPr>
            <w:tcW w:type="dxa" w:w="2340"/>
            <w:shd w:fill="f0f4e8"/>
          </w:tcPr>
          <w:p>
            <w:pPr>
              <w:spacing w:before="40" w:after="40"/>
            </w:pPr>
            <w:r>
              <w:rPr>
                <w:sz w:val="19"/>
              </w:rPr>
            </w:r>
            <w:r>
              <w:rPr>
                <w:sz w:val="19"/>
              </w:rPr>
              <w:t>100,000x+</w:t>
            </w:r>
          </w:p>
        </w:tc>
      </w:tr>
      <w:tr>
        <w:tc>
          <w:tcPr>
            <w:tcW w:type="dxa" w:w="2340"/>
          </w:tcPr>
          <w:p>
            <w:pPr>
              <w:spacing w:before="40" w:after="40"/>
            </w:pPr>
            <w:r>
              <w:rPr>
                <w:sz w:val="19"/>
              </w:rPr>
            </w:r>
            <w:r>
              <w:rPr>
                <w:sz w:val="19"/>
              </w:rPr>
              <w:t>CAR-T Target Evaluation</w:t>
            </w:r>
          </w:p>
        </w:tc>
        <w:tc>
          <w:tcPr>
            <w:tcW w:type="dxa" w:w="2340"/>
          </w:tcPr>
          <w:p>
            <w:pPr>
              <w:spacing w:before="40" w:after="40"/>
            </w:pPr>
            <w:r>
              <w:rPr>
                <w:sz w:val="19"/>
              </w:rPr>
            </w:r>
            <w:r>
              <w:rPr>
                <w:sz w:val="19"/>
              </w:rPr>
              <w:t>Weeks (literature review)</w:t>
            </w:r>
          </w:p>
        </w:tc>
        <w:tc>
          <w:tcPr>
            <w:tcW w:type="dxa" w:w="2340"/>
          </w:tcPr>
          <w:p>
            <w:pPr>
              <w:spacing w:before="40" w:after="40"/>
            </w:pPr>
            <w:r>
              <w:rPr>
                <w:sz w:val="19"/>
              </w:rPr>
            </w:r>
            <w:r>
              <w:rPr>
                <w:sz w:val="19"/>
              </w:rPr>
              <w:t>2-8 seconds</w:t>
            </w:r>
          </w:p>
        </w:tc>
        <w:tc>
          <w:tcPr>
            <w:tcW w:type="dxa" w:w="2340"/>
          </w:tcPr>
          <w:p>
            <w:pPr>
              <w:spacing w:before="40" w:after="40"/>
            </w:pPr>
            <w:r>
              <w:rPr>
                <w:sz w:val="19"/>
              </w:rPr>
            </w:r>
            <w:r>
              <w:rPr>
                <w:sz w:val="19"/>
              </w:rPr>
              <w:t>100,000x+</w:t>
            </w:r>
          </w:p>
        </w:tc>
      </w:tr>
    </w:tbl>
    <w:p/>
    <w:p>
      <w:pPr>
        <w:spacing w:before="120" w:after="120"/>
        <w:pBdr>
          <w:bottom w:val="single" w:sz="4" w:space="1" w:color="76B900"/>
        </w:pBdr>
      </w:pPr>
    </w:p>
    <w:p>
      <w:r>
        <w:br w:type="page"/>
      </w:r>
    </w:p>
    <w:p>
      <w:pPr>
        <w:pStyle w:val="Heading2"/>
      </w:pPr>
      <w:r>
        <w:t>14. Security, Observability, and Production Hardening</w:t>
      </w:r>
    </w:p>
    <w:p>
      <w:pPr>
        <w:pStyle w:val="Heading3"/>
      </w:pPr>
      <w:r>
        <w:t>14.1 Security Architecture</w:t>
      </w:r>
    </w:p>
    <w:p>
      <w:r>
        <w:rPr>
          <w:b/>
        </w:rPr>
        <w:t>Authentication</w:t>
      </w:r>
      <w:r>
        <w:t>: Optional API key authentication (X-API-Key header) on the Genomics Portal. The CAR-T Agent and RAG Chat UI are currently session-based without authentication, suitable for single-user DGX Spark deployment.</w:t>
      </w:r>
    </w:p>
    <w:p>
      <w:r>
        <w:rPr>
          <w:b/>
        </w:rPr>
        <w:t>Input Validation</w:t>
      </w:r>
      <w:r>
        <w:t>: Shell metacharacter filtering (</w:t>
      </w:r>
      <w:r>
        <w:rPr>
          <w:rFonts w:ascii="Consolas" w:hAnsi="Consolas"/>
          <w:color w:val="1A6B1A"/>
          <w:sz w:val="19"/>
        </w:rPr>
        <w:t>[$\</w:t>
      </w:r>
      <w:r>
        <w:t>|;&amp;]</w:t>
      </w:r>
      <w:r>
        <w:rPr>
          <w:rFonts w:ascii="Consolas" w:hAnsi="Consolas"/>
          <w:color w:val="1A6B1A"/>
          <w:sz w:val="19"/>
        </w:rPr>
        <w:t xml:space="preserve">), path traversal prevention via </w:t>
      </w:r>
      <w:r>
        <w:t>secure_filename`, Milvus expression injection prevention via regex-validated gene names and chromosome identifiers.</w:t>
      </w:r>
    </w:p>
    <w:p>
      <w:pPr>
        <w:jc w:val="center"/>
      </w:pPr>
      <w:r>
        <w:rPr>
          <w:b/>
        </w:rPr>
        <w:t>Security Headers</w:t>
      </w:r>
      <w:r>
        <w:t>: X-Frame-Options: DENY, X-Content-Type-Options: nosniff, X-XSS-Protection, Content-Security-Policy, Permissions-Policy.</w:t>
      </w:r>
    </w:p>
    <w:p>
      <w:pPr>
        <w:jc w:val="center"/>
      </w:pPr>
      <w:r>
        <w:rPr>
          <w:b/>
        </w:rPr>
        <w:t>Rate Limiting</w:t>
      </w:r>
      <w:r>
        <w:t>: 60 requests per 60-second window per IP address on the Genomics Portal.</w:t>
      </w:r>
    </w:p>
    <w:p>
      <w:pPr>
        <w:pStyle w:val="Heading3"/>
      </w:pPr>
      <w:r>
        <w:t>14.2 Observability</w:t>
      </w:r>
    </w:p>
    <w:p>
      <w:r>
        <w:t>Current monitoring covers hardware metrics (GPU utilization, temperature, power, memory via DCGM and Node Exporter) visualized in Grafana dashboards. The proposed integration plan adds:</w:t>
      </w:r>
    </w:p>
    <w:p>
      <w:pPr>
        <w:pStyle w:val="ListBullet"/>
      </w:pPr>
      <w:r>
        <w:rPr>
          <w:b/>
        </w:rPr>
        <w:t>Application-level metrics</w:t>
      </w:r>
      <w:r>
        <w:t>: Query latency histograms, collection hit rates, LLM token consumption, error rates per service</w:t>
      </w:r>
    </w:p>
    <w:p>
      <w:pPr>
        <w:pStyle w:val="ListBullet"/>
      </w:pPr>
      <w:r>
        <w:rPr>
          <w:b/>
        </w:rPr>
        <w:t>Distributed tracing</w:t>
      </w:r>
      <w:r>
        <w:t>: OpenTelemetry spans across Nextflow → Genomics → RAG → CAR-T → Drug Discovery for end-to-end request tracking</w:t>
      </w:r>
    </w:p>
    <w:p>
      <w:pPr>
        <w:pStyle w:val="ListBullet"/>
      </w:pPr>
      <w:r>
        <w:rPr>
          <w:b/>
        </w:rPr>
        <w:t>Custom dashboards</w:t>
      </w:r>
      <w:r>
        <w:t>: Pipeline throughput (queries/hour), per-agent performance, vector database growth curves</w:t>
      </w:r>
    </w:p>
    <w:p>
      <w:pPr>
        <w:pStyle w:val="Heading3"/>
      </w:pPr>
      <w:r>
        <w:t>14.3 Error Handling</w:t>
      </w:r>
    </w:p>
    <w:p>
      <w:r>
        <w:t>Each stage implements independent error recovery:</w:t>
      </w:r>
    </w:p>
    <w:p>
      <w:pPr>
        <w:pStyle w:val="ListBullet"/>
      </w:pPr>
      <w:r>
        <w:rPr>
          <w:b/>
        </w:rPr>
        <w:t>Genomics</w:t>
      </w:r>
      <w:r>
        <w:t>: 6-retry BAM verification (60s total), 3-retry DeepVariant (30s delays), custom nvidia-smi wrapper for DGX Spark quirks</w:t>
      </w:r>
    </w:p>
    <w:p>
      <w:pPr>
        <w:pStyle w:val="ListBullet"/>
      </w:pPr>
      <w:r>
        <w:rPr>
          <w:b/>
        </w:rPr>
        <w:t>RAG Pipeline</w:t>
      </w:r>
      <w:r>
        <w:t>: Exponential backoff on LLM API calls, graceful degradation to local Ollama models when Claude API is unavailable</w:t>
      </w:r>
    </w:p>
    <w:p>
      <w:pPr>
        <w:pStyle w:val="ListBullet"/>
      </w:pPr>
      <w:r>
        <w:rPr>
          <w:b/>
        </w:rPr>
        <w:t>CAR-T Agent</w:t>
      </w:r>
      <w:r>
        <w:t>: ThreadPoolExecutor exception isolation per collection, adaptive evidence expansion on insufficient results</w:t>
      </w:r>
    </w:p>
    <w:p>
      <w:pPr>
        <w:pStyle w:val="ListBullet"/>
      </w:pPr>
      <w:r>
        <w:rPr>
          <w:b/>
        </w:rPr>
        <w:t>Drug Discovery</w:t>
      </w:r>
      <w:r>
        <w:t>: 10-stage checkpoint/resume system, 5-retry NIM calls with exponential backoff (2s, 4s, 8s, 16s, 32s), 3 consecutive docking failures trigger abort</w:t>
      </w:r>
    </w:p>
    <w:p>
      <w:pPr>
        <w:pStyle w:val="ListBullet"/>
      </w:pPr>
      <w:r>
        <w:rPr>
          <w:b/>
        </w:rPr>
        <w:t>Orchestrator</w:t>
      </w:r>
      <w:r>
        <w:t>: Exit code-based retry [143, 137, 104, 134, 139] with max 2 retries, optional email notification on completion/failure</w:t>
      </w:r>
    </w:p>
    <w:p>
      <w:pPr>
        <w:spacing w:before="120" w:after="120"/>
        <w:pBdr>
          <w:bottom w:val="single" w:sz="4" w:space="1" w:color="76B900"/>
        </w:pBdr>
      </w:pPr>
    </w:p>
    <w:p>
      <w:r>
        <w:br w:type="page"/>
      </w:r>
    </w:p>
    <w:p>
      <w:pPr>
        <w:pStyle w:val="Heading2"/>
      </w:pPr>
      <w:r>
        <w:t>15. Discussion</w:t>
      </w:r>
    </w:p>
    <w:p>
      <w:pPr>
        <w:pStyle w:val="Heading3"/>
      </w:pPr>
      <w:r>
        <w:t>15.1 Architectural Decisions</w:t>
      </w:r>
    </w:p>
    <w:p>
      <w:r>
        <w:rPr>
          <w:b/>
        </w:rPr>
        <w:t>Single Machine vs. Distributed</w:t>
      </w:r>
      <w:r>
        <w:t>: We chose single-machine deployment (DGX Spark) over distributed cloud architecture for three reasons: (a) data sovereignty---genomic data remains on-premises, (b) cost---$3,999 one-time vs. ongoing cloud compute charges, and (c) simplicity---no cluster management, network partitioning, or distributed consensus overhead. The 128GB unified memory and NVLink-C2C interconnect provide sufficient bandwidth for sequential stage execution.</w:t>
      </w:r>
    </w:p>
    <w:p>
      <w:r>
        <w:rPr>
          <w:b/>
        </w:rPr>
        <w:t>Milvus vs. Alternatives</w:t>
      </w:r>
      <w:r>
        <w:t>: We selected Milvus over Pinecone, Weaviate, and Chroma because: (a) fully self-hosted (no cloud dependency), (b) IVF_FLAT indexing provides exact-in-partition search suitable for our collection sizes (6K-36K vectors), (c) rich scalar filtering (essential for antigen, phase, and stage filters), and (d) mature Python client with ThreadPoolExecutor-compatible API.</w:t>
      </w:r>
    </w:p>
    <w:p>
      <w:r>
        <w:rPr>
          <w:b/>
        </w:rPr>
        <w:t>BGE-small-en-v1.5 vs. Larger Models</w:t>
      </w:r>
      <w:r>
        <w:t>: We chose the 384-dimensional BGE-small model over BGE-large (1024d) or domain-specific biomedical embeddings because: (a) 3x smaller vectors reduce Milvus memory footprint, (b) sufficient discrimination for our collection sizes, (c) fast inference on ARM CPU (DGX Spark), and (d) the query expansion system compensates for reduced embedding capacity through explicit term injection.</w:t>
      </w:r>
    </w:p>
    <w:p>
      <w:pPr>
        <w:pStyle w:val="Heading3"/>
      </w:pPr>
      <w:r>
        <w:t>15.2 Limitations</w:t>
      </w:r>
    </w:p>
    <w:p>
      <w:pPr>
        <w:pStyle w:val="ListNumber"/>
      </w:pPr>
      <w:r>
        <w:rPr>
          <w:b/>
        </w:rPr>
        <w:t>No Real-Time VCF Streaming</w:t>
      </w:r>
      <w:r>
        <w:t>: The genomics pipeline produces a complete VCF before the RAG pipeline can begin annotation. Streaming variant ingestion would reduce end-to-end latency.</w:t>
      </w:r>
    </w:p>
    <w:p>
      <w:pPr>
        <w:pStyle w:val="ListNumber"/>
      </w:pPr>
      <w:r>
        <w:rPr>
          <w:b/>
        </w:rPr>
        <w:t>Static Collection Data</w:t>
      </w:r>
      <w:r>
        <w:t>: CAR-T collections are populated by batch ingestion scripts. There is no automated pipeline for continuous literature updates from PubMed, ClinicalTrials.gov, or FDA safety databases.</w:t>
      </w:r>
    </w:p>
    <w:p>
      <w:pPr>
        <w:pStyle w:val="ListNumber"/>
      </w:pPr>
      <w:r>
        <w:rPr>
          <w:b/>
        </w:rPr>
        <w:t>Small Molecule Bias</w:t>
      </w:r>
      <w:r>
        <w:t>: Stage 3 targets small molecule drug discovery. CAR-T therapies are biological products requiring fundamentally different computational approaches (protein engineering, not SMILES manipulation).</w:t>
      </w:r>
    </w:p>
    <w:p>
      <w:pPr>
        <w:pStyle w:val="ListNumber"/>
      </w:pPr>
      <w:r>
        <w:rPr>
          <w:b/>
        </w:rPr>
        <w:t>Single-Patient Focus</w:t>
      </w:r>
      <w:r>
        <w:t>: The system processes one patient at a time. Clinical deployment would require queue management and multi-tenant isolation.</w:t>
      </w:r>
    </w:p>
    <w:p>
      <w:pPr>
        <w:pStyle w:val="ListNumber"/>
      </w:pPr>
      <w:r>
        <w:rPr>
          <w:b/>
        </w:rPr>
        <w:t>Validation Gap</w:t>
      </w:r>
      <w:r>
        <w:t>: While DeepVariant achieves &gt;99% accuracy on GIAB benchmarks, the end-to-end clinical validity of the target identification → therapy recommendation chain has not been validated in a clinical trial setting.</w:t>
      </w:r>
    </w:p>
    <w:p>
      <w:pPr>
        <w:pStyle w:val="Heading3"/>
      </w:pPr>
      <w:r>
        <w:t>15.3 Comparison with Related Work</w:t>
      </w:r>
    </w:p>
    <w:p>
      <w:r>
        <w:t>The HCLS AI Factory differs from existing platforms in its end-to-end scope. Systems like Terra/AnVIL focus on genomics orchestration, Watson for Genomics on variant interpretation, and OpenTargets on target identification---but none integrate GPU-accelerated variant calling, RAG-powered interpretation, domain-specific cell therapy intelligence, and de novo drug design into a single, deployable system. The closest comparable is Illumina's DRAGEN + Emedgene pipeline, which covers genomics through interpretation but lacks drug discovery and cell therapy evaluation.</w:t>
      </w:r>
    </w:p>
    <w:p>
      <w:pPr>
        <w:spacing w:before="120" w:after="120"/>
        <w:pBdr>
          <w:bottom w:val="single" w:sz="4" w:space="1" w:color="76B900"/>
        </w:pBdr>
      </w:pPr>
    </w:p>
    <w:p>
      <w:r>
        <w:br w:type="page"/>
      </w:r>
    </w:p>
    <w:p>
      <w:pPr>
        <w:pStyle w:val="Heading2"/>
      </w:pPr>
      <w:r>
        <w:t>16. Future Directions</w:t>
      </w:r>
    </w:p>
    <w:p>
      <w:pPr>
        <w:pStyle w:val="Heading3"/>
      </w:pPr>
      <w:r>
        <w:t>16.1 Short-Term (3-6 Months)</w:t>
      </w:r>
    </w:p>
    <w:p>
      <w:pPr>
        <w:pStyle w:val="ListBullet"/>
      </w:pPr>
      <w:r>
        <w:rPr>
          <w:b/>
        </w:rPr>
        <w:t>Shared component consolidation</w:t>
      </w:r>
      <w:r>
        <w:t xml:space="preserve"> (Phase 1 of research plan)</w:t>
      </w:r>
    </w:p>
    <w:p>
      <w:pPr>
        <w:pStyle w:val="ListBullet"/>
      </w:pPr>
      <w:r>
        <w:rPr>
          <w:b/>
        </w:rPr>
        <w:t>Automated PubMed/ClinicalTrials.gov ingestion</w:t>
      </w:r>
      <w:r>
        <w:t xml:space="preserve"> for continuous CAR-T collection updates</w:t>
      </w:r>
    </w:p>
    <w:p>
      <w:pPr>
        <w:pStyle w:val="ListBullet"/>
      </w:pPr>
      <w:r>
        <w:rPr>
          <w:b/>
        </w:rPr>
        <w:t>REST API for CAR-T Agent</w:t>
      </w:r>
      <w:r>
        <w:t xml:space="preserve"> enabling programmatic access from Nextflow</w:t>
      </w:r>
    </w:p>
    <w:p>
      <w:pPr>
        <w:pStyle w:val="ListBullet"/>
      </w:pPr>
      <w:r>
        <w:rPr>
          <w:b/>
        </w:rPr>
        <w:t>Embedding cache</w:t>
      </w:r>
      <w:r>
        <w:t xml:space="preserve"> for repeated queries (LRU or Redis-backed)</w:t>
      </w:r>
    </w:p>
    <w:p>
      <w:pPr>
        <w:pStyle w:val="Heading3"/>
      </w:pPr>
      <w:r>
        <w:t>16.2 Medium-Term (6-12 Months)</w:t>
      </w:r>
    </w:p>
    <w:p>
      <w:pPr>
        <w:pStyle w:val="ListBullet"/>
      </w:pPr>
      <w:r>
        <w:rPr>
          <w:b/>
        </w:rPr>
        <w:t>Patient-specific CAR-T recommendations</w:t>
      </w:r>
      <w:r>
        <w:t xml:space="preserve"> grounded in individual VCF data</w:t>
      </w:r>
    </w:p>
    <w:p>
      <w:pPr>
        <w:pStyle w:val="ListBullet"/>
      </w:pPr>
      <w:r>
        <w:rPr>
          <w:b/>
        </w:rPr>
        <w:t>Cross-collection query routing</w:t>
      </w:r>
      <w:r>
        <w:t xml:space="preserve"> between RAG and CAR-T systems</w:t>
      </w:r>
    </w:p>
    <w:p>
      <w:pPr>
        <w:pStyle w:val="ListBullet"/>
      </w:pPr>
      <w:r>
        <w:rPr>
          <w:b/>
        </w:rPr>
        <w:t>CAR-T Engineering branch</w:t>
      </w:r>
      <w:r>
        <w:t xml:space="preserve"> (Stage 3b) for scFv design and protein-protein docking</w:t>
      </w:r>
    </w:p>
    <w:p>
      <w:pPr>
        <w:pStyle w:val="ListBullet"/>
      </w:pPr>
      <w:r>
        <w:rPr>
          <w:b/>
        </w:rPr>
        <w:t>Unified clinical report</w:t>
      </w:r>
      <w:r>
        <w:t xml:space="preserve"> spanning all four stages</w:t>
      </w:r>
    </w:p>
    <w:p>
      <w:pPr>
        <w:pStyle w:val="ListBullet"/>
      </w:pPr>
      <w:r>
        <w:rPr>
          <w:b/>
        </w:rPr>
        <w:t>Multi-language support</w:t>
      </w:r>
      <w:r>
        <w:t xml:space="preserve"> for international deployment</w:t>
      </w:r>
    </w:p>
    <w:p>
      <w:pPr>
        <w:pStyle w:val="Heading3"/>
      </w:pPr>
      <w:r>
        <w:t>16.3 Long-Term (12-24 Months)</w:t>
      </w:r>
    </w:p>
    <w:p>
      <w:pPr>
        <w:pStyle w:val="ListBullet"/>
      </w:pPr>
      <w:r>
        <w:rPr>
          <w:b/>
        </w:rPr>
        <w:t>Meta-agent orchestration</w:t>
      </w:r>
      <w:r>
        <w:t xml:space="preserve"> with Claude tool-use for autonomous cross-pipeline reasoning</w:t>
      </w:r>
    </w:p>
    <w:p>
      <w:pPr>
        <w:pStyle w:val="ListBullet"/>
      </w:pPr>
      <w:r>
        <w:rPr>
          <w:b/>
        </w:rPr>
        <w:t>Federated learning</w:t>
      </w:r>
      <w:r>
        <w:t xml:space="preserve"> across multiple DGX Spark deployments for collaborative model improvement</w:t>
      </w:r>
    </w:p>
    <w:p>
      <w:pPr>
        <w:pStyle w:val="ListBullet"/>
      </w:pPr>
      <w:r>
        <w:rPr>
          <w:b/>
        </w:rPr>
        <w:t>Clinical trial integration</w:t>
      </w:r>
      <w:r>
        <w:t xml:space="preserve"> for prospective validation of treatment recommendations</w:t>
      </w:r>
    </w:p>
    <w:p>
      <w:pPr>
        <w:pStyle w:val="ListBullet"/>
      </w:pPr>
      <w:r>
        <w:rPr>
          <w:b/>
        </w:rPr>
        <w:t>Imaging intelligence agent</w:t>
      </w:r>
      <w:r>
        <w:t xml:space="preserve"> for pathology slide analysis (H&amp;E, IHC)</w:t>
      </w:r>
    </w:p>
    <w:p>
      <w:pPr>
        <w:pStyle w:val="ListBullet"/>
      </w:pPr>
      <w:r>
        <w:rPr>
          <w:b/>
        </w:rPr>
        <w:t>Precision biomarker agent</w:t>
      </w:r>
      <w:r>
        <w:t xml:space="preserve"> for longitudinal patient monitoring</w:t>
      </w:r>
    </w:p>
    <w:p>
      <w:pPr>
        <w:pStyle w:val="ListBullet"/>
      </w:pPr>
      <w:r>
        <w:rPr>
          <w:b/>
        </w:rPr>
        <w:t>Regulatory pathway automation</w:t>
      </w:r>
      <w:r>
        <w:t xml:space="preserve"> for IND/BLA submission support</w:t>
      </w:r>
    </w:p>
    <w:p>
      <w:pPr>
        <w:spacing w:before="120" w:after="120"/>
        <w:pBdr>
          <w:bottom w:val="single" w:sz="4" w:space="1" w:color="76B900"/>
        </w:pBdr>
      </w:pPr>
    </w:p>
    <w:p>
      <w:r>
        <w:br w:type="page"/>
      </w:r>
    </w:p>
    <w:p>
      <w:pPr>
        <w:pStyle w:val="Heading2"/>
      </w:pPr>
      <w:r>
        <w:t>17. Conclusion</w:t>
      </w:r>
    </w:p>
    <w:p>
      <w:r>
        <w:t>The HCLS AI Factory demonstrates that a comprehensive precision medicine platform---from raw sequencing data to therapeutic candidates---can operate on a single $3,999 workstation in under five hours. By integrating GPU-accelerated genomics (Parabricks), RAG-powered variant interpretation (Milvus + Claude), autonomous CAR-T therapy intelligence (11 specialized collections with agent reasoning), and AI-driven drug discovery (BioNeMo NIMs), the system bridges the traditional silos between bioinformatics, clinical genetics, immunology, and medicinal chemistry.</w:t>
      </w:r>
    </w:p>
    <w:p>
      <w:r>
        <w:t>The proposed integration research plan identifies concrete, prioritized opportunities to transform these semi-independent components into a fully interconnected platform. Phase 1 consolidates shared infrastructure. Phase 2 enables bidirectional data flow between stages. Phase 3 introduces agent-level coordination for autonomous cross-pipeline reasoning. Phase 4 hardens the system for production deployment.</w:t>
      </w:r>
    </w:p>
    <w:p>
      <w:r>
        <w:t>The Apache 2.0 license and commodity hardware target ensure that this capability is accessible to academic medical centers, clinical research organizations, and biopharmaceutical companies without institutional-scale infrastructure investments. We believe this represents a meaningful step toward democratizing computational precision medicine.</w:t>
      </w:r>
    </w:p>
    <w:p>
      <w:pPr>
        <w:spacing w:before="120" w:after="120"/>
        <w:pBdr>
          <w:bottom w:val="single" w:sz="4" w:space="1" w:color="76B900"/>
        </w:pBdr>
      </w:pPr>
    </w:p>
    <w:p>
      <w:r>
        <w:br w:type="page"/>
      </w:r>
    </w:p>
    <w:p>
      <w:pPr>
        <w:pStyle w:val="Heading2"/>
      </w:pPr>
      <w:r>
        <w:t>18. References</w:t>
      </w:r>
    </w:p>
    <w:p>
      <w:pPr>
        <w:pStyle w:val="ListNumber"/>
      </w:pPr>
      <w:r>
        <w:t xml:space="preserve">NVIDIA Clara Parabricks Documentation. </w:t>
      </w:r>
      <w:r>
        <w:rPr>
          <w:i/>
        </w:rPr>
        <w:t>Clara Parabricks 4.6.0 User Guide</w:t>
      </w:r>
      <w:r>
        <w:t>. NVIDIA Corporation, 2025.</w:t>
      </w:r>
    </w:p>
    <w:p>
      <w:pPr>
        <w:pStyle w:val="ListNumber"/>
      </w:pPr>
      <w:r>
        <w:t xml:space="preserve">Zook, J.M. et al. "An open resource for accurately benchmarking small variant and reference calls." </w:t>
      </w:r>
      <w:r>
        <w:rPr>
          <w:i/>
        </w:rPr>
        <w:t>Nature Biotechnology</w:t>
      </w:r>
      <w:r>
        <w:t>, 37(5):561-566, 2019. (GIAB HG002)</w:t>
      </w:r>
    </w:p>
    <w:p>
      <w:pPr>
        <w:pStyle w:val="ListNumber"/>
      </w:pPr>
      <w:r>
        <w:t xml:space="preserve">Cheng, J. et al. "Accurate proteome-wide missense variant effect prediction with AlphaMissense." </w:t>
      </w:r>
      <w:r>
        <w:rPr>
          <w:i/>
        </w:rPr>
        <w:t>Science</w:t>
      </w:r>
      <w:r>
        <w:t>, 381(6664):eadg7492, 2023.</w:t>
      </w:r>
    </w:p>
    <w:p>
      <w:pPr>
        <w:pStyle w:val="ListNumber"/>
      </w:pPr>
      <w:r>
        <w:t xml:space="preserve">Landrum, M.J. et al. "ClinVar: improvements to accessing data." </w:t>
      </w:r>
      <w:r>
        <w:rPr>
          <w:i/>
        </w:rPr>
        <w:t>Nucleic Acids Research</w:t>
      </w:r>
      <w:r>
        <w:t>, 48(D1):D835-D844, 2020.</w:t>
      </w:r>
    </w:p>
    <w:p>
      <w:pPr>
        <w:pStyle w:val="ListNumber"/>
      </w:pPr>
      <w:r>
        <w:t xml:space="preserve">June, C.H. et al. "CAR T cell immunotherapy for human cancer." </w:t>
      </w:r>
      <w:r>
        <w:rPr>
          <w:i/>
        </w:rPr>
        <w:t>Science</w:t>
      </w:r>
      <w:r>
        <w:t>, 359(6382):1361-1365, 2018.</w:t>
      </w:r>
    </w:p>
    <w:p>
      <w:pPr>
        <w:pStyle w:val="ListNumber"/>
      </w:pPr>
      <w:r>
        <w:t xml:space="preserve">Xiao, S. et al. "C-Pack: Packaged Resources To Advance General Chinese Embedding." </w:t>
      </w:r>
      <w:r>
        <w:rPr>
          <w:i/>
        </w:rPr>
        <w:t>arXiv:2309.07597</w:t>
      </w:r>
      <w:r>
        <w:t>, 2023. (BGE-small-en-v1.5)</w:t>
      </w:r>
    </w:p>
    <w:p>
      <w:pPr>
        <w:pStyle w:val="ListNumber"/>
      </w:pPr>
      <w:r>
        <w:t xml:space="preserve">Wang, J. et al. "Milvus: A Purpose-Built Vector Data Management System." </w:t>
      </w:r>
      <w:r>
        <w:rPr>
          <w:i/>
        </w:rPr>
        <w:t>SIGMOD</w:t>
      </w:r>
      <w:r>
        <w:t>, 2021.</w:t>
      </w:r>
    </w:p>
    <w:p>
      <w:pPr>
        <w:pStyle w:val="ListNumber"/>
      </w:pPr>
      <w:r>
        <w:t xml:space="preserve">Corso, G. et al. "DiffDock: Diffusion Steps, Twists, and Turns for Molecular Docking." </w:t>
      </w:r>
      <w:r>
        <w:rPr>
          <w:i/>
        </w:rPr>
        <w:t>ICLR</w:t>
      </w:r>
      <w:r>
        <w:t>, 2023.</w:t>
      </w:r>
    </w:p>
    <w:p>
      <w:pPr>
        <w:pStyle w:val="ListNumber"/>
      </w:pPr>
      <w:r>
        <w:t xml:space="preserve">Di Tommaso, P. et al. "Nextflow enables reproducible computational workflows." </w:t>
      </w:r>
      <w:r>
        <w:rPr>
          <w:i/>
        </w:rPr>
        <w:t>Nature Biotechnology</w:t>
      </w:r>
      <w:r>
        <w:t>, 35(4):316-319, 2017.</w:t>
      </w:r>
    </w:p>
    <w:p>
      <w:pPr>
        <w:pStyle w:val="ListNumber"/>
      </w:pPr>
      <w:r>
        <w:t xml:space="preserve">Bickels, R.D. et al. "Quantitative Estimation of Drug-Likeness." </w:t>
      </w:r>
      <w:r>
        <w:rPr>
          <w:i/>
        </w:rPr>
        <w:t>Nature Chemistry</w:t>
      </w:r>
      <w:r>
        <w:t>, 4(2):90-98, 2012. (QED)</w:t>
      </w:r>
    </w:p>
    <w:p>
      <w:pPr>
        <w:pStyle w:val="ListNumber"/>
      </w:pPr>
      <w:r>
        <w:t xml:space="preserve">Lipinski, C.A. et al. "Experimental and computational approaches to estimate solubility and permeability in drug discovery and development settings." </w:t>
      </w:r>
      <w:r>
        <w:rPr>
          <w:i/>
        </w:rPr>
        <w:t>Advanced Drug Delivery Reviews</w:t>
      </w:r>
      <w:r>
        <w:t>, 23(1-3):3-25, 1997.</w:t>
      </w:r>
    </w:p>
    <w:p>
      <w:pPr>
        <w:pStyle w:val="ListNumber"/>
      </w:pPr>
      <w:r>
        <w:t xml:space="preserve">Poplin, R. et al. "A universal SNP and small-indel variant caller using deep neural networks." </w:t>
      </w:r>
      <w:r>
        <w:rPr>
          <w:i/>
        </w:rPr>
        <w:t>Nature Biotechnology</w:t>
      </w:r>
      <w:r>
        <w:t>, 36(10):983-987, 2018. (DeepVariant)</w:t>
      </w:r>
    </w:p>
    <w:p>
      <w:pPr>
        <w:pStyle w:val="ListNumber"/>
      </w:pPr>
      <w:r>
        <w:t xml:space="preserve">McLennan, S. et al. "Embedded AI for personalised medicine: bridging the translational gap." </w:t>
      </w:r>
      <w:r>
        <w:rPr>
          <w:i/>
        </w:rPr>
        <w:t>Nature Medicine</w:t>
      </w:r>
      <w:r>
        <w:t>, 29:1557-1558, 2023.</w:t>
      </w:r>
    </w:p>
    <w:p>
      <w:pPr>
        <w:pStyle w:val="ListNumber"/>
      </w:pPr>
      <w:r>
        <w:t xml:space="preserve">Lewis, P. et al. "Retrieval-Augmented Generation for Knowledge-Intensive NLP Tasks." </w:t>
      </w:r>
      <w:r>
        <w:rPr>
          <w:i/>
        </w:rPr>
        <w:t>NeurIPS</w:t>
      </w:r>
      <w:r>
        <w:t>, 2020.</w:t>
      </w:r>
    </w:p>
    <w:p>
      <w:pPr>
        <w:pStyle w:val="ListNumber"/>
      </w:pPr>
      <w:r>
        <w:t xml:space="preserve">Sterner, R.C. &amp; Sterner, R.M. "CAR-T cell therapy: current limitations and potential strategies." </w:t>
      </w:r>
      <w:r>
        <w:rPr>
          <w:i/>
        </w:rPr>
        <w:t>Blood Cancer Journal</w:t>
      </w:r>
      <w:r>
        <w:t>, 11(4):69, 2021.</w:t>
      </w:r>
    </w:p>
    <w:p>
      <w:pPr>
        <w:spacing w:before="120" w:after="120"/>
        <w:pBdr>
          <w:bottom w:val="single" w:sz="4" w:space="1" w:color="76B900"/>
        </w:pBdr>
      </w:pPr>
    </w:p>
    <w:p>
      <w:r>
        <w:br w:type="page"/>
      </w:r>
    </w:p>
    <w:p>
      <w:pPr>
        <w:pStyle w:val="Heading2"/>
      </w:pPr>
      <w:r>
        <w:t>19. Appendices</w:t>
      </w:r>
    </w:p>
    <w:p>
      <w:pPr>
        <w:pStyle w:val="Heading3"/>
      </w:pPr>
      <w:r>
        <w:t>Appendix A: Complete Collection Schemas</w:t>
      </w:r>
    </w:p>
    <w:p>
      <w:pPr>
        <w:pStyle w:val="Heading4"/>
      </w:pPr>
      <w:r>
        <w:t>A.1 CAR-T Literature Collection (</w:t>
      </w:r>
      <w:r>
        <w:rPr>
          <w:rFonts w:ascii="Consolas" w:hAnsi="Consolas"/>
          <w:color w:val="1A6B1A"/>
          <w:sz w:val="19"/>
        </w:rPr>
        <w:t>cart_literature</w:t>
      </w:r>
      <w: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Field</w:t>
            </w:r>
          </w:p>
        </w:tc>
        <w:tc>
          <w:tcPr>
            <w:tcW w:type="dxa" w:w="2340"/>
            <w:shd w:fill="1a1a24"/>
          </w:tcPr>
          <w:p>
            <w:pPr>
              <w:spacing w:before="40" w:after="40"/>
            </w:pPr>
            <w:r>
              <w:rPr>
                <w:b/>
                <w:color w:val="FFFFFF"/>
                <w:sz w:val="19"/>
              </w:rPr>
            </w:r>
            <w:r>
              <w:rPr>
                <w:b/>
                <w:color w:val="FFFFFF"/>
                <w:sz w:val="19"/>
              </w:rPr>
              <w:t>Type</w:t>
            </w:r>
          </w:p>
        </w:tc>
        <w:tc>
          <w:tcPr>
            <w:tcW w:type="dxa" w:w="2340"/>
            <w:shd w:fill="1a1a24"/>
          </w:tcPr>
          <w:p>
            <w:pPr>
              <w:spacing w:before="40" w:after="40"/>
            </w:pPr>
            <w:r>
              <w:rPr>
                <w:b/>
                <w:color w:val="FFFFFF"/>
                <w:sz w:val="19"/>
              </w:rPr>
            </w:r>
            <w:r>
              <w:rPr>
                <w:b/>
                <w:color w:val="FFFFFF"/>
                <w:sz w:val="19"/>
              </w:rPr>
              <w:t>Max Length</w:t>
            </w:r>
          </w:p>
        </w:tc>
        <w:tc>
          <w:tcPr>
            <w:tcW w:type="dxa" w:w="2340"/>
            <w:shd w:fill="1a1a24"/>
          </w:tcPr>
          <w:p>
            <w:pPr>
              <w:spacing w:before="40" w:after="40"/>
            </w:pPr>
            <w:r>
              <w:rPr>
                <w:b/>
                <w:color w:val="FFFFFF"/>
                <w:sz w:val="19"/>
              </w:rPr>
            </w:r>
            <w:r>
              <w:rPr>
                <w:b/>
                <w:color w:val="FFFFFF"/>
                <w:sz w:val="19"/>
              </w:rPr>
              <w:t>Description</w:t>
            </w:r>
          </w:p>
        </w:tc>
      </w:tr>
      <w:tr>
        <w:tc>
          <w:tcPr>
            <w:tcW w:type="dxa" w:w="2340"/>
          </w:tcPr>
          <w:p>
            <w:pPr>
              <w:spacing w:before="40" w:after="40"/>
            </w:pPr>
            <w:r>
              <w:rPr>
                <w:sz w:val="19"/>
              </w:rPr>
            </w:r>
            <w:r>
              <w:rPr>
                <w:sz w:val="19"/>
              </w:rPr>
              <w:t>id</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PMID or patent number</w:t>
            </w:r>
          </w:p>
        </w:tc>
      </w:tr>
      <w:tr>
        <w:tc>
          <w:tcPr>
            <w:tcW w:type="dxa" w:w="2340"/>
            <w:shd w:fill="f0f4e8"/>
          </w:tcPr>
          <w:p>
            <w:pPr>
              <w:spacing w:before="40" w:after="40"/>
            </w:pPr>
            <w:r>
              <w:rPr>
                <w:sz w:val="19"/>
              </w:rPr>
            </w:r>
            <w:r>
              <w:rPr>
                <w:sz w:val="19"/>
              </w:rPr>
              <w:t>embedding</w:t>
            </w:r>
          </w:p>
        </w:tc>
        <w:tc>
          <w:tcPr>
            <w:tcW w:type="dxa" w:w="2340"/>
            <w:shd w:fill="f0f4e8"/>
          </w:tcPr>
          <w:p>
            <w:pPr>
              <w:spacing w:before="40" w:after="40"/>
            </w:pPr>
            <w:r>
              <w:rPr>
                <w:sz w:val="19"/>
              </w:rPr>
            </w:r>
            <w:r>
              <w:rPr>
                <w:sz w:val="19"/>
              </w:rPr>
              <w:t>FLOAT_VECTOR</w:t>
            </w:r>
          </w:p>
        </w:tc>
        <w:tc>
          <w:tcPr>
            <w:tcW w:type="dxa" w:w="2340"/>
            <w:shd w:fill="f0f4e8"/>
          </w:tcPr>
          <w:p>
            <w:pPr>
              <w:spacing w:before="40" w:after="40"/>
            </w:pPr>
            <w:r>
              <w:rPr>
                <w:sz w:val="19"/>
              </w:rPr>
            </w:r>
            <w:r>
              <w:rPr>
                <w:sz w:val="19"/>
              </w:rPr>
              <w:t>384</w:t>
            </w:r>
          </w:p>
        </w:tc>
        <w:tc>
          <w:tcPr>
            <w:tcW w:type="dxa" w:w="2340"/>
            <w:shd w:fill="f0f4e8"/>
          </w:tcPr>
          <w:p>
            <w:pPr>
              <w:spacing w:before="40" w:after="40"/>
            </w:pPr>
            <w:r>
              <w:rPr>
                <w:sz w:val="19"/>
              </w:rPr>
            </w:r>
            <w:r>
              <w:rPr>
                <w:sz w:val="19"/>
              </w:rPr>
              <w:t>BGE-small embedding</w:t>
            </w:r>
          </w:p>
        </w:tc>
      </w:tr>
      <w:tr>
        <w:tc>
          <w:tcPr>
            <w:tcW w:type="dxa" w:w="2340"/>
          </w:tcPr>
          <w:p>
            <w:pPr>
              <w:spacing w:before="40" w:after="40"/>
            </w:pPr>
            <w:r>
              <w:rPr>
                <w:sz w:val="19"/>
              </w:rPr>
            </w:r>
            <w:r>
              <w:rPr>
                <w:sz w:val="19"/>
              </w:rPr>
              <w:t>title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500</w:t>
            </w:r>
          </w:p>
        </w:tc>
        <w:tc>
          <w:tcPr>
            <w:tcW w:type="dxa" w:w="2340"/>
          </w:tcPr>
          <w:p>
            <w:pPr>
              <w:spacing w:before="40" w:after="40"/>
            </w:pPr>
            <w:r>
              <w:rPr>
                <w:sz w:val="19"/>
              </w:rPr>
            </w:r>
            <w:r>
              <w:rPr>
                <w:sz w:val="19"/>
              </w:rPr>
              <w:t>Paper/patent title</w:t>
            </w:r>
          </w:p>
        </w:tc>
      </w:tr>
      <w:tr>
        <w:tc>
          <w:tcPr>
            <w:tcW w:type="dxa" w:w="2340"/>
            <w:shd w:fill="f0f4e8"/>
          </w:tcPr>
          <w:p>
            <w:pPr>
              <w:spacing w:before="40" w:after="40"/>
            </w:pPr>
            <w:r>
              <w:rPr>
                <w:sz w:val="19"/>
              </w:rPr>
            </w:r>
            <w:r>
              <w:rPr>
                <w:sz w:val="19"/>
              </w:rPr>
              <w:t>text_chunk</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3000</w:t>
            </w:r>
          </w:p>
        </w:tc>
        <w:tc>
          <w:tcPr>
            <w:tcW w:type="dxa" w:w="2340"/>
            <w:shd w:fill="f0f4e8"/>
          </w:tcPr>
          <w:p>
            <w:pPr>
              <w:spacing w:before="40" w:after="40"/>
            </w:pPr>
            <w:r>
              <w:rPr>
                <w:sz w:val="19"/>
              </w:rPr>
            </w:r>
            <w:r>
              <w:rPr>
                <w:sz w:val="19"/>
              </w:rPr>
              <w:t>Text for embedding</w:t>
            </w:r>
          </w:p>
        </w:tc>
      </w:tr>
      <w:tr>
        <w:tc>
          <w:tcPr>
            <w:tcW w:type="dxa" w:w="2340"/>
          </w:tcPr>
          <w:p>
            <w:pPr>
              <w:spacing w:before="40" w:after="40"/>
            </w:pPr>
            <w:r>
              <w:rPr>
                <w:sz w:val="19"/>
              </w:rPr>
            </w:r>
            <w:r>
              <w:rPr>
                <w:sz w:val="19"/>
              </w:rPr>
              <w:t>source_type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w:t>
            </w:r>
          </w:p>
        </w:tc>
        <w:tc>
          <w:tcPr>
            <w:tcW w:type="dxa" w:w="2340"/>
          </w:tcPr>
          <w:p>
            <w:pPr>
              <w:spacing w:before="40" w:after="40"/>
            </w:pPr>
            <w:r>
              <w:rPr>
                <w:sz w:val="19"/>
              </w:rPr>
            </w:r>
            <w:r>
              <w:rPr>
                <w:sz w:val="19"/>
              </w:rPr>
              <w:t>pubmed/pmc/patent/preprint/manual</w:t>
            </w:r>
          </w:p>
        </w:tc>
      </w:tr>
      <w:tr>
        <w:tc>
          <w:tcPr>
            <w:tcW w:type="dxa" w:w="2340"/>
            <w:shd w:fill="f0f4e8"/>
          </w:tcPr>
          <w:p>
            <w:pPr>
              <w:spacing w:before="40" w:after="40"/>
            </w:pPr>
            <w:r>
              <w:rPr>
                <w:sz w:val="19"/>
              </w:rPr>
            </w:r>
            <w:r>
              <w:rPr>
                <w:sz w:val="19"/>
              </w:rPr>
              <w:t>year</w:t>
            </w:r>
          </w:p>
        </w:tc>
        <w:tc>
          <w:tcPr>
            <w:tcW w:type="dxa" w:w="2340"/>
            <w:shd w:fill="f0f4e8"/>
          </w:tcPr>
          <w:p>
            <w:pPr>
              <w:spacing w:before="40" w:after="40"/>
            </w:pPr>
            <w:r>
              <w:rPr>
                <w:sz w:val="19"/>
              </w:rPr>
            </w:r>
            <w:r>
              <w:rPr>
                <w:sz w:val="19"/>
              </w:rPr>
              <w:t>INT64</w:t>
            </w:r>
          </w:p>
        </w:tc>
        <w:tc>
          <w:tcPr>
            <w:tcW w:type="dxa" w:w="2340"/>
            <w:shd w:fill="f0f4e8"/>
          </w:tcPr>
          <w:p>
            <w:pPr>
              <w:spacing w:before="40" w:after="40"/>
            </w:pPr>
            <w:r>
              <w:rPr>
                <w:sz w:val="19"/>
              </w:rPr>
            </w:r>
            <w:r>
              <w:rPr>
                <w:sz w:val="19"/>
              </w:rPr>
              <w:t>-</w:t>
            </w:r>
          </w:p>
        </w:tc>
        <w:tc>
          <w:tcPr>
            <w:tcW w:type="dxa" w:w="2340"/>
            <w:shd w:fill="f0f4e8"/>
          </w:tcPr>
          <w:p>
            <w:pPr>
              <w:spacing w:before="40" w:after="40"/>
            </w:pPr>
            <w:r>
              <w:rPr>
                <w:sz w:val="19"/>
              </w:rPr>
            </w:r>
            <w:r>
              <w:rPr>
                <w:sz w:val="19"/>
              </w:rPr>
              <w:t>Publication year</w:t>
            </w:r>
          </w:p>
        </w:tc>
      </w:tr>
      <w:tr>
        <w:tc>
          <w:tcPr>
            <w:tcW w:type="dxa" w:w="2340"/>
          </w:tcPr>
          <w:p>
            <w:pPr>
              <w:spacing w:before="40" w:after="40"/>
            </w:pPr>
            <w:r>
              <w:rPr>
                <w:sz w:val="19"/>
              </w:rPr>
            </w:r>
            <w:r>
              <w:rPr>
                <w:sz w:val="19"/>
              </w:rPr>
              <w:t>cart_stage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30</w:t>
            </w:r>
          </w:p>
        </w:tc>
        <w:tc>
          <w:tcPr>
            <w:tcW w:type="dxa" w:w="2340"/>
          </w:tcPr>
          <w:p>
            <w:pPr>
              <w:spacing w:before="40" w:after="40"/>
            </w:pPr>
            <w:r>
              <w:rPr>
                <w:sz w:val="19"/>
              </w:rPr>
            </w:r>
            <w:r>
              <w:rPr>
                <w:sz w:val="19"/>
              </w:rPr>
              <w:t>target</w:t>
            </w:r>
            <w:r>
              <w:rPr>
                <w:i/>
                <w:sz w:val="19"/>
              </w:rPr>
              <w:t>id/car</w:t>
            </w:r>
            <w:r>
              <w:rPr>
                <w:sz w:val="19"/>
              </w:rPr>
              <w:t>design/vector_eng/testing/clinical</w:t>
            </w:r>
          </w:p>
        </w:tc>
      </w:tr>
      <w:tr>
        <w:tc>
          <w:tcPr>
            <w:tcW w:type="dxa" w:w="2340"/>
            <w:shd w:fill="f0f4e8"/>
          </w:tcPr>
          <w:p>
            <w:pPr>
              <w:spacing w:before="40" w:after="40"/>
            </w:pPr>
            <w:r>
              <w:rPr>
                <w:sz w:val="19"/>
              </w:rPr>
            </w:r>
            <w:r>
              <w:rPr>
                <w:sz w:val="19"/>
              </w:rPr>
              <w:t>target_antigen</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w:t>
            </w:r>
          </w:p>
        </w:tc>
        <w:tc>
          <w:tcPr>
            <w:tcW w:type="dxa" w:w="2340"/>
            <w:shd w:fill="f0f4e8"/>
          </w:tcPr>
          <w:p>
            <w:pPr>
              <w:spacing w:before="40" w:after="40"/>
            </w:pPr>
            <w:r>
              <w:rPr>
                <w:sz w:val="19"/>
              </w:rPr>
            </w:r>
            <w:r>
              <w:rPr>
                <w:sz w:val="19"/>
              </w:rPr>
              <w:t>CD19, BCMA, etc.</w:t>
            </w:r>
          </w:p>
        </w:tc>
      </w:tr>
      <w:tr>
        <w:tc>
          <w:tcPr>
            <w:tcW w:type="dxa" w:w="2340"/>
          </w:tcPr>
          <w:p>
            <w:pPr>
              <w:spacing w:before="40" w:after="40"/>
            </w:pPr>
            <w:r>
              <w:rPr>
                <w:sz w:val="19"/>
              </w:rPr>
            </w:r>
            <w:r>
              <w:rPr>
                <w:sz w:val="19"/>
              </w:rPr>
              <w:t>disease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200</w:t>
            </w:r>
          </w:p>
        </w:tc>
        <w:tc>
          <w:tcPr>
            <w:tcW w:type="dxa" w:w="2340"/>
          </w:tcPr>
          <w:p>
            <w:pPr>
              <w:spacing w:before="40" w:after="40"/>
            </w:pPr>
            <w:r>
              <w:rPr>
                <w:sz w:val="19"/>
              </w:rPr>
            </w:r>
            <w:r>
              <w:rPr>
                <w:sz w:val="19"/>
              </w:rPr>
              <w:t>Disease/indication</w:t>
            </w:r>
          </w:p>
        </w:tc>
      </w:tr>
      <w:tr>
        <w:tc>
          <w:tcPr>
            <w:tcW w:type="dxa" w:w="2340"/>
            <w:shd w:fill="f0f4e8"/>
          </w:tcPr>
          <w:p>
            <w:pPr>
              <w:spacing w:before="40" w:after="40"/>
            </w:pPr>
            <w:r>
              <w:rPr>
                <w:sz w:val="19"/>
              </w:rPr>
            </w:r>
            <w:r>
              <w:rPr>
                <w:sz w:val="19"/>
              </w:rPr>
              <w:t>keywords</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1000</w:t>
            </w:r>
          </w:p>
        </w:tc>
        <w:tc>
          <w:tcPr>
            <w:tcW w:type="dxa" w:w="2340"/>
            <w:shd w:fill="f0f4e8"/>
          </w:tcPr>
          <w:p>
            <w:pPr>
              <w:spacing w:before="40" w:after="40"/>
            </w:pPr>
            <w:r>
              <w:rPr>
                <w:sz w:val="19"/>
              </w:rPr>
            </w:r>
            <w:r>
              <w:rPr>
                <w:sz w:val="19"/>
              </w:rPr>
              <w:t>MeSH terms</w:t>
            </w:r>
          </w:p>
        </w:tc>
      </w:tr>
      <w:tr>
        <w:tc>
          <w:tcPr>
            <w:tcW w:type="dxa" w:w="2340"/>
          </w:tcPr>
          <w:p>
            <w:pPr>
              <w:spacing w:before="40" w:after="40"/>
            </w:pPr>
            <w:r>
              <w:rPr>
                <w:sz w:val="19"/>
              </w:rPr>
            </w:r>
            <w:r>
              <w:rPr>
                <w:sz w:val="19"/>
              </w:rPr>
              <w:t>journal</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200</w:t>
            </w:r>
          </w:p>
        </w:tc>
        <w:tc>
          <w:tcPr>
            <w:tcW w:type="dxa" w:w="2340"/>
          </w:tcPr>
          <w:p>
            <w:pPr>
              <w:spacing w:before="40" w:after="40"/>
            </w:pPr>
            <w:r>
              <w:rPr>
                <w:sz w:val="19"/>
              </w:rPr>
            </w:r>
            <w:r>
              <w:rPr>
                <w:sz w:val="19"/>
              </w:rPr>
              <w:t>Journal name</w:t>
            </w:r>
          </w:p>
        </w:tc>
      </w:tr>
    </w:tbl>
    <w:p/>
    <w:p>
      <w:pPr>
        <w:pStyle w:val="Heading4"/>
      </w:pPr>
      <w:r>
        <w:t>A.2 Clinical Trials Collection (</w:t>
      </w:r>
      <w:r>
        <w:rPr>
          <w:rFonts w:ascii="Consolas" w:hAnsi="Consolas"/>
          <w:color w:val="1A6B1A"/>
          <w:sz w:val="19"/>
        </w:rPr>
        <w:t>cart_trials</w:t>
      </w:r>
      <w: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Field</w:t>
            </w:r>
          </w:p>
        </w:tc>
        <w:tc>
          <w:tcPr>
            <w:tcW w:type="dxa" w:w="2340"/>
            <w:shd w:fill="1a1a24"/>
          </w:tcPr>
          <w:p>
            <w:pPr>
              <w:spacing w:before="40" w:after="40"/>
            </w:pPr>
            <w:r>
              <w:rPr>
                <w:b/>
                <w:color w:val="FFFFFF"/>
                <w:sz w:val="19"/>
              </w:rPr>
            </w:r>
            <w:r>
              <w:rPr>
                <w:b/>
                <w:color w:val="FFFFFF"/>
                <w:sz w:val="19"/>
              </w:rPr>
              <w:t>Type</w:t>
            </w:r>
          </w:p>
        </w:tc>
        <w:tc>
          <w:tcPr>
            <w:tcW w:type="dxa" w:w="2340"/>
            <w:shd w:fill="1a1a24"/>
          </w:tcPr>
          <w:p>
            <w:pPr>
              <w:spacing w:before="40" w:after="40"/>
            </w:pPr>
            <w:r>
              <w:rPr>
                <w:b/>
                <w:color w:val="FFFFFF"/>
                <w:sz w:val="19"/>
              </w:rPr>
            </w:r>
            <w:r>
              <w:rPr>
                <w:b/>
                <w:color w:val="FFFFFF"/>
                <w:sz w:val="19"/>
              </w:rPr>
              <w:t>Max Length</w:t>
            </w:r>
          </w:p>
        </w:tc>
        <w:tc>
          <w:tcPr>
            <w:tcW w:type="dxa" w:w="2340"/>
            <w:shd w:fill="1a1a24"/>
          </w:tcPr>
          <w:p>
            <w:pPr>
              <w:spacing w:before="40" w:after="40"/>
            </w:pPr>
            <w:r>
              <w:rPr>
                <w:b/>
                <w:color w:val="FFFFFF"/>
                <w:sz w:val="19"/>
              </w:rPr>
            </w:r>
            <w:r>
              <w:rPr>
                <w:b/>
                <w:color w:val="FFFFFF"/>
                <w:sz w:val="19"/>
              </w:rPr>
              <w:t>Description</w:t>
            </w:r>
          </w:p>
        </w:tc>
      </w:tr>
      <w:tr>
        <w:tc>
          <w:tcPr>
            <w:tcW w:type="dxa" w:w="2340"/>
          </w:tcPr>
          <w:p>
            <w:pPr>
              <w:spacing w:before="40" w:after="40"/>
            </w:pPr>
            <w:r>
              <w:rPr>
                <w:sz w:val="19"/>
              </w:rPr>
            </w:r>
            <w:r>
              <w:rPr>
                <w:sz w:val="19"/>
              </w:rPr>
              <w:t>id</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w:t>
            </w:r>
          </w:p>
        </w:tc>
        <w:tc>
          <w:tcPr>
            <w:tcW w:type="dxa" w:w="2340"/>
          </w:tcPr>
          <w:p>
            <w:pPr>
              <w:spacing w:before="40" w:after="40"/>
            </w:pPr>
            <w:r>
              <w:rPr>
                <w:sz w:val="19"/>
              </w:rPr>
            </w:r>
            <w:r>
              <w:rPr>
                <w:sz w:val="19"/>
              </w:rPr>
              <w:t>NCT number (^NCT\d{8}$)</w:t>
            </w:r>
          </w:p>
        </w:tc>
      </w:tr>
      <w:tr>
        <w:tc>
          <w:tcPr>
            <w:tcW w:type="dxa" w:w="2340"/>
            <w:shd w:fill="f0f4e8"/>
          </w:tcPr>
          <w:p>
            <w:pPr>
              <w:spacing w:before="40" w:after="40"/>
            </w:pPr>
            <w:r>
              <w:rPr>
                <w:sz w:val="19"/>
              </w:rPr>
            </w:r>
            <w:r>
              <w:rPr>
                <w:sz w:val="19"/>
              </w:rPr>
              <w:t>embedding</w:t>
            </w:r>
          </w:p>
        </w:tc>
        <w:tc>
          <w:tcPr>
            <w:tcW w:type="dxa" w:w="2340"/>
            <w:shd w:fill="f0f4e8"/>
          </w:tcPr>
          <w:p>
            <w:pPr>
              <w:spacing w:before="40" w:after="40"/>
            </w:pPr>
            <w:r>
              <w:rPr>
                <w:sz w:val="19"/>
              </w:rPr>
            </w:r>
            <w:r>
              <w:rPr>
                <w:sz w:val="19"/>
              </w:rPr>
              <w:t>FLOAT_VECTOR</w:t>
            </w:r>
          </w:p>
        </w:tc>
        <w:tc>
          <w:tcPr>
            <w:tcW w:type="dxa" w:w="2340"/>
            <w:shd w:fill="f0f4e8"/>
          </w:tcPr>
          <w:p>
            <w:pPr>
              <w:spacing w:before="40" w:after="40"/>
            </w:pPr>
            <w:r>
              <w:rPr>
                <w:sz w:val="19"/>
              </w:rPr>
            </w:r>
            <w:r>
              <w:rPr>
                <w:sz w:val="19"/>
              </w:rPr>
              <w:t>384</w:t>
            </w:r>
          </w:p>
        </w:tc>
        <w:tc>
          <w:tcPr>
            <w:tcW w:type="dxa" w:w="2340"/>
            <w:shd w:fill="f0f4e8"/>
          </w:tcPr>
          <w:p>
            <w:pPr>
              <w:spacing w:before="40" w:after="40"/>
            </w:pPr>
            <w:r>
              <w:rPr>
                <w:sz w:val="19"/>
              </w:rPr>
            </w:r>
            <w:r>
              <w:rPr>
                <w:sz w:val="19"/>
              </w:rPr>
              <w:t>BGE-small embedding</w:t>
            </w:r>
          </w:p>
        </w:tc>
      </w:tr>
      <w:tr>
        <w:tc>
          <w:tcPr>
            <w:tcW w:type="dxa" w:w="2340"/>
          </w:tcPr>
          <w:p>
            <w:pPr>
              <w:spacing w:before="40" w:after="40"/>
            </w:pPr>
            <w:r>
              <w:rPr>
                <w:sz w:val="19"/>
              </w:rPr>
            </w:r>
            <w:r>
              <w:rPr>
                <w:sz w:val="19"/>
              </w:rPr>
              <w:t>title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500</w:t>
            </w:r>
          </w:p>
        </w:tc>
        <w:tc>
          <w:tcPr>
            <w:tcW w:type="dxa" w:w="2340"/>
          </w:tcPr>
          <w:p>
            <w:pPr>
              <w:spacing w:before="40" w:after="40"/>
            </w:pPr>
            <w:r>
              <w:rPr>
                <w:sz w:val="19"/>
              </w:rPr>
            </w:r>
            <w:r>
              <w:rPr>
                <w:sz w:val="19"/>
              </w:rPr>
              <w:t>Official trial title</w:t>
            </w:r>
          </w:p>
        </w:tc>
      </w:tr>
      <w:tr>
        <w:tc>
          <w:tcPr>
            <w:tcW w:type="dxa" w:w="2340"/>
            <w:shd w:fill="f0f4e8"/>
          </w:tcPr>
          <w:p>
            <w:pPr>
              <w:spacing w:before="40" w:after="40"/>
            </w:pPr>
            <w:r>
              <w:rPr>
                <w:sz w:val="19"/>
              </w:rPr>
            </w:r>
            <w:r>
              <w:rPr>
                <w:sz w:val="19"/>
              </w:rPr>
              <w:t>text_summary</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3000</w:t>
            </w:r>
          </w:p>
        </w:tc>
        <w:tc>
          <w:tcPr>
            <w:tcW w:type="dxa" w:w="2340"/>
            <w:shd w:fill="f0f4e8"/>
          </w:tcPr>
          <w:p>
            <w:pPr>
              <w:spacing w:before="40" w:after="40"/>
            </w:pPr>
            <w:r>
              <w:rPr>
                <w:sz w:val="19"/>
              </w:rPr>
            </w:r>
            <w:r>
              <w:rPr>
                <w:sz w:val="19"/>
              </w:rPr>
              <w:t>Summary for embedding</w:t>
            </w:r>
          </w:p>
        </w:tc>
      </w:tr>
      <w:tr>
        <w:tc>
          <w:tcPr>
            <w:tcW w:type="dxa" w:w="2340"/>
          </w:tcPr>
          <w:p>
            <w:pPr>
              <w:spacing w:before="40" w:after="40"/>
            </w:pPr>
            <w:r>
              <w:rPr>
                <w:sz w:val="19"/>
              </w:rPr>
            </w:r>
            <w:r>
              <w:rPr>
                <w:sz w:val="19"/>
              </w:rPr>
              <w:t>phase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30</w:t>
            </w:r>
          </w:p>
        </w:tc>
        <w:tc>
          <w:tcPr>
            <w:tcW w:type="dxa" w:w="2340"/>
          </w:tcPr>
          <w:p>
            <w:pPr>
              <w:spacing w:before="40" w:after="40"/>
            </w:pPr>
            <w:r>
              <w:rPr>
                <w:sz w:val="19"/>
              </w:rPr>
            </w:r>
            <w:r>
              <w:rPr>
                <w:sz w:val="19"/>
              </w:rPr>
              <w:t>TrialPhase enum</w:t>
            </w:r>
          </w:p>
        </w:tc>
      </w:tr>
      <w:tr>
        <w:tc>
          <w:tcPr>
            <w:tcW w:type="dxa" w:w="2340"/>
            <w:shd w:fill="f0f4e8"/>
          </w:tcPr>
          <w:p>
            <w:pPr>
              <w:spacing w:before="40" w:after="40"/>
            </w:pPr>
            <w:r>
              <w:rPr>
                <w:sz w:val="19"/>
              </w:rPr>
            </w:r>
            <w:r>
              <w:rPr>
                <w:sz w:val="19"/>
              </w:rPr>
              <w:t>status</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30</w:t>
            </w:r>
          </w:p>
        </w:tc>
        <w:tc>
          <w:tcPr>
            <w:tcW w:type="dxa" w:w="2340"/>
            <w:shd w:fill="f0f4e8"/>
          </w:tcPr>
          <w:p>
            <w:pPr>
              <w:spacing w:before="40" w:after="40"/>
            </w:pPr>
            <w:r>
              <w:rPr>
                <w:sz w:val="19"/>
              </w:rPr>
            </w:r>
            <w:r>
              <w:rPr>
                <w:sz w:val="19"/>
              </w:rPr>
              <w:t>TrialStatus enum</w:t>
            </w:r>
          </w:p>
        </w:tc>
      </w:tr>
      <w:tr>
        <w:tc>
          <w:tcPr>
            <w:tcW w:type="dxa" w:w="2340"/>
          </w:tcPr>
          <w:p>
            <w:pPr>
              <w:spacing w:before="40" w:after="40"/>
            </w:pPr>
            <w:r>
              <w:rPr>
                <w:sz w:val="19"/>
              </w:rPr>
            </w:r>
            <w:r>
              <w:rPr>
                <w:sz w:val="19"/>
              </w:rPr>
              <w:t>sponsor</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200</w:t>
            </w:r>
          </w:p>
        </w:tc>
        <w:tc>
          <w:tcPr>
            <w:tcW w:type="dxa" w:w="2340"/>
          </w:tcPr>
          <w:p>
            <w:pPr>
              <w:spacing w:before="40" w:after="40"/>
            </w:pPr>
            <w:r>
              <w:rPr>
                <w:sz w:val="19"/>
              </w:rPr>
            </w:r>
            <w:r>
              <w:rPr>
                <w:sz w:val="19"/>
              </w:rPr>
              <w:t>Lead sponsor</w:t>
            </w:r>
          </w:p>
        </w:tc>
      </w:tr>
      <w:tr>
        <w:tc>
          <w:tcPr>
            <w:tcW w:type="dxa" w:w="2340"/>
            <w:shd w:fill="f0f4e8"/>
          </w:tcPr>
          <w:p>
            <w:pPr>
              <w:spacing w:before="40" w:after="40"/>
            </w:pPr>
            <w:r>
              <w:rPr>
                <w:sz w:val="19"/>
              </w:rPr>
            </w:r>
            <w:r>
              <w:rPr>
                <w:sz w:val="19"/>
              </w:rPr>
              <w:t>target_antigen</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w:t>
            </w:r>
          </w:p>
        </w:tc>
        <w:tc>
          <w:tcPr>
            <w:tcW w:type="dxa" w:w="2340"/>
            <w:shd w:fill="f0f4e8"/>
          </w:tcPr>
          <w:p>
            <w:pPr>
              <w:spacing w:before="40" w:after="40"/>
            </w:pPr>
            <w:r>
              <w:rPr>
                <w:sz w:val="19"/>
              </w:rPr>
            </w:r>
            <w:r>
              <w:rPr>
                <w:sz w:val="19"/>
              </w:rPr>
              <w:t>Target antigen</w:t>
            </w:r>
          </w:p>
        </w:tc>
      </w:tr>
      <w:tr>
        <w:tc>
          <w:tcPr>
            <w:tcW w:type="dxa" w:w="2340"/>
          </w:tcPr>
          <w:p>
            <w:pPr>
              <w:spacing w:before="40" w:after="40"/>
            </w:pPr>
            <w:r>
              <w:rPr>
                <w:sz w:val="19"/>
              </w:rPr>
            </w:r>
            <w:r>
              <w:rPr>
                <w:sz w:val="19"/>
              </w:rPr>
              <w:t>car_generation</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w:t>
            </w:r>
          </w:p>
        </w:tc>
        <w:tc>
          <w:tcPr>
            <w:tcW w:type="dxa" w:w="2340"/>
          </w:tcPr>
          <w:p>
            <w:pPr>
              <w:spacing w:before="40" w:after="40"/>
            </w:pPr>
            <w:r>
              <w:rPr>
                <w:sz w:val="19"/>
              </w:rPr>
            </w:r>
            <w:r>
              <w:rPr>
                <w:sz w:val="19"/>
              </w:rPr>
              <w:t>1st/2nd/3rd/4th/armored/universal</w:t>
            </w:r>
          </w:p>
        </w:tc>
      </w:tr>
      <w:tr>
        <w:tc>
          <w:tcPr>
            <w:tcW w:type="dxa" w:w="2340"/>
            <w:shd w:fill="f0f4e8"/>
          </w:tcPr>
          <w:p>
            <w:pPr>
              <w:spacing w:before="40" w:after="40"/>
            </w:pPr>
            <w:r>
              <w:rPr>
                <w:sz w:val="19"/>
              </w:rPr>
            </w:r>
            <w:r>
              <w:rPr>
                <w:sz w:val="19"/>
              </w:rPr>
              <w:t>costimulatory</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50</w:t>
            </w:r>
          </w:p>
        </w:tc>
        <w:tc>
          <w:tcPr>
            <w:tcW w:type="dxa" w:w="2340"/>
            <w:shd w:fill="f0f4e8"/>
          </w:tcPr>
          <w:p>
            <w:pPr>
              <w:spacing w:before="40" w:after="40"/>
            </w:pPr>
            <w:r>
              <w:rPr>
                <w:sz w:val="19"/>
              </w:rPr>
            </w:r>
            <w:r>
              <w:rPr>
                <w:sz w:val="19"/>
              </w:rPr>
              <w:t>CD28, 4-1BB, dual</w:t>
            </w:r>
          </w:p>
        </w:tc>
      </w:tr>
      <w:tr>
        <w:tc>
          <w:tcPr>
            <w:tcW w:type="dxa" w:w="2340"/>
          </w:tcPr>
          <w:p>
            <w:pPr>
              <w:spacing w:before="40" w:after="40"/>
            </w:pPr>
            <w:r>
              <w:rPr>
                <w:sz w:val="19"/>
              </w:rPr>
            </w:r>
            <w:r>
              <w:rPr>
                <w:sz w:val="19"/>
              </w:rPr>
              <w:t>disease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200</w:t>
            </w:r>
          </w:p>
        </w:tc>
        <w:tc>
          <w:tcPr>
            <w:tcW w:type="dxa" w:w="2340"/>
          </w:tcPr>
          <w:p>
            <w:pPr>
              <w:spacing w:before="40" w:after="40"/>
            </w:pPr>
            <w:r>
              <w:rPr>
                <w:sz w:val="19"/>
              </w:rPr>
            </w:r>
            <w:r>
              <w:rPr>
                <w:sz w:val="19"/>
              </w:rPr>
              <w:t>Indication</w:t>
            </w:r>
          </w:p>
        </w:tc>
      </w:tr>
      <w:tr>
        <w:tc>
          <w:tcPr>
            <w:tcW w:type="dxa" w:w="2340"/>
            <w:shd w:fill="f0f4e8"/>
          </w:tcPr>
          <w:p>
            <w:pPr>
              <w:spacing w:before="40" w:after="40"/>
            </w:pPr>
            <w:r>
              <w:rPr>
                <w:sz w:val="19"/>
              </w:rPr>
            </w:r>
            <w:r>
              <w:rPr>
                <w:sz w:val="19"/>
              </w:rPr>
              <w:t>enrollment</w:t>
            </w:r>
          </w:p>
        </w:tc>
        <w:tc>
          <w:tcPr>
            <w:tcW w:type="dxa" w:w="2340"/>
            <w:shd w:fill="f0f4e8"/>
          </w:tcPr>
          <w:p>
            <w:pPr>
              <w:spacing w:before="40" w:after="40"/>
            </w:pPr>
            <w:r>
              <w:rPr>
                <w:sz w:val="19"/>
              </w:rPr>
            </w:r>
            <w:r>
              <w:rPr>
                <w:sz w:val="19"/>
              </w:rPr>
              <w:t>INT64</w:t>
            </w:r>
          </w:p>
        </w:tc>
        <w:tc>
          <w:tcPr>
            <w:tcW w:type="dxa" w:w="2340"/>
            <w:shd w:fill="f0f4e8"/>
          </w:tcPr>
          <w:p>
            <w:pPr>
              <w:spacing w:before="40" w:after="40"/>
            </w:pPr>
            <w:r>
              <w:rPr>
                <w:sz w:val="19"/>
              </w:rPr>
            </w:r>
            <w:r>
              <w:rPr>
                <w:sz w:val="19"/>
              </w:rPr>
              <w:t>-</w:t>
            </w:r>
          </w:p>
        </w:tc>
        <w:tc>
          <w:tcPr>
            <w:tcW w:type="dxa" w:w="2340"/>
            <w:shd w:fill="f0f4e8"/>
          </w:tcPr>
          <w:p>
            <w:pPr>
              <w:spacing w:before="40" w:after="40"/>
            </w:pPr>
            <w:r>
              <w:rPr>
                <w:sz w:val="19"/>
              </w:rPr>
            </w:r>
            <w:r>
              <w:rPr>
                <w:sz w:val="19"/>
              </w:rPr>
              <w:t>Target enrollment count</w:t>
            </w:r>
          </w:p>
        </w:tc>
      </w:tr>
      <w:tr>
        <w:tc>
          <w:tcPr>
            <w:tcW w:type="dxa" w:w="2340"/>
          </w:tcPr>
          <w:p>
            <w:pPr>
              <w:spacing w:before="40" w:after="40"/>
            </w:pPr>
            <w:r>
              <w:rPr>
                <w:sz w:val="19"/>
              </w:rPr>
            </w:r>
            <w:r>
              <w:rPr>
                <w:sz w:val="19"/>
              </w:rPr>
              <w:t>start_year</w:t>
            </w:r>
          </w:p>
        </w:tc>
        <w:tc>
          <w:tcPr>
            <w:tcW w:type="dxa" w:w="2340"/>
          </w:tcPr>
          <w:p>
            <w:pPr>
              <w:spacing w:before="40" w:after="40"/>
            </w:pPr>
            <w:r>
              <w:rPr>
                <w:sz w:val="19"/>
              </w:rPr>
            </w:r>
            <w:r>
              <w:rPr>
                <w:sz w:val="19"/>
              </w:rPr>
              <w:t>INT64</w:t>
            </w:r>
          </w:p>
        </w:tc>
        <w:tc>
          <w:tcPr>
            <w:tcW w:type="dxa" w:w="2340"/>
          </w:tcPr>
          <w:p>
            <w:pPr>
              <w:spacing w:before="40" w:after="40"/>
            </w:pPr>
            <w:r>
              <w:rPr>
                <w:sz w:val="19"/>
              </w:rPr>
            </w:r>
            <w:r>
              <w:rPr>
                <w:sz w:val="19"/>
              </w:rPr>
              <w:t>-</w:t>
            </w:r>
          </w:p>
        </w:tc>
        <w:tc>
          <w:tcPr>
            <w:tcW w:type="dxa" w:w="2340"/>
          </w:tcPr>
          <w:p>
            <w:pPr>
              <w:spacing w:before="40" w:after="40"/>
            </w:pPr>
            <w:r>
              <w:rPr>
                <w:sz w:val="19"/>
              </w:rPr>
            </w:r>
            <w:r>
              <w:rPr>
                <w:sz w:val="19"/>
              </w:rPr>
              <w:t>Study start year</w:t>
            </w:r>
          </w:p>
        </w:tc>
      </w:tr>
      <w:tr>
        <w:tc>
          <w:tcPr>
            <w:tcW w:type="dxa" w:w="2340"/>
            <w:shd w:fill="f0f4e8"/>
          </w:tcPr>
          <w:p>
            <w:pPr>
              <w:spacing w:before="40" w:after="40"/>
            </w:pPr>
            <w:r>
              <w:rPr>
                <w:sz w:val="19"/>
              </w:rPr>
            </w:r>
            <w:r>
              <w:rPr>
                <w:sz w:val="19"/>
              </w:rPr>
              <w:t>outcome_summary</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2000</w:t>
            </w:r>
          </w:p>
        </w:tc>
        <w:tc>
          <w:tcPr>
            <w:tcW w:type="dxa" w:w="2340"/>
            <w:shd w:fill="f0f4e8"/>
          </w:tcPr>
          <w:p>
            <w:pPr>
              <w:spacing w:before="40" w:after="40"/>
            </w:pPr>
            <w:r>
              <w:rPr>
                <w:sz w:val="19"/>
              </w:rPr>
            </w:r>
            <w:r>
              <w:rPr>
                <w:sz w:val="19"/>
              </w:rPr>
              <w:t>Outcome summary</w:t>
            </w:r>
          </w:p>
        </w:tc>
      </w:tr>
    </w:tbl>
    <w:p/>
    <w:p>
      <w:pPr>
        <w:pStyle w:val="Heading4"/>
      </w:pPr>
      <w:r>
        <w:t>A.3 CAR Constructs Collection (</w:t>
      </w:r>
      <w:r>
        <w:rPr>
          <w:rFonts w:ascii="Consolas" w:hAnsi="Consolas"/>
          <w:color w:val="1A6B1A"/>
          <w:sz w:val="19"/>
        </w:rPr>
        <w:t>cart_constructs</w:t>
      </w:r>
      <w: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Field</w:t>
            </w:r>
          </w:p>
        </w:tc>
        <w:tc>
          <w:tcPr>
            <w:tcW w:type="dxa" w:w="2340"/>
            <w:shd w:fill="1a1a24"/>
          </w:tcPr>
          <w:p>
            <w:pPr>
              <w:spacing w:before="40" w:after="40"/>
            </w:pPr>
            <w:r>
              <w:rPr>
                <w:b/>
                <w:color w:val="FFFFFF"/>
                <w:sz w:val="19"/>
              </w:rPr>
            </w:r>
            <w:r>
              <w:rPr>
                <w:b/>
                <w:color w:val="FFFFFF"/>
                <w:sz w:val="19"/>
              </w:rPr>
              <w:t>Type</w:t>
            </w:r>
          </w:p>
        </w:tc>
        <w:tc>
          <w:tcPr>
            <w:tcW w:type="dxa" w:w="2340"/>
            <w:shd w:fill="1a1a24"/>
          </w:tcPr>
          <w:p>
            <w:pPr>
              <w:spacing w:before="40" w:after="40"/>
            </w:pPr>
            <w:r>
              <w:rPr>
                <w:b/>
                <w:color w:val="FFFFFF"/>
                <w:sz w:val="19"/>
              </w:rPr>
            </w:r>
            <w:r>
              <w:rPr>
                <w:b/>
                <w:color w:val="FFFFFF"/>
                <w:sz w:val="19"/>
              </w:rPr>
              <w:t>Max Length</w:t>
            </w:r>
          </w:p>
        </w:tc>
        <w:tc>
          <w:tcPr>
            <w:tcW w:type="dxa" w:w="2340"/>
            <w:shd w:fill="1a1a24"/>
          </w:tcPr>
          <w:p>
            <w:pPr>
              <w:spacing w:before="40" w:after="40"/>
            </w:pPr>
            <w:r>
              <w:rPr>
                <w:b/>
                <w:color w:val="FFFFFF"/>
                <w:sz w:val="19"/>
              </w:rPr>
            </w:r>
            <w:r>
              <w:rPr>
                <w:b/>
                <w:color w:val="FFFFFF"/>
                <w:sz w:val="19"/>
              </w:rPr>
              <w:t>Description</w:t>
            </w:r>
          </w:p>
        </w:tc>
      </w:tr>
      <w:tr>
        <w:tc>
          <w:tcPr>
            <w:tcW w:type="dxa" w:w="2340"/>
          </w:tcPr>
          <w:p>
            <w:pPr>
              <w:spacing w:before="40" w:after="40"/>
            </w:pPr>
            <w:r>
              <w:rPr>
                <w:sz w:val="19"/>
              </w:rPr>
            </w:r>
            <w:r>
              <w:rPr>
                <w:sz w:val="19"/>
              </w:rPr>
              <w:t>id</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Construct identifier</w:t>
            </w:r>
          </w:p>
        </w:tc>
      </w:tr>
      <w:tr>
        <w:tc>
          <w:tcPr>
            <w:tcW w:type="dxa" w:w="2340"/>
            <w:shd w:fill="f0f4e8"/>
          </w:tcPr>
          <w:p>
            <w:pPr>
              <w:spacing w:before="40" w:after="40"/>
            </w:pPr>
            <w:r>
              <w:rPr>
                <w:sz w:val="19"/>
              </w:rPr>
            </w:r>
            <w:r>
              <w:rPr>
                <w:sz w:val="19"/>
              </w:rPr>
              <w:t>embedding</w:t>
            </w:r>
          </w:p>
        </w:tc>
        <w:tc>
          <w:tcPr>
            <w:tcW w:type="dxa" w:w="2340"/>
            <w:shd w:fill="f0f4e8"/>
          </w:tcPr>
          <w:p>
            <w:pPr>
              <w:spacing w:before="40" w:after="40"/>
            </w:pPr>
            <w:r>
              <w:rPr>
                <w:sz w:val="19"/>
              </w:rPr>
            </w:r>
            <w:r>
              <w:rPr>
                <w:sz w:val="19"/>
              </w:rPr>
              <w:t>FLOAT_VECTOR</w:t>
            </w:r>
          </w:p>
        </w:tc>
        <w:tc>
          <w:tcPr>
            <w:tcW w:type="dxa" w:w="2340"/>
            <w:shd w:fill="f0f4e8"/>
          </w:tcPr>
          <w:p>
            <w:pPr>
              <w:spacing w:before="40" w:after="40"/>
            </w:pPr>
            <w:r>
              <w:rPr>
                <w:sz w:val="19"/>
              </w:rPr>
            </w:r>
            <w:r>
              <w:rPr>
                <w:sz w:val="19"/>
              </w:rPr>
              <w:t>384</w:t>
            </w:r>
          </w:p>
        </w:tc>
        <w:tc>
          <w:tcPr>
            <w:tcW w:type="dxa" w:w="2340"/>
            <w:shd w:fill="f0f4e8"/>
          </w:tcPr>
          <w:p>
            <w:pPr>
              <w:spacing w:before="40" w:after="40"/>
            </w:pPr>
            <w:r>
              <w:rPr>
                <w:sz w:val="19"/>
              </w:rPr>
            </w:r>
            <w:r>
              <w:rPr>
                <w:sz w:val="19"/>
              </w:rPr>
              <w:t>BGE-small embedding</w:t>
            </w:r>
          </w:p>
        </w:tc>
      </w:tr>
      <w:tr>
        <w:tc>
          <w:tcPr>
            <w:tcW w:type="dxa" w:w="2340"/>
          </w:tcPr>
          <w:p>
            <w:pPr>
              <w:spacing w:before="40" w:after="40"/>
            </w:pPr>
            <w:r>
              <w:rPr>
                <w:sz w:val="19"/>
              </w:rPr>
            </w:r>
            <w:r>
              <w:rPr>
                <w:sz w:val="19"/>
              </w:rPr>
              <w:t>name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200</w:t>
            </w:r>
          </w:p>
        </w:tc>
        <w:tc>
          <w:tcPr>
            <w:tcW w:type="dxa" w:w="2340"/>
          </w:tcPr>
          <w:p>
            <w:pPr>
              <w:spacing w:before="40" w:after="40"/>
            </w:pPr>
            <w:r>
              <w:rPr>
                <w:sz w:val="19"/>
              </w:rPr>
            </w:r>
            <w:r>
              <w:rPr>
                <w:sz w:val="19"/>
              </w:rPr>
              <w:t>Product/construct name</w:t>
            </w:r>
          </w:p>
        </w:tc>
      </w:tr>
      <w:tr>
        <w:tc>
          <w:tcPr>
            <w:tcW w:type="dxa" w:w="2340"/>
            <w:shd w:fill="f0f4e8"/>
          </w:tcPr>
          <w:p>
            <w:pPr>
              <w:spacing w:before="40" w:after="40"/>
            </w:pPr>
            <w:r>
              <w:rPr>
                <w:sz w:val="19"/>
              </w:rPr>
            </w:r>
            <w:r>
              <w:rPr>
                <w:sz w:val="19"/>
              </w:rPr>
              <w:t>text_summary</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2000</w:t>
            </w:r>
          </w:p>
        </w:tc>
        <w:tc>
          <w:tcPr>
            <w:tcW w:type="dxa" w:w="2340"/>
            <w:shd w:fill="f0f4e8"/>
          </w:tcPr>
          <w:p>
            <w:pPr>
              <w:spacing w:before="40" w:after="40"/>
            </w:pPr>
            <w:r>
              <w:rPr>
                <w:sz w:val="19"/>
              </w:rPr>
            </w:r>
            <w:r>
              <w:rPr>
                <w:sz w:val="19"/>
              </w:rPr>
              <w:t>Description</w:t>
            </w:r>
          </w:p>
        </w:tc>
      </w:tr>
      <w:tr>
        <w:tc>
          <w:tcPr>
            <w:tcW w:type="dxa" w:w="2340"/>
          </w:tcPr>
          <w:p>
            <w:pPr>
              <w:spacing w:before="40" w:after="40"/>
            </w:pPr>
            <w:r>
              <w:rPr>
                <w:sz w:val="19"/>
              </w:rPr>
            </w:r>
            <w:r>
              <w:rPr>
                <w:sz w:val="19"/>
              </w:rPr>
              <w:t>target_antigen</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Target</w:t>
            </w:r>
          </w:p>
        </w:tc>
      </w:tr>
      <w:tr>
        <w:tc>
          <w:tcPr>
            <w:tcW w:type="dxa" w:w="2340"/>
            <w:shd w:fill="f0f4e8"/>
          </w:tcPr>
          <w:p>
            <w:pPr>
              <w:spacing w:before="40" w:after="40"/>
            </w:pPr>
            <w:r>
              <w:rPr>
                <w:sz w:val="19"/>
              </w:rPr>
            </w:r>
            <w:r>
              <w:rPr>
                <w:sz w:val="19"/>
              </w:rPr>
              <w:t>scfv_origin</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w:t>
            </w:r>
          </w:p>
        </w:tc>
        <w:tc>
          <w:tcPr>
            <w:tcW w:type="dxa" w:w="2340"/>
            <w:shd w:fill="f0f4e8"/>
          </w:tcPr>
          <w:p>
            <w:pPr>
              <w:spacing w:before="40" w:after="40"/>
            </w:pPr>
            <w:r>
              <w:rPr>
                <w:sz w:val="19"/>
              </w:rPr>
            </w:r>
            <w:r>
              <w:rPr>
                <w:sz w:val="19"/>
              </w:rPr>
              <w:t>Antibody clone/origin</w:t>
            </w:r>
          </w:p>
        </w:tc>
      </w:tr>
      <w:tr>
        <w:tc>
          <w:tcPr>
            <w:tcW w:type="dxa" w:w="2340"/>
          </w:tcPr>
          <w:p>
            <w:pPr>
              <w:spacing w:before="40" w:after="40"/>
            </w:pPr>
            <w:r>
              <w:rPr>
                <w:sz w:val="19"/>
              </w:rPr>
            </w:r>
            <w:r>
              <w:rPr>
                <w:sz w:val="19"/>
              </w:rPr>
              <w:t>costimulatory_domain</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CD28, 4-1BB, dual</w:t>
            </w:r>
          </w:p>
        </w:tc>
      </w:tr>
      <w:tr>
        <w:tc>
          <w:tcPr>
            <w:tcW w:type="dxa" w:w="2340"/>
            <w:shd w:fill="f0f4e8"/>
          </w:tcPr>
          <w:p>
            <w:pPr>
              <w:spacing w:before="40" w:after="40"/>
            </w:pPr>
            <w:r>
              <w:rPr>
                <w:sz w:val="19"/>
              </w:rPr>
            </w:r>
            <w:r>
              <w:rPr>
                <w:sz w:val="19"/>
              </w:rPr>
              <w:t>signaling_domain</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w:t>
            </w:r>
          </w:p>
        </w:tc>
        <w:tc>
          <w:tcPr>
            <w:tcW w:type="dxa" w:w="2340"/>
            <w:shd w:fill="f0f4e8"/>
          </w:tcPr>
          <w:p>
            <w:pPr>
              <w:spacing w:before="40" w:after="40"/>
            </w:pPr>
            <w:r>
              <w:rPr>
                <w:sz w:val="19"/>
              </w:rPr>
            </w:r>
            <w:r>
              <w:rPr>
                <w:sz w:val="19"/>
              </w:rPr>
              <w:t>CD3-zeta</w:t>
            </w:r>
          </w:p>
        </w:tc>
      </w:tr>
      <w:tr>
        <w:tc>
          <w:tcPr>
            <w:tcW w:type="dxa" w:w="2340"/>
          </w:tcPr>
          <w:p>
            <w:pPr>
              <w:spacing w:before="40" w:after="40"/>
            </w:pPr>
            <w:r>
              <w:rPr>
                <w:sz w:val="19"/>
              </w:rPr>
            </w:r>
            <w:r>
              <w:rPr>
                <w:sz w:val="19"/>
              </w:rPr>
              <w:t>generation</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20</w:t>
            </w:r>
          </w:p>
        </w:tc>
        <w:tc>
          <w:tcPr>
            <w:tcW w:type="dxa" w:w="2340"/>
          </w:tcPr>
          <w:p>
            <w:pPr>
              <w:spacing w:before="40" w:after="40"/>
            </w:pPr>
            <w:r>
              <w:rPr>
                <w:sz w:val="19"/>
              </w:rPr>
            </w:r>
            <w:r>
              <w:rPr>
                <w:sz w:val="19"/>
              </w:rPr>
              <w:t>CARGeneration enum</w:t>
            </w:r>
          </w:p>
        </w:tc>
      </w:tr>
      <w:tr>
        <w:tc>
          <w:tcPr>
            <w:tcW w:type="dxa" w:w="2340"/>
            <w:shd w:fill="f0f4e8"/>
          </w:tcPr>
          <w:p>
            <w:pPr>
              <w:spacing w:before="40" w:after="40"/>
            </w:pPr>
            <w:r>
              <w:rPr>
                <w:sz w:val="19"/>
              </w:rPr>
            </w:r>
            <w:r>
              <w:rPr>
                <w:sz w:val="19"/>
              </w:rPr>
              <w:t>hinge_tm</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w:t>
            </w:r>
          </w:p>
        </w:tc>
        <w:tc>
          <w:tcPr>
            <w:tcW w:type="dxa" w:w="2340"/>
            <w:shd w:fill="f0f4e8"/>
          </w:tcPr>
          <w:p>
            <w:pPr>
              <w:spacing w:before="40" w:after="40"/>
            </w:pPr>
            <w:r>
              <w:rPr>
                <w:sz w:val="19"/>
              </w:rPr>
            </w:r>
            <w:r>
              <w:rPr>
                <w:sz w:val="19"/>
              </w:rPr>
              <w:t>Hinge + transmembrane</w:t>
            </w:r>
          </w:p>
        </w:tc>
      </w:tr>
      <w:tr>
        <w:tc>
          <w:tcPr>
            <w:tcW w:type="dxa" w:w="2340"/>
          </w:tcPr>
          <w:p>
            <w:pPr>
              <w:spacing w:before="40" w:after="40"/>
            </w:pPr>
            <w:r>
              <w:rPr>
                <w:sz w:val="19"/>
              </w:rPr>
            </w:r>
            <w:r>
              <w:rPr>
                <w:sz w:val="19"/>
              </w:rPr>
              <w:t>vector_type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w:t>
            </w:r>
          </w:p>
        </w:tc>
        <w:tc>
          <w:tcPr>
            <w:tcW w:type="dxa" w:w="2340"/>
          </w:tcPr>
          <w:p>
            <w:pPr>
              <w:spacing w:before="40" w:after="40"/>
            </w:pPr>
            <w:r>
              <w:rPr>
                <w:sz w:val="19"/>
              </w:rPr>
            </w:r>
            <w:r>
              <w:rPr>
                <w:sz w:val="19"/>
              </w:rPr>
              <w:t>lentiviral/retroviral/non-viral</w:t>
            </w:r>
          </w:p>
        </w:tc>
      </w:tr>
      <w:tr>
        <w:tc>
          <w:tcPr>
            <w:tcW w:type="dxa" w:w="2340"/>
            <w:shd w:fill="f0f4e8"/>
          </w:tcPr>
          <w:p>
            <w:pPr>
              <w:spacing w:before="40" w:after="40"/>
            </w:pPr>
            <w:r>
              <w:rPr>
                <w:sz w:val="19"/>
              </w:rPr>
            </w:r>
            <w:r>
              <w:rPr>
                <w:sz w:val="19"/>
              </w:rPr>
              <w:t>fda_status</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w:t>
            </w:r>
          </w:p>
        </w:tc>
        <w:tc>
          <w:tcPr>
            <w:tcW w:type="dxa" w:w="2340"/>
            <w:shd w:fill="f0f4e8"/>
          </w:tcPr>
          <w:p>
            <w:pPr>
              <w:spacing w:before="40" w:after="40"/>
            </w:pPr>
            <w:r>
              <w:rPr>
                <w:sz w:val="19"/>
              </w:rPr>
            </w:r>
            <w:r>
              <w:rPr>
                <w:sz w:val="19"/>
              </w:rPr>
              <w:t>FDAStatus enum</w:t>
            </w:r>
          </w:p>
        </w:tc>
      </w:tr>
      <w:tr>
        <w:tc>
          <w:tcPr>
            <w:tcW w:type="dxa" w:w="2340"/>
          </w:tcPr>
          <w:p>
            <w:pPr>
              <w:spacing w:before="40" w:after="40"/>
            </w:pPr>
            <w:r>
              <w:rPr>
                <w:sz w:val="19"/>
              </w:rPr>
            </w:r>
            <w:r>
              <w:rPr>
                <w:sz w:val="19"/>
              </w:rPr>
              <w:t>known_toxicities</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500</w:t>
            </w:r>
          </w:p>
        </w:tc>
        <w:tc>
          <w:tcPr>
            <w:tcW w:type="dxa" w:w="2340"/>
          </w:tcPr>
          <w:p>
            <w:pPr>
              <w:spacing w:before="40" w:after="40"/>
            </w:pPr>
            <w:r>
              <w:rPr>
                <w:sz w:val="19"/>
              </w:rPr>
            </w:r>
            <w:r>
              <w:rPr>
                <w:sz w:val="19"/>
              </w:rPr>
              <w:t>CRS, ICANS, etc.</w:t>
            </w:r>
          </w:p>
        </w:tc>
      </w:tr>
    </w:tbl>
    <w:p/>
    <w:p>
      <w:pPr>
        <w:pStyle w:val="Heading4"/>
      </w:pPr>
      <w:r>
        <w:t>A.4 Safety Collection (</w:t>
      </w:r>
      <w:r>
        <w:rPr>
          <w:rFonts w:ascii="Consolas" w:hAnsi="Consolas"/>
          <w:color w:val="1A6B1A"/>
          <w:sz w:val="19"/>
        </w:rPr>
        <w:t>cart_safety</w:t>
      </w:r>
      <w: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4"/>
          </w:tcPr>
          <w:p>
            <w:pPr>
              <w:spacing w:before="40" w:after="40"/>
            </w:pPr>
            <w:r>
              <w:rPr>
                <w:b/>
                <w:color w:val="FFFFFF"/>
                <w:sz w:val="19"/>
              </w:rPr>
            </w:r>
            <w:r>
              <w:rPr>
                <w:b/>
                <w:color w:val="FFFFFF"/>
                <w:sz w:val="19"/>
              </w:rPr>
              <w:t>Field</w:t>
            </w:r>
          </w:p>
        </w:tc>
        <w:tc>
          <w:tcPr>
            <w:tcW w:type="dxa" w:w="2340"/>
            <w:shd w:fill="1a1a24"/>
          </w:tcPr>
          <w:p>
            <w:pPr>
              <w:spacing w:before="40" w:after="40"/>
            </w:pPr>
            <w:r>
              <w:rPr>
                <w:b/>
                <w:color w:val="FFFFFF"/>
                <w:sz w:val="19"/>
              </w:rPr>
            </w:r>
            <w:r>
              <w:rPr>
                <w:b/>
                <w:color w:val="FFFFFF"/>
                <w:sz w:val="19"/>
              </w:rPr>
              <w:t>Type</w:t>
            </w:r>
          </w:p>
        </w:tc>
        <w:tc>
          <w:tcPr>
            <w:tcW w:type="dxa" w:w="2340"/>
            <w:shd w:fill="1a1a24"/>
          </w:tcPr>
          <w:p>
            <w:pPr>
              <w:spacing w:before="40" w:after="40"/>
            </w:pPr>
            <w:r>
              <w:rPr>
                <w:b/>
                <w:color w:val="FFFFFF"/>
                <w:sz w:val="19"/>
              </w:rPr>
            </w:r>
            <w:r>
              <w:rPr>
                <w:b/>
                <w:color w:val="FFFFFF"/>
                <w:sz w:val="19"/>
              </w:rPr>
              <w:t>Max Length</w:t>
            </w:r>
          </w:p>
        </w:tc>
        <w:tc>
          <w:tcPr>
            <w:tcW w:type="dxa" w:w="2340"/>
            <w:shd w:fill="1a1a24"/>
          </w:tcPr>
          <w:p>
            <w:pPr>
              <w:spacing w:before="40" w:after="40"/>
            </w:pPr>
            <w:r>
              <w:rPr>
                <w:b/>
                <w:color w:val="FFFFFF"/>
                <w:sz w:val="19"/>
              </w:rPr>
            </w:r>
            <w:r>
              <w:rPr>
                <w:b/>
                <w:color w:val="FFFFFF"/>
                <w:sz w:val="19"/>
              </w:rPr>
              <w:t>Description</w:t>
            </w:r>
          </w:p>
        </w:tc>
      </w:tr>
      <w:tr>
        <w:tc>
          <w:tcPr>
            <w:tcW w:type="dxa" w:w="2340"/>
          </w:tcPr>
          <w:p>
            <w:pPr>
              <w:spacing w:before="40" w:after="40"/>
            </w:pPr>
            <w:r>
              <w:rPr>
                <w:sz w:val="19"/>
              </w:rPr>
            </w:r>
            <w:r>
              <w:rPr>
                <w:sz w:val="19"/>
              </w:rPr>
              <w:t>id</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Safety record ID</w:t>
            </w:r>
          </w:p>
        </w:tc>
      </w:tr>
      <w:tr>
        <w:tc>
          <w:tcPr>
            <w:tcW w:type="dxa" w:w="2340"/>
            <w:shd w:fill="f0f4e8"/>
          </w:tcPr>
          <w:p>
            <w:pPr>
              <w:spacing w:before="40" w:after="40"/>
            </w:pPr>
            <w:r>
              <w:rPr>
                <w:sz w:val="19"/>
              </w:rPr>
            </w:r>
            <w:r>
              <w:rPr>
                <w:sz w:val="19"/>
              </w:rPr>
              <w:t>embedding</w:t>
            </w:r>
          </w:p>
        </w:tc>
        <w:tc>
          <w:tcPr>
            <w:tcW w:type="dxa" w:w="2340"/>
            <w:shd w:fill="f0f4e8"/>
          </w:tcPr>
          <w:p>
            <w:pPr>
              <w:spacing w:before="40" w:after="40"/>
            </w:pPr>
            <w:r>
              <w:rPr>
                <w:sz w:val="19"/>
              </w:rPr>
            </w:r>
            <w:r>
              <w:rPr>
                <w:sz w:val="19"/>
              </w:rPr>
              <w:t>FLOAT_VECTOR</w:t>
            </w:r>
          </w:p>
        </w:tc>
        <w:tc>
          <w:tcPr>
            <w:tcW w:type="dxa" w:w="2340"/>
            <w:shd w:fill="f0f4e8"/>
          </w:tcPr>
          <w:p>
            <w:pPr>
              <w:spacing w:before="40" w:after="40"/>
            </w:pPr>
            <w:r>
              <w:rPr>
                <w:sz w:val="19"/>
              </w:rPr>
            </w:r>
            <w:r>
              <w:rPr>
                <w:sz w:val="19"/>
              </w:rPr>
              <w:t>384</w:t>
            </w:r>
          </w:p>
        </w:tc>
        <w:tc>
          <w:tcPr>
            <w:tcW w:type="dxa" w:w="2340"/>
            <w:shd w:fill="f0f4e8"/>
          </w:tcPr>
          <w:p>
            <w:pPr>
              <w:spacing w:before="40" w:after="40"/>
            </w:pPr>
            <w:r>
              <w:rPr>
                <w:sz w:val="19"/>
              </w:rPr>
            </w:r>
            <w:r>
              <w:rPr>
                <w:sz w:val="19"/>
              </w:rPr>
              <w:t>BGE-small embedding</w:t>
            </w:r>
          </w:p>
        </w:tc>
      </w:tr>
      <w:tr>
        <w:tc>
          <w:tcPr>
            <w:tcW w:type="dxa" w:w="2340"/>
          </w:tcPr>
          <w:p>
            <w:pPr>
              <w:spacing w:before="40" w:after="40"/>
            </w:pPr>
            <w:r>
              <w:rPr>
                <w:sz w:val="19"/>
              </w:rPr>
            </w:r>
            <w:r>
              <w:rPr>
                <w:sz w:val="19"/>
              </w:rPr>
              <w:t>text_summary</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3000</w:t>
            </w:r>
          </w:p>
        </w:tc>
        <w:tc>
          <w:tcPr>
            <w:tcW w:type="dxa" w:w="2340"/>
          </w:tcPr>
          <w:p>
            <w:pPr>
              <w:spacing w:before="40" w:after="40"/>
            </w:pPr>
            <w:r>
              <w:rPr>
                <w:sz w:val="19"/>
              </w:rPr>
            </w:r>
            <w:r>
              <w:rPr>
                <w:sz w:val="19"/>
              </w:rPr>
              <w:t>Safety summary</w:t>
            </w:r>
          </w:p>
        </w:tc>
      </w:tr>
      <w:tr>
        <w:tc>
          <w:tcPr>
            <w:tcW w:type="dxa" w:w="2340"/>
            <w:shd w:fill="f0f4e8"/>
          </w:tcPr>
          <w:p>
            <w:pPr>
              <w:spacing w:before="40" w:after="40"/>
            </w:pPr>
            <w:r>
              <w:rPr>
                <w:sz w:val="19"/>
              </w:rPr>
            </w:r>
            <w:r>
              <w:rPr>
                <w:sz w:val="19"/>
              </w:rPr>
              <w:t>product</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w:t>
            </w:r>
          </w:p>
        </w:tc>
        <w:tc>
          <w:tcPr>
            <w:tcW w:type="dxa" w:w="2340"/>
            <w:shd w:fill="f0f4e8"/>
          </w:tcPr>
          <w:p>
            <w:pPr>
              <w:spacing w:before="40" w:after="40"/>
            </w:pPr>
            <w:r>
              <w:rPr>
                <w:sz w:val="19"/>
              </w:rPr>
            </w:r>
            <w:r>
              <w:rPr>
                <w:sz w:val="19"/>
              </w:rPr>
              <w:t>Product name</w:t>
            </w:r>
          </w:p>
        </w:tc>
      </w:tr>
      <w:tr>
        <w:tc>
          <w:tcPr>
            <w:tcW w:type="dxa" w:w="2340"/>
          </w:tcPr>
          <w:p>
            <w:pPr>
              <w:spacing w:before="40" w:after="40"/>
            </w:pPr>
            <w:r>
              <w:rPr>
                <w:sz w:val="19"/>
              </w:rPr>
            </w:r>
            <w:r>
              <w:rPr>
                <w:sz w:val="19"/>
              </w:rPr>
              <w:t>event_type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30</w:t>
            </w:r>
          </w:p>
        </w:tc>
        <w:tc>
          <w:tcPr>
            <w:tcW w:type="dxa" w:w="2340"/>
          </w:tcPr>
          <w:p>
            <w:pPr>
              <w:spacing w:before="40" w:after="40"/>
            </w:pPr>
            <w:r>
              <w:rPr>
                <w:sz w:val="19"/>
              </w:rPr>
            </w:r>
            <w:r>
              <w:rPr>
                <w:sz w:val="19"/>
              </w:rPr>
              <w:t>CRS/ICANS/CYTOPENIA/etc.</w:t>
            </w:r>
          </w:p>
        </w:tc>
      </w:tr>
      <w:tr>
        <w:tc>
          <w:tcPr>
            <w:tcW w:type="dxa" w:w="2340"/>
            <w:shd w:fill="f0f4e8"/>
          </w:tcPr>
          <w:p>
            <w:pPr>
              <w:spacing w:before="40" w:after="40"/>
            </w:pPr>
            <w:r>
              <w:rPr>
                <w:sz w:val="19"/>
              </w:rPr>
            </w:r>
            <w:r>
              <w:rPr>
                <w:sz w:val="19"/>
              </w:rPr>
              <w:t>severity_grade</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w:t>
            </w:r>
          </w:p>
        </w:tc>
        <w:tc>
          <w:tcPr>
            <w:tcW w:type="dxa" w:w="2340"/>
            <w:shd w:fill="f0f4e8"/>
          </w:tcPr>
          <w:p>
            <w:pPr>
              <w:spacing w:before="40" w:after="40"/>
            </w:pPr>
            <w:r>
              <w:rPr>
                <w:sz w:val="19"/>
              </w:rPr>
            </w:r>
            <w:r>
              <w:rPr>
                <w:sz w:val="19"/>
              </w:rPr>
              <w:t>Grade 1-5</w:t>
            </w:r>
          </w:p>
        </w:tc>
      </w:tr>
      <w:tr>
        <w:tc>
          <w:tcPr>
            <w:tcW w:type="dxa" w:w="2340"/>
          </w:tcPr>
          <w:p>
            <w:pPr>
              <w:spacing w:before="40" w:after="40"/>
            </w:pPr>
            <w:r>
              <w:rPr>
                <w:sz w:val="19"/>
              </w:rPr>
            </w:r>
            <w:r>
              <w:rPr>
                <w:sz w:val="19"/>
              </w:rPr>
              <w:t>onset_timing</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100</w:t>
            </w:r>
          </w:p>
        </w:tc>
        <w:tc>
          <w:tcPr>
            <w:tcW w:type="dxa" w:w="2340"/>
          </w:tcPr>
          <w:p>
            <w:pPr>
              <w:spacing w:before="40" w:after="40"/>
            </w:pPr>
            <w:r>
              <w:rPr>
                <w:sz w:val="19"/>
              </w:rPr>
            </w:r>
            <w:r>
              <w:rPr>
                <w:sz w:val="19"/>
              </w:rPr>
              <w:t>Median day post-infusion</w:t>
            </w:r>
          </w:p>
        </w:tc>
      </w:tr>
      <w:tr>
        <w:tc>
          <w:tcPr>
            <w:tcW w:type="dxa" w:w="2340"/>
            <w:shd w:fill="f0f4e8"/>
          </w:tcPr>
          <w:p>
            <w:pPr>
              <w:spacing w:before="40" w:after="40"/>
            </w:pPr>
            <w:r>
              <w:rPr>
                <w:sz w:val="19"/>
              </w:rPr>
            </w:r>
            <w:r>
              <w:rPr>
                <w:sz w:val="19"/>
              </w:rPr>
              <w:t>incidence_rate</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200</w:t>
            </w:r>
          </w:p>
        </w:tc>
        <w:tc>
          <w:tcPr>
            <w:tcW w:type="dxa" w:w="2340"/>
            <w:shd w:fill="f0f4e8"/>
          </w:tcPr>
          <w:p>
            <w:pPr>
              <w:spacing w:before="40" w:after="40"/>
            </w:pPr>
            <w:r>
              <w:rPr>
                <w:sz w:val="19"/>
              </w:rPr>
            </w:r>
            <w:r>
              <w:rPr>
                <w:sz w:val="19"/>
              </w:rPr>
              <w:t>e.g., 42% any grade</w:t>
            </w:r>
          </w:p>
        </w:tc>
      </w:tr>
      <w:tr>
        <w:tc>
          <w:tcPr>
            <w:tcW w:type="dxa" w:w="2340"/>
          </w:tcPr>
          <w:p>
            <w:pPr>
              <w:spacing w:before="40" w:after="40"/>
            </w:pPr>
            <w:r>
              <w:rPr>
                <w:sz w:val="19"/>
              </w:rPr>
            </w:r>
            <w:r>
              <w:rPr>
                <w:sz w:val="19"/>
              </w:rPr>
              <w:t>management_protocol</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500</w:t>
            </w:r>
          </w:p>
        </w:tc>
        <w:tc>
          <w:tcPr>
            <w:tcW w:type="dxa" w:w="2340"/>
          </w:tcPr>
          <w:p>
            <w:pPr>
              <w:spacing w:before="40" w:after="40"/>
            </w:pPr>
            <w:r>
              <w:rPr>
                <w:sz w:val="19"/>
              </w:rPr>
            </w:r>
            <w:r>
              <w:rPr>
                <w:sz w:val="19"/>
              </w:rPr>
              <w:t>Management approach</w:t>
            </w:r>
          </w:p>
        </w:tc>
      </w:tr>
      <w:tr>
        <w:tc>
          <w:tcPr>
            <w:tcW w:type="dxa" w:w="2340"/>
            <w:shd w:fill="f0f4e8"/>
          </w:tcPr>
          <w:p>
            <w:pPr>
              <w:spacing w:before="40" w:after="40"/>
            </w:pPr>
            <w:r>
              <w:rPr>
                <w:sz w:val="19"/>
              </w:rPr>
            </w:r>
            <w:r>
              <w:rPr>
                <w:sz w:val="19"/>
              </w:rPr>
              <w:t>outcome</w:t>
            </w:r>
          </w:p>
        </w:tc>
        <w:tc>
          <w:tcPr>
            <w:tcW w:type="dxa" w:w="2340"/>
            <w:shd w:fill="f0f4e8"/>
          </w:tcPr>
          <w:p>
            <w:pPr>
              <w:spacing w:before="40" w:after="40"/>
            </w:pPr>
            <w:r>
              <w:rPr>
                <w:sz w:val="19"/>
              </w:rPr>
            </w:r>
            <w:r>
              <w:rPr>
                <w:sz w:val="19"/>
              </w:rPr>
              <w:t>VARCHAR</w:t>
            </w:r>
          </w:p>
        </w:tc>
        <w:tc>
          <w:tcPr>
            <w:tcW w:type="dxa" w:w="2340"/>
            <w:shd w:fill="f0f4e8"/>
          </w:tcPr>
          <w:p>
            <w:pPr>
              <w:spacing w:before="40" w:after="40"/>
            </w:pPr>
            <w:r>
              <w:rPr>
                <w:sz w:val="19"/>
              </w:rPr>
            </w:r>
            <w:r>
              <w:rPr>
                <w:sz w:val="19"/>
              </w:rPr>
              <w:t>100</w:t>
            </w:r>
          </w:p>
        </w:tc>
        <w:tc>
          <w:tcPr>
            <w:tcW w:type="dxa" w:w="2340"/>
            <w:shd w:fill="f0f4e8"/>
          </w:tcPr>
          <w:p>
            <w:pPr>
              <w:spacing w:before="40" w:after="40"/>
            </w:pPr>
            <w:r>
              <w:rPr>
                <w:sz w:val="19"/>
              </w:rPr>
            </w:r>
            <w:r>
              <w:rPr>
                <w:sz w:val="19"/>
              </w:rPr>
              <w:t>Recovery status</w:t>
            </w:r>
          </w:p>
        </w:tc>
      </w:tr>
      <w:tr>
        <w:tc>
          <w:tcPr>
            <w:tcW w:type="dxa" w:w="2340"/>
          </w:tcPr>
          <w:p>
            <w:pPr>
              <w:spacing w:before="40" w:after="40"/>
            </w:pPr>
            <w:r>
              <w:rPr>
                <w:sz w:val="19"/>
              </w:rPr>
            </w:r>
            <w:r>
              <w:rPr>
                <w:sz w:val="19"/>
              </w:rPr>
              <w:t>reporting_source</w:t>
            </w:r>
          </w:p>
        </w:tc>
        <w:tc>
          <w:tcPr>
            <w:tcW w:type="dxa" w:w="2340"/>
          </w:tcPr>
          <w:p>
            <w:pPr>
              <w:spacing w:before="40" w:after="40"/>
            </w:pPr>
            <w:r>
              <w:rPr>
                <w:sz w:val="19"/>
              </w:rPr>
            </w:r>
            <w:r>
              <w:rPr>
                <w:sz w:val="19"/>
              </w:rPr>
              <w:t>VARCHAR</w:t>
            </w:r>
          </w:p>
        </w:tc>
        <w:tc>
          <w:tcPr>
            <w:tcW w:type="dxa" w:w="2340"/>
          </w:tcPr>
          <w:p>
            <w:pPr>
              <w:spacing w:before="40" w:after="40"/>
            </w:pPr>
            <w:r>
              <w:rPr>
                <w:sz w:val="19"/>
              </w:rPr>
            </w:r>
            <w:r>
              <w:rPr>
                <w:sz w:val="19"/>
              </w:rPr>
              <w:t>50</w:t>
            </w:r>
          </w:p>
        </w:tc>
        <w:tc>
          <w:tcPr>
            <w:tcW w:type="dxa" w:w="2340"/>
          </w:tcPr>
          <w:p>
            <w:pPr>
              <w:spacing w:before="40" w:after="40"/>
            </w:pPr>
            <w:r>
              <w:rPr>
                <w:sz w:val="19"/>
              </w:rPr>
            </w:r>
            <w:r>
              <w:rPr>
                <w:sz w:val="19"/>
              </w:rPr>
              <w:t>FAERS/trial/registry/label</w:t>
            </w:r>
          </w:p>
        </w:tc>
      </w:tr>
      <w:tr>
        <w:tc>
          <w:tcPr>
            <w:tcW w:type="dxa" w:w="2340"/>
            <w:shd w:fill="f0f4e8"/>
          </w:tcPr>
          <w:p>
            <w:pPr>
              <w:spacing w:before="40" w:after="40"/>
            </w:pPr>
            <w:r>
              <w:rPr>
                <w:sz w:val="19"/>
              </w:rPr>
            </w:r>
            <w:r>
              <w:rPr>
                <w:sz w:val="19"/>
              </w:rPr>
              <w:t>year</w:t>
            </w:r>
          </w:p>
        </w:tc>
        <w:tc>
          <w:tcPr>
            <w:tcW w:type="dxa" w:w="2340"/>
            <w:shd w:fill="f0f4e8"/>
          </w:tcPr>
          <w:p>
            <w:pPr>
              <w:spacing w:before="40" w:after="40"/>
            </w:pPr>
            <w:r>
              <w:rPr>
                <w:sz w:val="19"/>
              </w:rPr>
            </w:r>
            <w:r>
              <w:rPr>
                <w:sz w:val="19"/>
              </w:rPr>
              <w:t>INT64</w:t>
            </w:r>
          </w:p>
        </w:tc>
        <w:tc>
          <w:tcPr>
            <w:tcW w:type="dxa" w:w="2340"/>
            <w:shd w:fill="f0f4e8"/>
          </w:tcPr>
          <w:p>
            <w:pPr>
              <w:spacing w:before="40" w:after="40"/>
            </w:pPr>
            <w:r>
              <w:rPr>
                <w:sz w:val="19"/>
              </w:rPr>
            </w:r>
            <w:r>
              <w:rPr>
                <w:sz w:val="19"/>
              </w:rPr>
              <w:t>-</w:t>
            </w:r>
          </w:p>
        </w:tc>
        <w:tc>
          <w:tcPr>
            <w:tcW w:type="dxa" w:w="2340"/>
            <w:shd w:fill="f0f4e8"/>
          </w:tcPr>
          <w:p>
            <w:pPr>
              <w:spacing w:before="40" w:after="40"/>
            </w:pPr>
            <w:r>
              <w:rPr>
                <w:sz w:val="19"/>
              </w:rPr>
            </w:r>
            <w:r>
              <w:rPr>
                <w:sz w:val="19"/>
              </w:rPr>
              <w:t>Reporting year</w:t>
            </w:r>
          </w:p>
        </w:tc>
      </w:tr>
    </w:tbl>
    <w:p/>
    <w:p>
      <w:pPr>
        <w:pStyle w:val="Heading4"/>
      </w:pPr>
      <w:r>
        <w:t>A.5 Remaining Collections</w:t>
      </w:r>
    </w:p>
    <w:p>
      <w:r>
        <w:t>Assays (</w:t>
      </w:r>
      <w:r>
        <w:rPr>
          <w:rFonts w:ascii="Consolas" w:hAnsi="Consolas"/>
          <w:color w:val="1A6B1A"/>
          <w:sz w:val="19"/>
        </w:rPr>
        <w:t>cart_assays</w:t>
      </w:r>
      <w:r>
        <w:t>), Manufacturing (</w:t>
      </w:r>
      <w:r>
        <w:rPr>
          <w:rFonts w:ascii="Consolas" w:hAnsi="Consolas"/>
          <w:color w:val="1A6B1A"/>
          <w:sz w:val="19"/>
        </w:rPr>
        <w:t>cart_manufacturing</w:t>
      </w:r>
      <w:r>
        <w:t>), Biomarkers (</w:t>
      </w:r>
      <w:r>
        <w:rPr>
          <w:rFonts w:ascii="Consolas" w:hAnsi="Consolas"/>
          <w:color w:val="1A6B1A"/>
          <w:sz w:val="19"/>
        </w:rPr>
        <w:t>cart_biomarkers</w:t>
      </w:r>
      <w:r>
        <w:t>), Regulatory (</w:t>
      </w:r>
      <w:r>
        <w:rPr>
          <w:rFonts w:ascii="Consolas" w:hAnsi="Consolas"/>
          <w:color w:val="1A6B1A"/>
          <w:sz w:val="19"/>
        </w:rPr>
        <w:t>cart_regulatory</w:t>
      </w:r>
      <w:r>
        <w:t>), Sequences (</w:t>
      </w:r>
      <w:r>
        <w:rPr>
          <w:rFonts w:ascii="Consolas" w:hAnsi="Consolas"/>
          <w:color w:val="1A6B1A"/>
          <w:sz w:val="19"/>
        </w:rPr>
        <w:t>cart_sequences</w:t>
      </w:r>
      <w:r>
        <w:t>), Real-World Evidence (</w:t>
      </w:r>
      <w:r>
        <w:rPr>
          <w:rFonts w:ascii="Consolas" w:hAnsi="Consolas"/>
          <w:color w:val="1A6B1A"/>
          <w:sz w:val="19"/>
        </w:rPr>
        <w:t>cart_realworld</w:t>
      </w:r>
      <w:r>
        <w:t>), and Genomic Evidence (</w:t>
      </w:r>
      <w:r>
        <w:rPr>
          <w:rFonts w:ascii="Consolas" w:hAnsi="Consolas"/>
          <w:color w:val="1A6B1A"/>
          <w:sz w:val="19"/>
        </w:rPr>
        <w:t>genomic_evidence</w:t>
      </w:r>
      <w:r>
        <w:t>) follow similar patterns with domain-specific fields as detailed in Section 6.2.</w:t>
      </w:r>
    </w:p>
    <w:p>
      <w:pPr>
        <w:pStyle w:val="Heading3"/>
      </w:pPr>
      <w:r>
        <w:t>Appendix B: Enumeration Types</w:t>
      </w:r>
    </w:p>
    <w:p>
      <w:pPr>
        <w:spacing w:before="80" w:after="80"/>
        <w:ind w:left="567"/>
        <w:shd w:fill="f5f5f5"/>
      </w:pPr>
      <w:r>
        <w:rPr>
          <w:rFonts w:ascii="Consolas" w:hAnsi="Consolas"/>
          <w:color w:val="2D2D2D"/>
          <w:sz w:val="17"/>
        </w:rPr>
        <w:t>CARTStage: TARGET_ID, CAR_DESIGN, VECTOR_ENG, TESTING, CLINICAL</w:t>
        <w:br/>
        <w:t>SourceType: PUBMED, PMC, PATENT, PREPRINT, MANUAL</w:t>
        <w:br/>
        <w:t>TrialPhase: EARLY_1, PHASE_1, PHASE_1_2, PHASE_2, PHASE_2_3, PHASE_3, PHASE_4, NA</w:t>
        <w:br/>
        <w:t>TrialStatus: RECRUITING, ACTIVE, COMPLETED, TERMINATED, WITHDRAWN, SUSPENDED, NOT_YET, UNKNOWN</w:t>
        <w:br/>
        <w:t>CARGeneration: FIRST, SECOND, THIRD, FOURTH, ARMORED, UNIVERSAL</w:t>
        <w:br/>
        <w:t>AssayType: CYTOTOXICITY, CYTOKINE, FLOW_CYTOMETRY, PROLIFERATION, IN_VIVO, PERSISTENCE, EXHAUSTION</w:t>
        <w:br/>
        <w:t>ProcessStep: TRANSDUCTION, EXPANSION, HARVEST, FORMULATION, RELEASE_TESTING, CRYOPRESERVATION</w:t>
        <w:br/>
        <w:t>FDAStatus: APPROVED, BLA_FILED, PHASE_3, PHASE_2, PHASE_1, PRECLINICAL, DISCONTINUED</w:t>
        <w:br/>
        <w:t>SafetyEventType: CRS, ICANS, CYTOPENIA, INFECTION, SECONDARY_MALIGNANCY, ORGAN_TOXICITY, NEUROLOGIC, CARDIAC</w:t>
        <w:br/>
        <w:t>BiomarkerType: PREDICTIVE, PROGNOSTIC, PHARMACODYNAMIC, MONITORING, RESISTANCE</w:t>
        <w:br/>
        <w:t>EvidenceLevel: VALIDATED, EMERGING, EXPLORATORY</w:t>
        <w:br/>
        <w:t>RegulatoryEvent: BLA, BREAKTHROUGH_THERAPY, RMAT, ACCELERATED_APPROVAL, FULL_APPROVAL, LABEL_UPDATE, REMS, POST_MARKETING_REQ, COMPLETE_RESPONSE</w:t>
        <w:br/>
        <w:t>RWEStudyType: RETROSPECTIVE, REGISTRY, CLAIMS, EHR_ANALYSIS, META_ANALYSIS</w:t>
      </w:r>
    </w:p>
    <w:p>
      <w:pPr>
        <w:pStyle w:val="Heading3"/>
      </w:pPr>
      <w:r>
        <w:t>Appendix C: Service Port Map</w:t>
      </w:r>
    </w:p>
    <w:p>
      <w:pPr>
        <w:spacing w:before="80" w:after="80"/>
        <w:ind w:left="567"/>
        <w:shd w:fill="f5f5f5"/>
      </w:pPr>
      <w:r>
        <w:rPr>
          <w:rFonts w:ascii="Consolas" w:hAnsi="Consolas"/>
          <w:color w:val="2D2D2D"/>
          <w:sz w:val="17"/>
        </w:rPr>
        <w:t xml:space="preserve"> 8080 = Landing Page Dashboard (Flask)</w:t>
        <w:br/>
        <w:t xml:space="preserve"> 5000 = Genomics Portal (Flask)</w:t>
        <w:br/>
        <w:t xml:space="preserve"> 5001 = RAG/Chat API (Flask/FastAPI)</w:t>
        <w:br/>
        <w:t xml:space="preserve"> 8501 = RAG Chat UI (Streamlit)</w:t>
        <w:br/>
        <w:t xml:space="preserve"> 8505 = Drug Discovery UI (Streamlit)</w:t>
        <w:br/>
        <w:t xml:space="preserve"> 8510 = Discovery Portal (Streamlit)</w:t>
        <w:br/>
        <w:t xml:space="preserve"> 8521 = CAR-T Intelligence Agent (Streamlit)</w:t>
        <w:br/>
        <w:t>19530 = Milvus Vector Database</w:t>
        <w:br/>
        <w:t xml:space="preserve"> 8000 = Attu (Milvus Admin UI)</w:t>
        <w:br/>
        <w:t xml:space="preserve"> 8001 = MolMIM NIM (BioNeMo)</w:t>
        <w:br/>
        <w:t xml:space="preserve"> 8002 = DiffDock NIM (BioNeMo)</w:t>
        <w:br/>
        <w:t xml:space="preserve"> 3000 = Grafana Dashboard</w:t>
        <w:br/>
        <w:t xml:space="preserve"> 9099 = Prometheus</w:t>
        <w:br/>
        <w:t xml:space="preserve"> 9100 = Node Exporter</w:t>
        <w:br/>
        <w:t xml:space="preserve"> 9400 = DCGM GPU Exporter</w:t>
      </w:r>
    </w:p>
    <w:p>
      <w:pPr>
        <w:pStyle w:val="Heading3"/>
      </w:pPr>
      <w:r>
        <w:t>Appendix D: Software Dependencies</w:t>
      </w:r>
    </w:p>
    <w:p>
      <w:pPr>
        <w:jc w:val="center"/>
      </w:pPr>
      <w:r>
        <w:rPr>
          <w:b/>
        </w:rPr>
        <w:t>Shared Across Pipelines:</w:t>
      </w:r>
    </w:p>
    <w:p>
      <w:pPr>
        <w:pStyle w:val="ListBullet"/>
      </w:pPr>
      <w:r>
        <w:t>Python 3.10+, pydantic 2.12+, loguru 0.7+, python-dotenv 1.2+</w:t>
      </w:r>
    </w:p>
    <w:p>
      <w:pPr>
        <w:pStyle w:val="ListBullet"/>
      </w:pPr>
      <w:r>
        <w:t>pymilvus 2.6+, sentence-transformers 5.2+, torch 2.9+</w:t>
      </w:r>
    </w:p>
    <w:p>
      <w:pPr>
        <w:pStyle w:val="ListBullet"/>
      </w:pPr>
      <w:r>
        <w:t>anthropic 0.75+, streamlit 1.52+</w:t>
      </w:r>
    </w:p>
    <w:p>
      <w:pPr>
        <w:pStyle w:val="ListBullet"/>
      </w:pPr>
      <w:r>
        <w:t>Flask 3.1+, Flask-CORS 6.0+</w:t>
      </w:r>
    </w:p>
    <w:p>
      <w:pPr>
        <w:jc w:val="center"/>
      </w:pPr>
      <w:r>
        <w:rPr>
          <w:b/>
        </w:rPr>
        <w:t>Genomics-Specific:</w:t>
      </w:r>
    </w:p>
    <w:p>
      <w:pPr>
        <w:pStyle w:val="ListBullet"/>
      </w:pPr>
      <w:r>
        <w:t>Docker 20.10+, NVIDIA Container Runtime</w:t>
      </w:r>
    </w:p>
    <w:p>
      <w:pPr>
        <w:pStyle w:val="ListBullet"/>
      </w:pPr>
      <w:r>
        <w:t>nvcr.io/nvidia/clara/clara-parabricks:4.6.0-1</w:t>
      </w:r>
    </w:p>
    <w:p>
      <w:pPr>
        <w:pStyle w:val="ListBullet"/>
      </w:pPr>
      <w:r>
        <w:t>psutil 7.2+, pynvml 13.0+</w:t>
      </w:r>
    </w:p>
    <w:p>
      <w:pPr>
        <w:jc w:val="center"/>
      </w:pPr>
      <w:r>
        <w:rPr>
          <w:b/>
        </w:rPr>
        <w:t>RAG-Specific:</w:t>
      </w:r>
    </w:p>
    <w:p>
      <w:pPr>
        <w:pStyle w:val="ListBullet"/>
      </w:pPr>
      <w:r>
        <w:t>cyvcf2 0.31+, pysam 0.23+ (VCF processing)</w:t>
      </w:r>
    </w:p>
    <w:p>
      <w:pPr>
        <w:pStyle w:val="ListBullet"/>
      </w:pPr>
      <w:r>
        <w:t>openai 2.15+ (multi-provider support)</w:t>
      </w:r>
    </w:p>
    <w:p>
      <w:pPr>
        <w:pStyle w:val="ListBullet"/>
      </w:pPr>
      <w:r>
        <w:t>fastapi 0.128+, uvicorn 0.40+ (API server)</w:t>
      </w:r>
    </w:p>
    <w:p>
      <w:pPr>
        <w:jc w:val="center"/>
      </w:pPr>
      <w:r>
        <w:rPr>
          <w:b/>
        </w:rPr>
        <w:t>CAR-T-Specific:</w:t>
      </w:r>
    </w:p>
    <w:p>
      <w:pPr>
        <w:pStyle w:val="ListBullet"/>
      </w:pPr>
      <w:r>
        <w:t>reportlab 4.4+ (PDF export)</w:t>
      </w:r>
    </w:p>
    <w:p>
      <w:pPr>
        <w:jc w:val="center"/>
      </w:pPr>
      <w:r>
        <w:rPr>
          <w:b/>
        </w:rPr>
        <w:t>Drug Discovery-Specific:</w:t>
      </w:r>
    </w:p>
    <w:p>
      <w:pPr>
        <w:pStyle w:val="ListBullet"/>
      </w:pPr>
      <w:r>
        <w:t>rdkit 2025.9+ (chemistry toolkit)</w:t>
      </w:r>
    </w:p>
    <w:p>
      <w:pPr>
        <w:pStyle w:val="ListBullet"/>
      </w:pPr>
      <w:r>
        <w:t>typer 0.21+, rich 14.2+ (CLI)</w:t>
      </w:r>
    </w:p>
    <w:p>
      <w:pPr>
        <w:pStyle w:val="ListBullet"/>
      </w:pPr>
      <w:r>
        <w:t>stmol 0.0.9+, py3Dmol 2.5+ (3D molecular viewer)</w:t>
      </w:r>
    </w:p>
    <w:p>
      <w:pPr>
        <w:pStyle w:val="ListBullet"/>
      </w:pPr>
      <w:r>
        <w:t>pillow 12.1+ (image processing)</w:t>
      </w:r>
    </w:p>
    <w:p>
      <w:pPr>
        <w:spacing w:before="120" w:after="120"/>
        <w:pBdr>
          <w:bottom w:val="single" w:sz="4" w:space="1" w:color="76B900"/>
        </w:pBdr>
      </w:pPr>
    </w:p>
    <w:p>
      <w:r>
        <w:rPr>
          <w:i/>
        </w:rPr>
        <w:t>This paper describes the HCLS AI Factory as of February 2026. The system is open-source under Apache 2.0 license.</w:t>
      </w:r>
    </w:p>
    <w:p>
      <w:r>
        <w:rPr>
          <w:i/>
        </w:rPr>
        <w:t>Correspondence: Adam Jones, HCLS AI Factory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76B900"/>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4"/>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1A2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