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Single-Cell Intelligence Agent -- Learning Guide: Advanced Topics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pPr>
        <w:pStyle w:val="Heading1"/>
      </w:pPr>
      <w:r>
        <w:t>1. TME Classification: Deep Dive</w:t>
      </w:r>
    </w:p>
    <w:p>
      <w:pPr>
        <w:pStyle w:val="Heading2"/>
      </w:pPr>
      <w:r>
        <w:t>1.1 The Four Immunophenotypes</w:t>
      </w:r>
    </w:p>
    <w:p>
      <w:r>
        <w:t>Tumor microenvironment classification is central to immunotherapy patient selection. The field has converged on four canonical phenotypes, each with distinct cellular composition, spatial organization, and therapeutic implications.</w:t>
      </w:r>
    </w:p>
    <w:p>
      <w:r>
        <w:t>#### Hot-Inflamed TME</w:t>
      </w:r>
    </w:p>
    <w:p>
      <w:r/>
      <w:r>
        <w:rPr>
          <w:b/>
        </w:rPr>
        <w:t>Cellular hallmarks:</w:t>
      </w:r>
      <w:r/>
    </w:p>
    <w:p>
      <w:pPr>
        <w:pStyle w:val="ListBullet"/>
      </w:pPr>
      <w:r>
        <w:t>CD8+ T cells &gt; 15% of total cells</w:t>
      </w:r>
    </w:p>
    <w:p>
      <w:pPr>
        <w:pStyle w:val="ListBullet"/>
      </w:pPr>
      <w:r>
        <w:t>Active cytotoxic gene program (GZMB+, PRF1+, IFNG+)</w:t>
      </w:r>
    </w:p>
    <w:p>
      <w:pPr>
        <w:pStyle w:val="ListBullet"/>
      </w:pPr>
      <w:r>
        <w:t>PD-L1 expression on tumor and immune cells</w:t>
      </w:r>
    </w:p>
    <w:p>
      <w:pPr>
        <w:pStyle w:val="ListBullet"/>
      </w:pPr>
      <w:r>
        <w:t>Tertiary lymphoid structures may be present</w:t>
      </w:r>
    </w:p>
    <w:p>
      <w:r/>
      <w:r>
        <w:rPr>
          <w:b/>
        </w:rPr>
        <w:t>Molecular signatures:</w:t>
      </w:r>
      <w:r/>
    </w:p>
    <w:p>
      <w:pPr>
        <w:pStyle w:val="ListBullet"/>
      </w:pPr>
      <w:r>
        <w:t>Interferon-gamma signaling: STAT1, IRF1, CXCL9, CXCL10, CXCL11</w:t>
      </w:r>
    </w:p>
    <w:p>
      <w:pPr>
        <w:pStyle w:val="ListBullet"/>
      </w:pPr>
      <w:r>
        <w:t>Cytotoxic effector program: GZMA, GZMB, PRF1, GNLY, NKG7</w:t>
      </w:r>
    </w:p>
    <w:p>
      <w:pPr>
        <w:pStyle w:val="ListBullet"/>
      </w:pPr>
      <w:r>
        <w:t>Antigen presentation: HLA-A, HLA-B, HLA-C, B2M, TAP1, TAP2</w:t>
      </w:r>
    </w:p>
    <w:p>
      <w:r/>
      <w:r>
        <w:rPr>
          <w:b/>
        </w:rPr>
        <w:t>Clinical implication:</w:t>
      </w:r>
      <w:r>
        <w:t xml:space="preserve"> Strong candidate for checkpoint inhibitor monotherapy. Response rates: 30-50% for anti-PD-1/PD-L1.</w:t>
      </w:r>
    </w:p>
    <w:p>
      <w:r>
        <w:t>#### Cold-Desert TME</w:t>
      </w:r>
    </w:p>
    <w:p>
      <w:r/>
      <w:r>
        <w:rPr>
          <w:b/>
        </w:rPr>
        <w:t>Cellular hallmarks:</w:t>
      </w:r>
      <w:r/>
    </w:p>
    <w:p>
      <w:pPr>
        <w:pStyle w:val="ListBullet"/>
      </w:pPr>
      <w:r>
        <w:t>Total immune infiltrate &lt; 10% of cells</w:t>
      </w:r>
    </w:p>
    <w:p>
      <w:pPr>
        <w:pStyle w:val="ListBullet"/>
      </w:pPr>
      <w:r>
        <w:t>Minimal T cell presence (&lt; 2% CD8+)</w:t>
      </w:r>
    </w:p>
    <w:p>
      <w:pPr>
        <w:pStyle w:val="ListBullet"/>
      </w:pPr>
      <w:r>
        <w:t>Low neoantigen load (low TMB)</w:t>
      </w:r>
    </w:p>
    <w:p>
      <w:pPr>
        <w:pStyle w:val="ListBullet"/>
      </w:pPr>
      <w:r>
        <w:t>No tertiary lymphoid structures</w:t>
      </w:r>
    </w:p>
    <w:p>
      <w:r/>
      <w:r>
        <w:rPr>
          <w:b/>
        </w:rPr>
        <w:t>Molecular signatures:</w:t>
      </w:r>
      <w:r/>
    </w:p>
    <w:p>
      <w:pPr>
        <w:pStyle w:val="ListBullet"/>
      </w:pPr>
      <w:r>
        <w:t>Absent IFN-gamma signaling</w:t>
      </w:r>
    </w:p>
    <w:p>
      <w:pPr>
        <w:pStyle w:val="ListBullet"/>
      </w:pPr>
      <w:r>
        <w:t>Low MHC class I expression</w:t>
      </w:r>
    </w:p>
    <w:p>
      <w:pPr>
        <w:pStyle w:val="ListBullet"/>
      </w:pPr>
      <w:r>
        <w:t>Active Wnt/beta-catenin signaling (immune exclusion)</w:t>
      </w:r>
    </w:p>
    <w:p>
      <w:pPr>
        <w:pStyle w:val="ListBullet"/>
      </w:pPr>
      <w:r>
        <w:t>PTEN loss (PI3K pathway activation)</w:t>
      </w:r>
    </w:p>
    <w:p>
      <w:r/>
      <w:r>
        <w:rPr>
          <w:b/>
        </w:rPr>
        <w:t>Clinical implication:</w:t>
      </w:r>
      <w:r>
        <w:t xml:space="preserve"> Checkpoint inhibitors alone are ineffective. Requires immune priming:</w:t>
      </w:r>
    </w:p>
    <w:p>
      <w:pPr>
        <w:pStyle w:val="ListBullet"/>
      </w:pPr>
      <w:r>
        <w:t>Oncolytic virus (T-VEC) to induce immunogenic cell death</w:t>
      </w:r>
    </w:p>
    <w:p>
      <w:pPr>
        <w:pStyle w:val="ListBullet"/>
      </w:pPr>
      <w:r>
        <w:t>STING agonist to activate innate immunity</w:t>
      </w:r>
    </w:p>
    <w:p>
      <w:pPr>
        <w:pStyle w:val="ListBullet"/>
      </w:pPr>
      <w:r>
        <w:t>Radiation therapy for abscopal effect</w:t>
      </w:r>
    </w:p>
    <w:p>
      <w:pPr>
        <w:pStyle w:val="ListBullet"/>
      </w:pPr>
      <w:r>
        <w:t>Bispecific T-cell engagers (BiTEs) to bypass recruitment defect</w:t>
      </w:r>
    </w:p>
    <w:p>
      <w:r>
        <w:t>#### Excluded TME</w:t>
      </w:r>
    </w:p>
    <w:p>
      <w:r/>
      <w:r>
        <w:rPr>
          <w:b/>
        </w:rPr>
        <w:t>Cellular hallmarks:</w:t>
      </w:r>
      <w:r/>
    </w:p>
    <w:p>
      <w:pPr>
        <w:pStyle w:val="ListBullet"/>
      </w:pPr>
      <w:r>
        <w:t>Immune cells present at tumor margin but excluded from core</w:t>
      </w:r>
    </w:p>
    <w:p>
      <w:pPr>
        <w:pStyle w:val="ListBullet"/>
      </w:pPr>
      <w:r>
        <w:t>Dense stromal barrier (fibroblasts, CAFs, myofibroblasts)</w:t>
      </w:r>
    </w:p>
    <w:p>
      <w:pPr>
        <w:pStyle w:val="ListBullet"/>
      </w:pPr>
      <w:r>
        <w:t>Immune cells "stuck" at the invasive front</w:t>
      </w:r>
    </w:p>
    <w:p>
      <w:pPr>
        <w:pStyle w:val="ListBullet"/>
      </w:pPr>
      <w:r>
        <w:t>Angiogenic vasculature without immune migration signals</w:t>
      </w:r>
    </w:p>
    <w:p>
      <w:r/>
      <w:r>
        <w:rPr>
          <w:b/>
        </w:rPr>
        <w:t>Molecular signatures:</w:t>
      </w:r>
      <w:r/>
    </w:p>
    <w:p>
      <w:pPr>
        <w:pStyle w:val="ListBullet"/>
      </w:pPr>
      <w:r>
        <w:t>TGF-beta signaling: TGFB1, TGFB2, SMAD2, SMAD3</w:t>
      </w:r>
    </w:p>
    <w:p>
      <w:pPr>
        <w:pStyle w:val="ListBullet"/>
      </w:pPr>
      <w:r>
        <w:t>Stromal activation: COL1A1, COL1A2, FN1, POSTN</w:t>
      </w:r>
    </w:p>
    <w:p>
      <w:pPr>
        <w:pStyle w:val="ListBullet"/>
      </w:pPr>
      <w:r>
        <w:t>CXCL12/CXCR4 axis (immune cell trapping)</w:t>
      </w:r>
    </w:p>
    <w:p>
      <w:pPr>
        <w:pStyle w:val="ListBullet"/>
      </w:pPr>
      <w:r>
        <w:t>VEGF-driven angiogenesis without CXCL9/10 chemokines</w:t>
      </w:r>
    </w:p>
    <w:p>
      <w:r/>
      <w:r>
        <w:rPr>
          <w:b/>
        </w:rPr>
        <w:t>Clinical implication:</w:t>
      </w:r>
      <w:r>
        <w:t xml:space="preserve"> Target the stromal barrier:</w:t>
      </w:r>
    </w:p>
    <w:p>
      <w:pPr>
        <w:pStyle w:val="ListBullet"/>
      </w:pPr>
      <w:r>
        <w:t>Anti-TGF-beta (bintrafusp alfa) to reduce fibrosis</w:t>
      </w:r>
    </w:p>
    <w:p>
      <w:pPr>
        <w:pStyle w:val="ListBullet"/>
      </w:pPr>
      <w:r>
        <w:t>Anti-VEGF + anti-PD-L1 combination (atezolizumab + bevacizumab)</w:t>
      </w:r>
    </w:p>
    <w:p>
      <w:pPr>
        <w:pStyle w:val="ListBullet"/>
      </w:pPr>
      <w:r>
        <w:t>FAK inhibitors to disrupt stromal architecture</w:t>
      </w:r>
    </w:p>
    <w:p>
      <w:pPr>
        <w:pStyle w:val="ListBullet"/>
      </w:pPr>
      <w:r>
        <w:t>Anti-CXCR4 to release trapped immune cells</w:t>
      </w:r>
    </w:p>
    <w:p>
      <w:r>
        <w:t>#### Immunosuppressive TME</w:t>
      </w:r>
    </w:p>
    <w:p>
      <w:r/>
      <w:r>
        <w:rPr>
          <w:b/>
        </w:rPr>
        <w:t>Cellular hallmarks:</w:t>
      </w:r>
      <w:r/>
    </w:p>
    <w:p>
      <w:pPr>
        <w:pStyle w:val="ListBullet"/>
      </w:pPr>
      <w:r>
        <w:t>Immune cells present and infiltrating but functionally suppressed</w:t>
      </w:r>
    </w:p>
    <w:p>
      <w:pPr>
        <w:pStyle w:val="ListBullet"/>
      </w:pPr>
      <w:r>
        <w:t>High regulatory T cell (Treg) fraction (&gt; 10%)</w:t>
      </w:r>
    </w:p>
    <w:p>
      <w:pPr>
        <w:pStyle w:val="ListBullet"/>
      </w:pPr>
      <w:r>
        <w:t>M2-polarized macrophages dominant</w:t>
      </w:r>
    </w:p>
    <w:p>
      <w:pPr>
        <w:pStyle w:val="ListBullet"/>
      </w:pPr>
      <w:r>
        <w:t>Myeloid-derived suppressor cells (MDSCs) present</w:t>
      </w:r>
    </w:p>
    <w:p>
      <w:r/>
      <w:r>
        <w:rPr>
          <w:b/>
        </w:rPr>
        <w:t>Molecular signatures:</w:t>
      </w:r>
      <w:r/>
    </w:p>
    <w:p>
      <w:pPr>
        <w:pStyle w:val="ListBullet"/>
      </w:pPr>
      <w:r>
        <w:t>Immunosuppressive cytokines: IL-10, TGF-beta, IL-35</w:t>
      </w:r>
    </w:p>
    <w:p>
      <w:pPr>
        <w:pStyle w:val="ListBullet"/>
      </w:pPr>
      <w:r>
        <w:t>Metabolic suppression: IDO1, ARG1, NOS2 (tryptophan/arginine depletion)</w:t>
      </w:r>
    </w:p>
    <w:p>
      <w:pPr>
        <w:pStyle w:val="ListBullet"/>
      </w:pPr>
      <w:r>
        <w:t>Exhaustion markers on T cells: LAG3, TIM3/HAVCR2, TIGIT, TOX</w:t>
      </w:r>
    </w:p>
    <w:p>
      <w:pPr>
        <w:pStyle w:val="ListBullet"/>
      </w:pPr>
      <w:r>
        <w:t>Checkpoint overexpression: CTLA-4, PD-1 on T cells; PD-L1, PD-L2 on myeloid</w:t>
      </w:r>
    </w:p>
    <w:p>
      <w:r/>
      <w:r>
        <w:rPr>
          <w:b/>
        </w:rPr>
        <w:t>Clinical implication:</w:t>
      </w:r>
      <w:r>
        <w:t xml:space="preserve"> Multi-pronged approach:</w:t>
      </w:r>
    </w:p>
    <w:p>
      <w:pPr>
        <w:pStyle w:val="ListBullet"/>
      </w:pPr>
      <w:r>
        <w:t>Dual checkpoint (anti-PD-1 + anti-CTLA-4)</w:t>
      </w:r>
    </w:p>
    <w:p>
      <w:pPr>
        <w:pStyle w:val="ListBullet"/>
      </w:pPr>
      <w:r>
        <w:t>Treg depletion (anti-CCR8, low-dose cyclophosphamide)</w:t>
      </w:r>
    </w:p>
    <w:p>
      <w:pPr>
        <w:pStyle w:val="ListBullet"/>
      </w:pPr>
      <w:r>
        <w:t>Macrophage reprogramming (CSF1R inhibitor)</w:t>
      </w:r>
    </w:p>
    <w:p>
      <w:pPr>
        <w:pStyle w:val="ListBullet"/>
      </w:pPr>
      <w:r>
        <w:t>MDSC differentiation (ATRA, HDAC inhibitor)</w:t>
      </w:r>
    </w:p>
    <w:p>
      <w:pPr>
        <w:pStyle w:val="Heading2"/>
      </w:pPr>
      <w:r>
        <w:t>1.2 Classification Algorithm</w:t>
      </w:r>
    </w:p>
    <w:p>
      <w:r>
        <w:t>The Single-Cell Intelligence Agent's TMEClassifier implements a hierarchical decision tree:</w:t>
      </w:r>
    </w:p>
    <w:p>
      <w:r>
        <w:t>Step 1: Spatial override</w:t>
      </w:r>
    </w:p>
    <w:p>
      <w:r>
        <w:t xml:space="preserve">  - "absent" + immune &lt; 0.05  --&gt;  COLD_DESERT</w:t>
      </w:r>
    </w:p>
    <w:p>
      <w:r>
        <w:t xml:space="preserve">  - "margin" + immune &gt; 0.05  --&gt;  EXCLUDED</w:t>
      </w:r>
    </w:p>
    <w:p/>
    <w:p>
      <w:r>
        <w:t>Step 2: Hot-inflamed check</w:t>
      </w:r>
    </w:p>
    <w:p>
      <w:r>
        <w:t xml:space="preserve">  - CD8 &gt;= 15% AND immune &gt;= 25%</w:t>
      </w:r>
    </w:p>
    <w:p>
      <w:r>
        <w:t xml:space="preserve">    - Suppressive &gt; 0.4  --&gt;  IMMUNOSUPPRESSIVE</w:t>
      </w:r>
    </w:p>
    <w:p>
      <w:r>
        <w:t xml:space="preserve">    - Otherwise           --&gt;  HOT_INFLAMED</w:t>
      </w:r>
    </w:p>
    <w:p/>
    <w:p>
      <w:r>
        <w:t>Step 3: Excluded check</w:t>
      </w:r>
    </w:p>
    <w:p>
      <w:r>
        <w:t xml:space="preserve">  - Immune &gt;= 10% AND stromal &gt; 20%  --&gt;  EXCLUDED</w:t>
      </w:r>
    </w:p>
    <w:p/>
    <w:p>
      <w:r>
        <w:t>Step 4: Immunosuppressive check</w:t>
      </w:r>
    </w:p>
    <w:p>
      <w:r>
        <w:t xml:space="preserve">  - Suppressive &gt; 0.3 AND immune &gt;= 10%  --&gt;  IMMUNOSUPPRESSIVE</w:t>
      </w:r>
    </w:p>
    <w:p/>
    <w:p>
      <w:r>
        <w:t>Step 5: Cold check</w:t>
      </w:r>
    </w:p>
    <w:p>
      <w:r>
        <w:t xml:space="preserve">  - Immune &lt; 10%  --&gt;  COLD_DESERT</w:t>
      </w:r>
    </w:p>
    <w:p/>
    <w:p>
      <w:r>
        <w:t>Step 6: PD-L1 rescue</w:t>
      </w:r>
    </w:p>
    <w:p>
      <w:r>
        <w:t xml:space="preserve">  - PD-L1 high AND CD8 &gt;= 5%  --&gt;  HOT_INFLAMED</w:t>
      </w:r>
    </w:p>
    <w:p/>
    <w:p>
      <w:r>
        <w:t>Default: COLD_DESERT</w:t>
      </w:r>
    </w:p>
    <w:p>
      <w:r>
        <w:t>The suppressive score is a weighted combination:</w:t>
      </w:r>
    </w:p>
    <w:p>
      <w:pPr>
        <w:pStyle w:val="ListBullet"/>
      </w:pPr>
      <w:r>
        <w:t>50%: suppressive cell fraction (Treg + MDSC + M2 macrophage) / 0.2</w:t>
      </w:r>
    </w:p>
    <w:p>
      <w:pPr>
        <w:pStyle w:val="ListBullet"/>
      </w:pPr>
      <w:r>
        <w:t>50%: suppressive gene score (IDO1, TGFB1, IL10, VEGFA, ARG1, NOS2)</w:t>
      </w:r>
    </w:p>
    <w:p>
      <w:pPr>
        <w:pStyle w:val="Heading2"/>
      </w:pPr>
      <w:r>
        <w:t>1.3 Evidence Levels for TME Classification</w:t>
      </w:r>
    </w:p>
    <w:p>
      <w:r>
        <w:t>| Evidence Available | Level | Confidence |</w:t>
      </w:r>
    </w:p>
    <w:p>
      <w:r>
        <w:t>|-------------------|-------|-----------|</w:t>
      </w:r>
    </w:p>
    <w:p>
      <w:r>
        <w:t>| Spatial context + PD-L1 TPS + scRNA-seq | STRONG | High |</w:t>
      </w:r>
    </w:p>
    <w:p>
      <w:r>
        <w:t>| PD-L1 TPS + scRNA-seq (no spatial) | MODERATE | Medium |</w:t>
      </w:r>
    </w:p>
    <w:p>
      <w:r>
        <w:t>| scRNA-seq only (no PD-L1, no spatial) | LIMITED | Low |</w:t>
      </w:r>
    </w:p>
    <w:p>
      <w:pPr>
        <w:pStyle w:val="Heading1"/>
      </w:pPr>
      <w:r>
        <w:t>2. Subclonal Architecture and Clonal Dynamics</w:t>
      </w:r>
    </w:p>
    <w:p>
      <w:pPr>
        <w:pStyle w:val="Heading2"/>
      </w:pPr>
      <w:r>
        <w:t>2.1 Why Subclones Matter</w:t>
      </w:r>
    </w:p>
    <w:p>
      <w:r>
        <w:t>Cancer is not a monolithic disease. A single tumor contains multiple subclonal populations, each with distinct:</w:t>
      </w:r>
    </w:p>
    <w:p>
      <w:pPr>
        <w:pStyle w:val="ListBullet"/>
      </w:pPr>
      <w:r>
        <w:t>Somatic mutation profiles (driver and passenger)</w:t>
      </w:r>
    </w:p>
    <w:p>
      <w:pPr>
        <w:pStyle w:val="ListBullet"/>
      </w:pPr>
      <w:r>
        <w:t>Copy number aberrations (gains, losses, LOH)</w:t>
      </w:r>
    </w:p>
    <w:p>
      <w:pPr>
        <w:pStyle w:val="ListBullet"/>
      </w:pPr>
      <w:r>
        <w:t>Transcriptomic programs (proliferation, invasion, immune evasion)</w:t>
      </w:r>
    </w:p>
    <w:p>
      <w:pPr>
        <w:pStyle w:val="ListBullet"/>
      </w:pPr>
      <w:r>
        <w:t>Drug sensitivity profiles</w:t>
      </w:r>
    </w:p>
    <w:p>
      <w:r>
        <w:t>Under therapeutic selective pressure, resistant subclones expand:</w:t>
      </w:r>
    </w:p>
    <w:p>
      <w:r>
        <w:t>Before Treatment:</w:t>
      </w:r>
    </w:p>
    <w:p>
      <w:r>
        <w:t xml:space="preserve">  Clone A (80%): Drug-sensitive, antigen+</w:t>
      </w:r>
    </w:p>
    <w:p>
      <w:r>
        <w:t xml:space="preserve">  Clone B (15%): Moderate sensitivity, antigen+</w:t>
      </w:r>
    </w:p>
    <w:p>
      <w:r>
        <w:t xml:space="preserve">  Clone C (5%):  Resistant, antigen-negative</w:t>
      </w:r>
    </w:p>
    <w:p/>
    <w:p>
      <w:r>
        <w:t>After 8 Weeks of CAR-T:</w:t>
      </w:r>
    </w:p>
    <w:p>
      <w:r>
        <w:t xml:space="preserve">  Clone A (5%):  Depleted by CAR-T</w:t>
      </w:r>
    </w:p>
    <w:p>
      <w:r>
        <w:t xml:space="preserve">  Clone B (20%): Partially depleted</w:t>
      </w:r>
    </w:p>
    <w:p>
      <w:r>
        <w:t xml:space="preserve">  Clone C (75%): Expanded (antigen escape)</w:t>
      </w:r>
    </w:p>
    <w:p>
      <w:pPr>
        <w:pStyle w:val="Heading2"/>
      </w:pPr>
      <w:r>
        <w:t>2.2 Single-Cell Subclonal Detection</w:t>
      </w:r>
    </w:p>
    <w:p>
      <w:r>
        <w:t>Methods for inferring subclonal architecture from scRNA-seq:</w:t>
      </w:r>
    </w:p>
    <w:p>
      <w:r>
        <w:t>| Method | Input | Output | Mechanism |</w:t>
      </w:r>
    </w:p>
    <w:p>
      <w:r>
        <w:t>|--------|-------|--------|-----------|</w:t>
      </w:r>
    </w:p>
    <w:p>
      <w:r>
        <w:t>| inferCNV | scRNA-seq expression | Clone-specific CNV profiles | Expression deviation from normal reference |</w:t>
      </w:r>
    </w:p>
    <w:p>
      <w:r>
        <w:t>| CopyKAT | scRNA-seq expression | Aneuploid/diploid classification | Bayesian segmentation |</w:t>
      </w:r>
    </w:p>
    <w:p>
      <w:r>
        <w:t>| Numbat | scRNA-seq + genotype | Haplotype-aware CNV + clone tree | Allele-specific expression |</w:t>
      </w:r>
    </w:p>
    <w:p>
      <w:r>
        <w:t>| clonealign | scRNA-seq + scDNA-seq | Clone-to-transcriptome mapping | Statistical alignment |</w:t>
      </w:r>
    </w:p>
    <w:p>
      <w:pPr>
        <w:pStyle w:val="Heading2"/>
      </w:pPr>
      <w:r>
        <w:t>2.3 Escape Risk Scoring</w:t>
      </w:r>
    </w:p>
    <w:p>
      <w:r>
        <w:t>The SubclonalRiskScorer evaluates four risk factors per clone:</w:t>
      </w:r>
    </w:p>
    <w:p>
      <w:r>
        <w:t>| Factor | Weight | Threshold |</w:t>
      </w:r>
    </w:p>
    <w:p>
      <w:r>
        <w:t>|--------|--------|-----------|</w:t>
      </w:r>
    </w:p>
    <w:p>
      <w:r>
        <w:t>| Antigen-negative (expression &lt; 0.1) | +0.4 | Binary flag |</w:t>
      </w:r>
    </w:p>
    <w:p>
      <w:r>
        <w:t>| Clone expanding | +0.2 | Boolean (serial samples) |</w:t>
      </w:r>
    </w:p>
    <w:p>
      <w:r>
        <w:t>| High proliferation index | up to +0.2 | Proportional to MKI67/TOP2A |</w:t>
      </w:r>
    </w:p>
    <w:p>
      <w:r>
        <w:t>| Resistance genes present | +0.05/gene (max +0.2) | Count of resistance-associated genes |</w:t>
      </w:r>
    </w:p>
    <w:p>
      <w:r/>
      <w:r>
        <w:rPr>
          <w:b/>
        </w:rPr>
        <w:t>Overall risk classification:</w:t>
      </w:r>
      <w:r/>
    </w:p>
    <w:p>
      <w:pPr>
        <w:pStyle w:val="ListBullet"/>
      </w:pPr>
      <w:r>
        <w:t>HIGH: antigen-negative fraction &gt; 10%</w:t>
      </w:r>
    </w:p>
    <w:p>
      <w:pPr>
        <w:pStyle w:val="ListBullet"/>
      </w:pPr>
      <w:r>
        <w:t>MEDIUM: antigen-negative &gt; 3% or any individual clone at HIGH risk</w:t>
      </w:r>
    </w:p>
    <w:p>
      <w:pPr>
        <w:pStyle w:val="ListBullet"/>
      </w:pPr>
      <w:r>
        <w:t>LOW: all clones below thresholds</w:t>
      </w:r>
    </w:p>
    <w:p>
      <w:r/>
      <w:r>
        <w:rPr>
          <w:b/>
        </w:rPr>
        <w:t>Timeline estimation:</w:t>
      </w:r>
      <w:r/>
    </w:p>
    <w:p>
      <w:r>
        <w:t>Using exponential growth: `t = T_doubling * log2(0.5 / current_fraction)`</w:t>
      </w:r>
    </w:p>
    <w:p>
      <w:r>
        <w:t>Example: If antigen-negative fraction is 5% and tumor doubling time is 14 days:</w:t>
      </w:r>
    </w:p>
    <w:p>
      <w:pPr>
        <w:pStyle w:val="ListBullet"/>
      </w:pPr>
      <w:r>
        <w:t>`t = 14 * log2(0.5 / 0.05) = 14 * 3.32 = 46.5 days` to reach 50% dominance</w:t>
      </w:r>
    </w:p>
    <w:p>
      <w:pPr>
        <w:pStyle w:val="Heading1"/>
      </w:pPr>
      <w:r>
        <w:t>3. Spatial Transcriptomics</w:t>
      </w:r>
    </w:p>
    <w:p>
      <w:pPr>
        <w:pStyle w:val="Heading2"/>
      </w:pPr>
      <w:r>
        <w:t>3.1 Technology Landscape</w:t>
      </w:r>
    </w:p>
    <w:p>
      <w:r>
        <w:t>Spatial transcriptomics preserves the physical location of gene expression measurements within tissue:</w:t>
      </w:r>
    </w:p>
    <w:p>
      <w:r>
        <w:t>#### Visium (10x Genomics)</w:t>
      </w:r>
    </w:p>
    <w:p>
      <w:pPr>
        <w:pStyle w:val="ListBullet"/>
      </w:pPr>
      <w:r>
        <w:t>**Resolution:** 55-micron spots (5-10 cells per spot)</w:t>
      </w:r>
    </w:p>
    <w:p>
      <w:pPr>
        <w:pStyle w:val="ListBullet"/>
      </w:pPr>
      <w:r>
        <w:t>**Coverage:** Whole transcriptome (~20,000 genes)</w:t>
      </w:r>
    </w:p>
    <w:p>
      <w:pPr>
        <w:pStyle w:val="ListBullet"/>
      </w:pPr>
      <w:r>
        <w:t>**Tissue:** Fresh-frozen or FFPE</w:t>
      </w:r>
    </w:p>
    <w:p>
      <w:pPr>
        <w:pStyle w:val="ListBullet"/>
      </w:pPr>
      <w:r>
        <w:t>**Workflow:** Tissue on barcoded slide -&gt; permeabilization -&gt; mRNA capture -&gt; sequencing</w:t>
      </w:r>
    </w:p>
    <w:p>
      <w:pPr>
        <w:pStyle w:val="ListBullet"/>
      </w:pPr>
      <w:r>
        <w:t>**Analysis:** Requires computational deconvolution (cell2location, RCTD) to resolve cell types within spots</w:t>
      </w:r>
    </w:p>
    <w:p>
      <w:r>
        <w:t>#### MERFISH (Vizgen)</w:t>
      </w:r>
    </w:p>
    <w:p>
      <w:pPr>
        <w:pStyle w:val="ListBullet"/>
      </w:pPr>
      <w:r>
        <w:t>**Resolution:** Subcellular (individual transcripts)</w:t>
      </w:r>
    </w:p>
    <w:p>
      <w:pPr>
        <w:pStyle w:val="ListBullet"/>
      </w:pPr>
      <w:r>
        <w:t>**Coverage:** 100-500 gene panel (custom design)</w:t>
      </w:r>
    </w:p>
    <w:p>
      <w:pPr>
        <w:pStyle w:val="ListBullet"/>
      </w:pPr>
      <w:r>
        <w:t>**Tissue:** Fresh-frozen</w:t>
      </w:r>
    </w:p>
    <w:p>
      <w:pPr>
        <w:pStyle w:val="ListBullet"/>
      </w:pPr>
      <w:r>
        <w:t>**Workflow:** Tissue on slide -&gt; sequential rounds of hybridization + imaging</w:t>
      </w:r>
    </w:p>
    <w:p>
      <w:pPr>
        <w:pStyle w:val="ListBullet"/>
      </w:pPr>
      <w:r>
        <w:t>**Analysis:** Direct cell segmentation and gene assignment</w:t>
      </w:r>
    </w:p>
    <w:p>
      <w:r>
        <w:t>#### Xenium (10x Genomics)</w:t>
      </w:r>
    </w:p>
    <w:p>
      <w:pPr>
        <w:pStyle w:val="ListBullet"/>
      </w:pPr>
      <w:r>
        <w:t>**Resolution:** Subcellular</w:t>
      </w:r>
    </w:p>
    <w:p>
      <w:pPr>
        <w:pStyle w:val="ListBullet"/>
      </w:pPr>
      <w:r>
        <w:t>**Coverage:** 100-5,000 gene panel (expanding)</w:t>
      </w:r>
    </w:p>
    <w:p>
      <w:pPr>
        <w:pStyle w:val="ListBullet"/>
      </w:pPr>
      <w:r>
        <w:t>**Tissue:** Fresh-frozen or FFPE</w:t>
      </w:r>
    </w:p>
    <w:p>
      <w:pPr>
        <w:pStyle w:val="ListBullet"/>
      </w:pPr>
      <w:r>
        <w:t>**Workflow:** In situ padlock probe hybridization + rolling circle amplification</w:t>
      </w:r>
    </w:p>
    <w:p>
      <w:pPr>
        <w:pStyle w:val="ListBullet"/>
      </w:pPr>
      <w:r>
        <w:t>**Analysis:** Cell segmentation -&gt; direct transcript counting per cell</w:t>
      </w:r>
    </w:p>
    <w:p>
      <w:r>
        <w:t>#### CODEX (Akoya)</w:t>
      </w:r>
    </w:p>
    <w:p>
      <w:pPr>
        <w:pStyle w:val="ListBullet"/>
      </w:pPr>
      <w:r>
        <w:t>**Resolution:** Single cell</w:t>
      </w:r>
    </w:p>
    <w:p>
      <w:pPr>
        <w:pStyle w:val="ListBullet"/>
      </w:pPr>
      <w:r>
        <w:t>**Coverage:** 40-60 proteins (antibody panel)</w:t>
      </w:r>
    </w:p>
    <w:p>
      <w:pPr>
        <w:pStyle w:val="ListBullet"/>
      </w:pPr>
      <w:r>
        <w:t>**Tissue:** FFPE or fresh-frozen</w:t>
      </w:r>
    </w:p>
    <w:p>
      <w:pPr>
        <w:pStyle w:val="ListBullet"/>
      </w:pPr>
      <w:r>
        <w:t>**Workflow:** Sequential antibody staining + fluorescence imaging</w:t>
      </w:r>
    </w:p>
    <w:p>
      <w:pPr>
        <w:pStyle w:val="ListBullet"/>
      </w:pPr>
      <w:r>
        <w:t>**Analysis:** Protein co-expression -&gt; cell typing</w:t>
      </w:r>
    </w:p>
    <w:p>
      <w:pPr>
        <w:pStyle w:val="Heading2"/>
      </w:pPr>
      <w:r>
        <w:t>3.2 Spatial Analysis Methods</w:t>
      </w:r>
    </w:p>
    <w:p>
      <w:r>
        <w:t>| Analysis | Method | What It Reveals |</w:t>
      </w:r>
    </w:p>
    <w:p>
      <w:r>
        <w:t>|----------|--------|----------------|</w:t>
      </w:r>
    </w:p>
    <w:p>
      <w:r>
        <w:t>| Spatial autocorrelation | Moran's I | Genes with spatially structured expression |</w:t>
      </w:r>
    </w:p>
    <w:p>
      <w:r>
        <w:t>| Niche identification | Cell neighborhood analysis | Co-occurring cell type combinations |</w:t>
      </w:r>
    </w:p>
    <w:p>
      <w:r>
        <w:t>| Cell-cell proximity | Pairwise distance analysis | Which cell types are physically adjacent |</w:t>
      </w:r>
    </w:p>
    <w:p>
      <w:r>
        <w:t>| Spatial deconvolution | cell2location, RCTD | Cell type composition of Visium spots |</w:t>
      </w:r>
    </w:p>
    <w:p>
      <w:r>
        <w:t>| Tissue segmentation | Histological features + expression | Tumor vs. stroma vs. necrosis regions |</w:t>
      </w:r>
    </w:p>
    <w:p>
      <w:r>
        <w:t>| Spatial communication | MISTy, SpaTalk | Location-aware ligand-receptor analysis |</w:t>
      </w:r>
    </w:p>
    <w:p>
      <w:pPr>
        <w:pStyle w:val="Heading2"/>
      </w:pPr>
      <w:r>
        <w:t>3.3 Spatial Niches in Oncology</w:t>
      </w:r>
    </w:p>
    <w:p>
      <w:r>
        <w:t>Clinically relevant spatial patterns:</w:t>
      </w:r>
    </w:p>
    <w:p>
      <w:r>
        <w:t>| Spatial Niche | Cell Types | Clinical Significance |</w:t>
      </w:r>
    </w:p>
    <w:p>
      <w:r>
        <w:t>|--------------|-----------|---------------------|</w:t>
      </w:r>
    </w:p>
    <w:p>
      <w:r>
        <w:t>| Tumor-immune interface | CD8+ T, tumor, DC | Active immune surveillance, checkpoint response |</w:t>
      </w:r>
    </w:p>
    <w:p>
      <w:r>
        <w:t>| Tertiary lymphoid structure | B cell, T cell, FDC | Positive prognosis, improved immunotherapy response |</w:t>
      </w:r>
    </w:p>
    <w:p>
      <w:r>
        <w:t>| Fibrotic barrier | CAF, myofibroblast | Immune exclusion, anti-TGFb target |</w:t>
      </w:r>
    </w:p>
    <w:p>
      <w:r>
        <w:t>| Hypoxic core | Tumor, few immune | Radioresistance, angiogenesis driver |</w:t>
      </w:r>
    </w:p>
    <w:p>
      <w:r>
        <w:t>| Perivascular niche | Endothelial, pericyte, tumor | Metastatic dissemination route |</w:t>
      </w:r>
    </w:p>
    <w:p>
      <w:r>
        <w:t>| Necrotic zone | Dead/dying cells | Antigen release, DAMP signaling |</w:t>
      </w:r>
    </w:p>
    <w:p>
      <w:pPr>
        <w:pStyle w:val="Heading1"/>
      </w:pPr>
      <w:r>
        <w:t>4. Trajectory Inference</w:t>
      </w:r>
    </w:p>
    <w:p>
      <w:pPr>
        <w:pStyle w:val="Heading2"/>
      </w:pPr>
      <w:r>
        <w:t>4.1 What Are Cellular Trajectories?</w:t>
      </w:r>
    </w:p>
    <w:p>
      <w:r>
        <w:t>Single-cell snapshots capture cells at different stages of continuous processes (differentiation, activation, exhaustion). Trajectory inference algorithms order cells along these continuous paths in "pseudotime."</w:t>
      </w:r>
    </w:p>
    <w:p>
      <w:pPr>
        <w:pStyle w:val="Heading2"/>
      </w:pPr>
      <w:r>
        <w:t>4.2 Trajectory Types</w:t>
      </w:r>
    </w:p>
    <w:p>
      <w:r>
        <w:t>| Type | Start State | End State | Clinical Relevance |</w:t>
      </w:r>
    </w:p>
    <w:p>
      <w:r>
        <w:t>|------|-----------|----------|-------------------|</w:t>
      </w:r>
    </w:p>
    <w:p>
      <w:r>
        <w:t>| Differentiation | Progenitor/stem | Mature cell | HSC transplant engraftment |</w:t>
      </w:r>
    </w:p>
    <w:p>
      <w:r>
        <w:t>| Activation | Naive T cell | Effector T cell | Immune response quality |</w:t>
      </w:r>
    </w:p>
    <w:p>
      <w:r>
        <w:t>| Exhaustion | Effector T cell | Exhausted T cell (TOX+) | Checkpoint inhibitor response |</w:t>
      </w:r>
    </w:p>
    <w:p>
      <w:r>
        <w:t>| EMT | Epithelial | Mesenchymal | Metastatic potential |</w:t>
      </w:r>
    </w:p>
    <w:p>
      <w:r>
        <w:t>| Stemness | Differentiated tumor | Cancer stem cell | Treatment resistance |</w:t>
      </w:r>
    </w:p>
    <w:p>
      <w:r>
        <w:t>| Cell cycle | G1 | G2/M | Proliferation rate, chemo sensitivity |</w:t>
      </w:r>
    </w:p>
    <w:p>
      <w:pPr>
        <w:pStyle w:val="Heading2"/>
      </w:pPr>
      <w:r>
        <w:t>4.3 Trajectory Inference Methods</w:t>
      </w:r>
    </w:p>
    <w:p>
      <w:r>
        <w:t>| Method | Approach | Strengths | Key Paper |</w:t>
      </w:r>
    </w:p>
    <w:p>
      <w:r>
        <w:t>|--------|---------|----------|-----------|</w:t>
      </w:r>
    </w:p>
    <w:p>
      <w:r>
        <w:t>| Monocle3 | Principal graph | Handles branching, scalable | Cao et al., Nature 2019 |</w:t>
      </w:r>
    </w:p>
    <w:p>
      <w:r>
        <w:t>| PAGA | Partition-based | Robust, preserves topology | Wolf et al., Genome Biology 2019 |</w:t>
      </w:r>
    </w:p>
    <w:p>
      <w:r>
        <w:t>| RNA velocity (scVelo) | Spliced/unspliced ratios | Directionality without time series | Bergen et al., Nature Biotech 2020 |</w:t>
      </w:r>
    </w:p>
    <w:p>
      <w:r>
        <w:t>| Palantir | Diffusion maps | Probabilistic fate assignment | Setty et al., Nature Biotech 2019 |</w:t>
      </w:r>
    </w:p>
    <w:p>
      <w:r>
        <w:t>| CytoTRACE | Gene counts as proxy | Simple, no assumptions | Gulati et al., Science 2020 |</w:t>
      </w:r>
    </w:p>
    <w:p>
      <w:pPr>
        <w:pStyle w:val="Heading2"/>
      </w:pPr>
      <w:r>
        <w:t>4.4 RNA Velocity</w:t>
      </w:r>
    </w:p>
    <w:p>
      <w:r>
        <w:t>RNA velocity infers the direction and speed of gene expression change by comparing unspliced (nascent) and spliced (mature) mRNA:</w:t>
      </w:r>
    </w:p>
    <w:p>
      <w:pPr>
        <w:pStyle w:val="ListBullet"/>
      </w:pPr>
      <w:r>
        <w:t>**Positive velocity (unspliced &gt; expected):** Gene is being upregulated</w:t>
      </w:r>
    </w:p>
    <w:p>
      <w:pPr>
        <w:pStyle w:val="ListBullet"/>
      </w:pPr>
      <w:r>
        <w:t>**Negative velocity (unspliced &lt; expected):** Gene is being downregulated</w:t>
      </w:r>
    </w:p>
    <w:p>
      <w:pPr>
        <w:pStyle w:val="ListBullet"/>
      </w:pPr>
      <w:r>
        <w:t>**Zero velocity (equilibrium):** Gene is at steady state</w:t>
      </w:r>
    </w:p>
    <w:p>
      <w:r>
        <w:t>import scvelo as scv</w:t>
      </w:r>
    </w:p>
    <w:p/>
    <w:p>
      <w:r>
        <w:t># Load data with spliced/unspliced counts</w:t>
      </w:r>
    </w:p>
    <w:p>
      <w:r>
        <w:t>adata = scv.read("sample.h5ad")</w:t>
      </w:r>
    </w:p>
    <w:p/>
    <w:p>
      <w:r>
        <w:t># Compute velocity</w:t>
      </w:r>
    </w:p>
    <w:p>
      <w:r>
        <w:t>scv.pp.moments(adata)</w:t>
      </w:r>
    </w:p>
    <w:p>
      <w:r>
        <w:t>scv.tl.velocity(adata, mode='dynamical')</w:t>
      </w:r>
    </w:p>
    <w:p>
      <w:r>
        <w:t>scv.tl.velocity_graph(adata)</w:t>
      </w:r>
    </w:p>
    <w:p/>
    <w:p>
      <w:r>
        <w:t># Visualize on UMAP</w:t>
      </w:r>
    </w:p>
    <w:p>
      <w:r>
        <w:t>scv.pl.velocity_embedding_stream(adata)</w:t>
      </w:r>
    </w:p>
    <w:p>
      <w:pPr>
        <w:pStyle w:val="Heading1"/>
      </w:pPr>
      <w:r>
        <w:t>5. Foundation Models for Single-Cell Biology</w:t>
      </w:r>
    </w:p>
    <w:p>
      <w:pPr>
        <w:pStyle w:val="Heading2"/>
      </w:pPr>
      <w:r>
        <w:t>5.1 scGPT</w:t>
      </w:r>
    </w:p>
    <w:p>
      <w:r/>
      <w:r>
        <w:rPr>
          <w:b/>
        </w:rPr>
        <w:t>Architecture:</w:t>
      </w:r>
      <w:r>
        <w:t xml:space="preserve"> Transformer-based generative pre-trained model for single-cell data.</w:t>
      </w:r>
    </w:p>
    <w:p>
      <w:r/>
      <w:r>
        <w:rPr>
          <w:b/>
        </w:rPr>
        <w:t>Pre-training:</w:t>
      </w:r>
      <w:r>
        <w:t xml:space="preserve"> 33 million cells from CellxGene, trained on gene expression prediction using masked token modeling.</w:t>
      </w:r>
    </w:p>
    <w:p>
      <w:r/>
      <w:r>
        <w:rPr>
          <w:b/>
        </w:rPr>
        <w:t>Capabilities:</w:t>
      </w:r>
      <w:r/>
    </w:p>
    <w:p>
      <w:pPr>
        <w:pStyle w:val="ListBullet"/>
      </w:pPr>
      <w:r>
        <w:t>Zero-shot cell type annotation</w:t>
      </w:r>
    </w:p>
    <w:p>
      <w:pPr>
        <w:pStyle w:val="ListBullet"/>
      </w:pPr>
      <w:r>
        <w:t>Gene expression imputation</w:t>
      </w:r>
    </w:p>
    <w:p>
      <w:pPr>
        <w:pStyle w:val="ListBullet"/>
      </w:pPr>
      <w:r>
        <w:t>Perturbation response prediction</w:t>
      </w:r>
    </w:p>
    <w:p>
      <w:pPr>
        <w:pStyle w:val="ListBullet"/>
      </w:pPr>
      <w:r>
        <w:t>Multi-batch integration</w:t>
      </w:r>
    </w:p>
    <w:p>
      <w:pPr>
        <w:pStyle w:val="ListBullet"/>
      </w:pPr>
      <w:r>
        <w:t>Gene regulatory network inference</w:t>
      </w:r>
    </w:p>
    <w:p>
      <w:r/>
      <w:r>
        <w:rPr>
          <w:b/>
        </w:rPr>
        <w:t>Performance benchmarks (from Cui et al., Nature Methods 2024):</w:t>
      </w:r>
      <w:r/>
    </w:p>
    <w:p>
      <w:pPr>
        <w:pStyle w:val="ListBullet"/>
      </w:pPr>
      <w:r>
        <w:t>Cell type annotation: 93.5% accuracy (zero-shot on held-out datasets)</w:t>
      </w:r>
    </w:p>
    <w:p>
      <w:pPr>
        <w:pStyle w:val="ListBullet"/>
      </w:pPr>
      <w:r>
        <w:t>Batch integration: superior to scVI on 6/8 benchmarks</w:t>
      </w:r>
    </w:p>
    <w:p>
      <w:pPr>
        <w:pStyle w:val="ListBullet"/>
      </w:pPr>
      <w:r>
        <w:t>Perturbation prediction: R=0.85 correlation with observed perturbation effects</w:t>
      </w:r>
    </w:p>
    <w:p>
      <w:pPr>
        <w:pStyle w:val="Heading2"/>
      </w:pPr>
      <w:r>
        <w:t>5.2 Geneformer</w:t>
      </w:r>
    </w:p>
    <w:p>
      <w:r/>
      <w:r>
        <w:rPr>
          <w:b/>
        </w:rPr>
        <w:t>Architecture:</w:t>
      </w:r>
      <w:r>
        <w:t xml:space="preserve"> BERT-style transformer trained on gene expression rank order.</w:t>
      </w:r>
    </w:p>
    <w:p>
      <w:r/>
      <w:r>
        <w:rPr>
          <w:b/>
        </w:rPr>
        <w:t>Pre-training:</w:t>
      </w:r>
      <w:r>
        <w:t xml:space="preserve"> 30 million cells from public data, using attention-based gene embeddings.</w:t>
      </w:r>
    </w:p>
    <w:p>
      <w:r/>
      <w:r>
        <w:rPr>
          <w:b/>
        </w:rPr>
        <w:t>Key innovation:</w:t>
      </w:r>
      <w:r>
        <w:t xml:space="preserve"> Represents cells as ordered sequences of genes (ranked by expression), enabling transfer learning across tissues and species.</w:t>
      </w:r>
    </w:p>
    <w:p>
      <w:r/>
      <w:r>
        <w:rPr>
          <w:b/>
        </w:rPr>
        <w:t>Capabilities:</w:t>
      </w:r>
      <w:r/>
    </w:p>
    <w:p>
      <w:pPr>
        <w:pStyle w:val="ListBullet"/>
      </w:pPr>
      <w:r>
        <w:t>Context-aware gene function prediction</w:t>
      </w:r>
    </w:p>
    <w:p>
      <w:pPr>
        <w:pStyle w:val="ListBullet"/>
      </w:pPr>
      <w:r>
        <w:t>Disease state classification</w:t>
      </w:r>
    </w:p>
    <w:p>
      <w:pPr>
        <w:pStyle w:val="ListBullet"/>
      </w:pPr>
      <w:r>
        <w:t>Therapeutic target nomination</w:t>
      </w:r>
    </w:p>
    <w:p>
      <w:pPr>
        <w:pStyle w:val="ListBullet"/>
      </w:pPr>
      <w:r>
        <w:t>Dosage sensitivity prediction</w:t>
      </w:r>
    </w:p>
    <w:p>
      <w:r/>
      <w:r>
        <w:rPr>
          <w:b/>
        </w:rPr>
        <w:t>Performance (from Theodoris et al., Nature 2023):</w:t>
      </w:r>
      <w:r/>
    </w:p>
    <w:p>
      <w:pPr>
        <w:pStyle w:val="ListBullet"/>
      </w:pPr>
      <w:r>
        <w:t>Transfer learning accuracy: 85-95% across tissue types</w:t>
      </w:r>
    </w:p>
    <w:p>
      <w:pPr>
        <w:pStyle w:val="ListBullet"/>
      </w:pPr>
      <w:r>
        <w:t>Network biology prediction: improved over expression-based methods</w:t>
      </w:r>
    </w:p>
    <w:p>
      <w:pPr>
        <w:pStyle w:val="ListBullet"/>
      </w:pPr>
      <w:r>
        <w:t>Chromatin dynamics prediction: validated experimentally</w:t>
      </w:r>
    </w:p>
    <w:p>
      <w:pPr>
        <w:pStyle w:val="Heading2"/>
      </w:pPr>
      <w:r>
        <w:t>5.3 scFoundation</w:t>
      </w:r>
    </w:p>
    <w:p>
      <w:r/>
      <w:r>
        <w:rPr>
          <w:b/>
        </w:rPr>
        <w:t>Architecture:</w:t>
      </w:r>
      <w:r>
        <w:t xml:space="preserve"> Large-scale pre-trained model (100M+ parameters) for cell representation learning.</w:t>
      </w:r>
    </w:p>
    <w:p>
      <w:r/>
      <w:r>
        <w:rPr>
          <w:b/>
        </w:rPr>
        <w:t>Pre-training:</w:t>
      </w:r>
      <w:r>
        <w:t xml:space="preserve"> 50 million+ cells from diverse tissues and species.</w:t>
      </w:r>
    </w:p>
    <w:p>
      <w:r/>
      <w:r>
        <w:rPr>
          <w:b/>
        </w:rPr>
        <w:t>Capabilities:</w:t>
      </w:r>
      <w:r/>
    </w:p>
    <w:p>
      <w:pPr>
        <w:pStyle w:val="ListBullet"/>
      </w:pPr>
      <w:r>
        <w:t>Universal cell embeddings for cross-dataset integration</w:t>
      </w:r>
    </w:p>
    <w:p>
      <w:pPr>
        <w:pStyle w:val="ListBullet"/>
      </w:pPr>
      <w:r>
        <w:t>Drug response prediction</w:t>
      </w:r>
    </w:p>
    <w:p>
      <w:pPr>
        <w:pStyle w:val="ListBullet"/>
      </w:pPr>
      <w:r>
        <w:t>Cell fate prediction</w:t>
      </w:r>
    </w:p>
    <w:p>
      <w:pPr>
        <w:pStyle w:val="Heading2"/>
      </w:pPr>
      <w:r>
        <w:t>5.4 Integration with the Single-Cell Intelligence Agent</w:t>
      </w:r>
    </w:p>
    <w:p>
      <w:r>
        <w:t>Foundation models can serve as:</w:t>
      </w:r>
    </w:p>
    <w:p>
      <w:r>
        <w:t xml:space="preserve">1. </w:t>
      </w:r>
      <w:r>
        <w:rPr>
          <w:b/>
        </w:rPr>
        <w:t>Embedding backbone:</w:t>
      </w:r>
      <w:r>
        <w:t xml:space="preserve"> Replace BGE-small-en-v1.5 with scGPT cell embeddings for cell-level vector search</w:t>
      </w:r>
    </w:p>
    <w:p>
      <w:r>
        <w:t xml:space="preserve">2. </w:t>
      </w:r>
      <w:r>
        <w:rPr>
          <w:b/>
        </w:rPr>
        <w:t>Annotation engine:</w:t>
      </w:r>
      <w:r>
        <w:t xml:space="preserve"> Zero-shot cell type prediction via scGPT</w:t>
      </w:r>
    </w:p>
    <w:p>
      <w:r>
        <w:t xml:space="preserve">3. </w:t>
      </w:r>
      <w:r>
        <w:rPr>
          <w:b/>
        </w:rPr>
        <w:t>Perturbation simulator:</w:t>
      </w:r>
      <w:r>
        <w:t xml:space="preserve"> Predict drug response at single-cell resolution</w:t>
      </w:r>
    </w:p>
    <w:p>
      <w:r>
        <w:t xml:space="preserve">4. </w:t>
      </w:r>
      <w:r>
        <w:rPr>
          <w:b/>
        </w:rPr>
        <w:t>Integration layer:</w:t>
      </w:r>
      <w:r>
        <w:t xml:space="preserve"> Cross-dataset harmonization via Geneformer embeddings</w:t>
      </w:r>
    </w:p>
    <w:p>
      <w:r>
        <w:t>The agent's knowledge base documents these models and their capabilities. NIM endpoint integration is planned for v2.0.</w:t>
      </w:r>
    </w:p>
    <w:p>
      <w:pPr>
        <w:pStyle w:val="Heading1"/>
      </w:pPr>
      <w:r>
        <w:t>6. GPU Benchmarks for Single-Cell Analysis</w:t>
      </w:r>
    </w:p>
    <w:p>
      <w:pPr>
        <w:pStyle w:val="Heading2"/>
      </w:pPr>
      <w:r>
        <w:t>6.1 RAPIDS vs. CPU Benchmarks</w:t>
      </w:r>
    </w:p>
    <w:p>
      <w:r>
        <w:t>| Operation | Dataset Size | CPU (seconds) | GPU (seconds) | Speedup |</w:t>
      </w:r>
    </w:p>
    <w:p>
      <w:r>
        <w:t>|-----------|-------------|--------------|--------------|---------|</w:t>
      </w:r>
    </w:p>
    <w:p>
      <w:r>
        <w:t>| PCA (50 comps) | 50K cells | 45 | 0.9 | 50x |</w:t>
      </w:r>
    </w:p>
    <w:p>
      <w:r>
        <w:t>| PCA (50 comps) | 500K cells | 480 | 4.2 | 114x |</w:t>
      </w:r>
    </w:p>
    <w:p>
      <w:r>
        <w:t>| UMAP | 50K cells | 120 | 2.4 | 50x |</w:t>
      </w:r>
    </w:p>
    <w:p>
      <w:r>
        <w:t>| UMAP | 500K cells | 1,800 | 12 | 150x |</w:t>
      </w:r>
    </w:p>
    <w:p>
      <w:r>
        <w:t>| kNN (k=30) | 50K cells | 90 | 0.8 | 112x |</w:t>
      </w:r>
    </w:p>
    <w:p>
      <w:r>
        <w:t>| kNN (k=30) | 500K cells | 960 | 3.5 | 274x |</w:t>
      </w:r>
    </w:p>
    <w:p>
      <w:r>
        <w:t>| Leiden (res=0.5) | 50K cells | 30 | 1.0 | 30x |</w:t>
      </w:r>
    </w:p>
    <w:p>
      <w:r>
        <w:t>| Leiden (res=0.5) | 500K cells | 350 | 5.0 | 70x |</w:t>
      </w:r>
    </w:p>
    <w:p>
      <w:r>
        <w:t>| Full pipeline | 50K cells | 345 | 7.5 | 46x |</w:t>
      </w:r>
    </w:p>
    <w:p>
      <w:r>
        <w:t>| Full pipeline | 500K cells | 3,590 | 24.7 | 145x |</w:t>
      </w:r>
    </w:p>
    <w:p>
      <w:r>
        <w:t>*Benchmarks on NVIDIA A100 80GB. CPU benchmarks on AMD EPYC 7742 64-core.*</w:t>
      </w:r>
    </w:p>
    <w:p>
      <w:pPr>
        <w:pStyle w:val="Heading2"/>
      </w:pPr>
      <w:r>
        <w:t>6.2 Memory Requirements</w:t>
      </w:r>
    </w:p>
    <w:p>
      <w:r>
        <w:t>| Dataset Size | CPU RAM | GPU VRAM |</w:t>
      </w:r>
    </w:p>
    <w:p>
      <w:r>
        <w:t>|-------------|---------|---------|</w:t>
      </w:r>
    </w:p>
    <w:p>
      <w:r>
        <w:t>| 10K cells | 2 GB | 1 GB |</w:t>
      </w:r>
    </w:p>
    <w:p>
      <w:r>
        <w:t>| 50K cells | 8 GB | 4 GB |</w:t>
      </w:r>
    </w:p>
    <w:p>
      <w:r>
        <w:t>| 100K cells | 16 GB | 8 GB |</w:t>
      </w:r>
    </w:p>
    <w:p>
      <w:r>
        <w:t>| 500K cells | 64 GB | 32 GB |</w:t>
      </w:r>
    </w:p>
    <w:p>
      <w:r>
        <w:t>| 1M cells | 128 GB | 64 GB |</w:t>
      </w:r>
    </w:p>
    <w:p>
      <w:pPr>
        <w:pStyle w:val="Heading2"/>
      </w:pPr>
      <w:r>
        <w:t>6.3 rapids-singlecell</w:t>
      </w:r>
    </w:p>
    <w:p>
      <w:r>
        <w:t>The `rapids-singlecell` package provides GPU-accelerated Scanpy-compatible functions:</w:t>
      </w:r>
    </w:p>
    <w:p>
      <w:r>
        <w:t>import rapids_singlecell as rsc</w:t>
      </w:r>
    </w:p>
    <w:p/>
    <w:p>
      <w:r>
        <w:t># GPU-accelerated preprocessing</w:t>
      </w:r>
    </w:p>
    <w:p>
      <w:r>
        <w:t>rsc.pp.normalize_total(adata)</w:t>
      </w:r>
    </w:p>
    <w:p>
      <w:r>
        <w:t>rsc.pp.log1p(adata)</w:t>
      </w:r>
    </w:p>
    <w:p>
      <w:r>
        <w:t>rsc.pp.highly_variable_genes(adata)</w:t>
      </w:r>
    </w:p>
    <w:p>
      <w:r>
        <w:t>rsc.pp.pca(adata)</w:t>
      </w:r>
    </w:p>
    <w:p/>
    <w:p>
      <w:r>
        <w:t># GPU-accelerated analysis</w:t>
      </w:r>
    </w:p>
    <w:p>
      <w:r>
        <w:t>rsc.pp.neighbors(adata)</w:t>
      </w:r>
    </w:p>
    <w:p>
      <w:r>
        <w:t>rsc.tl.leiden(adata)</w:t>
      </w:r>
    </w:p>
    <w:p>
      <w:r>
        <w:t>rsc.tl.umap(adata)</w:t>
      </w:r>
    </w:p>
    <w:p/>
    <w:p>
      <w:r>
        <w:t># Results are identical to Scanpy, 50-150x faster</w:t>
      </w:r>
    </w:p>
    <w:p>
      <w:pPr>
        <w:pStyle w:val="Heading1"/>
      </w:pPr>
      <w:r>
        <w:t>7. Cell-Cell Communication Analysis</w:t>
      </w:r>
    </w:p>
    <w:p>
      <w:pPr>
        <w:pStyle w:val="Heading2"/>
      </w:pPr>
      <w:r>
        <w:t>7.1 Ligand-Receptor Databases</w:t>
      </w:r>
    </w:p>
    <w:p>
      <w:r>
        <w:t>| Database | Interactions | Source |</w:t>
      </w:r>
    </w:p>
    <w:p>
      <w:r>
        <w:t>|----------|------------|--------|</w:t>
      </w:r>
    </w:p>
    <w:p>
      <w:r>
        <w:t>| CellPhoneDB | 2,500+ | Curated from literature |</w:t>
      </w:r>
    </w:p>
    <w:p>
      <w:r>
        <w:t>| CellTalkDB | 3,000+ | Curated + predicted |</w:t>
      </w:r>
    </w:p>
    <w:p>
      <w:r>
        <w:t>| NicheNet | 6,000+ | Ligand-target predicted |</w:t>
      </w:r>
    </w:p>
    <w:p>
      <w:r>
        <w:t>| CellChatDB | 2,000+ | Curated with pathway context |</w:t>
      </w:r>
    </w:p>
    <w:p>
      <w:r>
        <w:t>| LIANA | Meta-database | Consensus of multiple databases |</w:t>
      </w:r>
    </w:p>
    <w:p>
      <w:pPr>
        <w:pStyle w:val="Heading2"/>
      </w:pPr>
      <w:r>
        <w:t>7.2 Analysis Methods</w:t>
      </w:r>
    </w:p>
    <w:p>
      <w:r>
        <w:t>| Method | Approach | Output |</w:t>
      </w:r>
    </w:p>
    <w:p>
      <w:r>
        <w:t>|--------|---------|--------|</w:t>
      </w:r>
    </w:p>
    <w:p>
      <w:r>
        <w:t>| CellPhoneDB | Permutation test on L-R co-expression | P-values per L-R pair per cell type pair |</w:t>
      </w:r>
    </w:p>
    <w:p>
      <w:r>
        <w:t>| CellChat | Quantitative mass-action model | Interaction strength, pathway activity |</w:t>
      </w:r>
    </w:p>
    <w:p>
      <w:r>
        <w:t>| NicheNet | Ligand activity prediction from target genes | Ligand prioritization by downstream effect |</w:t>
      </w:r>
    </w:p>
    <w:p>
      <w:r>
        <w:t>| LIANA | Consensus of multiple methods | Aggregated interaction scores |</w:t>
      </w:r>
    </w:p>
    <w:p>
      <w:pPr>
        <w:pStyle w:val="Heading2"/>
      </w:pPr>
      <w:r>
        <w:t>7.3 The Single-Cell Intelligence Agent's L-R Knowledge</w:t>
      </w:r>
    </w:p>
    <w:p>
      <w:r>
        <w:t>The agent curates 25 ligand-receptor pairs across clinically actionable pathways:</w:t>
      </w:r>
    </w:p>
    <w:p>
      <w:r>
        <w:t>| Pathway | Ligand | Receptor | Clinical Relevance |</w:t>
      </w:r>
    </w:p>
    <w:p>
      <w:r>
        <w:t>|---------|--------|----------|-------------------|</w:t>
      </w:r>
    </w:p>
    <w:p>
      <w:r>
        <w:t>| Checkpoint | CD274 (PD-L1) | PDCD1 (PD-1) | Checkpoint inhibitor target |</w:t>
      </w:r>
    </w:p>
    <w:p>
      <w:r>
        <w:t>| Checkpoint | CD80 | CTLA4 | Ipilimumab target |</w:t>
      </w:r>
    </w:p>
    <w:p>
      <w:r>
        <w:t>| Chemokine | CXCL12 | CXCR4 | Immune cell migration/trapping |</w:t>
      </w:r>
    </w:p>
    <w:p>
      <w:r>
        <w:t>| Chemokine | CCL2 | CCR2 | Monocyte/macrophage recruitment |</w:t>
      </w:r>
    </w:p>
    <w:p>
      <w:r>
        <w:t>| Growth factor | EGF | EGFR | TKI target (erlotinib, osimertinib) |</w:t>
      </w:r>
    </w:p>
    <w:p>
      <w:r>
        <w:t>| Growth factor | HGF | MET | MET inhibitor target |</w:t>
      </w:r>
    </w:p>
    <w:p>
      <w:r>
        <w:t>| Notch | DLL1 | NOTCH1 | Cancer stem cell maintenance |</w:t>
      </w:r>
    </w:p>
    <w:p>
      <w:r>
        <w:t>| Wnt | WNT5A | FZD5 | Immune exclusion, beta-catenin |</w:t>
      </w:r>
    </w:p>
    <w:p>
      <w:r>
        <w:t>| Hedgehog | SHH | PTCH1 | Stromal activation |</w:t>
      </w:r>
    </w:p>
    <w:p>
      <w:r>
        <w:t>| Angiogenesis | VEGFA | KDR (VEGFR2) | Anti-VEGF target (bevacizumab) |</w:t>
      </w:r>
    </w:p>
    <w:p>
      <w:pPr>
        <w:pStyle w:val="Heading1"/>
      </w:pPr>
      <w:r>
        <w:t>8. Biomarker Discovery at Single-Cell Resolution</w:t>
      </w:r>
    </w:p>
    <w:p>
      <w:pPr>
        <w:pStyle w:val="Heading2"/>
      </w:pPr>
      <w:r>
        <w:t>8.1 Advantages Over Bulk Discovery</w:t>
      </w:r>
    </w:p>
    <w:p>
      <w:r>
        <w:t>| Feature | Bulk Discovery | Single-Cell Discovery |</w:t>
      </w:r>
    </w:p>
    <w:p>
      <w:r>
        <w:t>|---------|---------------|---------------------|</w:t>
      </w:r>
    </w:p>
    <w:p>
      <w:r>
        <w:t>| Specificity | Tissue-level | Cell-type-specific (AUROC &gt; 0.9) |</w:t>
      </w:r>
    </w:p>
    <w:p>
      <w:r>
        <w:t>| Confounders | Cell composition changes confound DE | Direct cell-type DE |</w:t>
      </w:r>
    </w:p>
    <w:p>
      <w:r>
        <w:t>| Sensitivity | Rare cell markers diluted | Detectable at 0.1% frequency |</w:t>
      </w:r>
    </w:p>
    <w:p>
      <w:r>
        <w:t>| Actionability | Unknown cellular source | Known cell type enables targeted therapy |</w:t>
      </w:r>
    </w:p>
    <w:p>
      <w:pPr>
        <w:pStyle w:val="Heading2"/>
      </w:pPr>
      <w:r>
        <w:t>8.2 Discovery Workflow</w:t>
      </w:r>
    </w:p>
    <w:p>
      <w:r>
        <w:t>scRNA-seq data (disease vs. control)</w:t>
      </w:r>
    </w:p>
    <w:p>
      <w:r>
        <w:t xml:space="preserve">         |</w:t>
      </w:r>
    </w:p>
    <w:p>
      <w:r>
        <w:t xml:space="preserve">         v</w:t>
      </w:r>
    </w:p>
    <w:p>
      <w:r>
        <w:t>Cell type annotation (44 cell types)</w:t>
      </w:r>
    </w:p>
    <w:p>
      <w:r>
        <w:t xml:space="preserve">         |</w:t>
      </w:r>
    </w:p>
    <w:p>
      <w:r>
        <w:t xml:space="preserve">         v</w:t>
      </w:r>
    </w:p>
    <w:p>
      <w:r>
        <w:t>Per-cell-type differential expression</w:t>
      </w:r>
    </w:p>
    <w:p>
      <w:r>
        <w:t xml:space="preserve">         |</w:t>
      </w:r>
    </w:p>
    <w:p>
      <w:r>
        <w:t xml:space="preserve">    +----+----+----+</w:t>
      </w:r>
    </w:p>
    <w:p>
      <w:r>
        <w:t xml:space="preserve">    |    |    |    |</w:t>
      </w:r>
    </w:p>
    <w:p>
      <w:r>
        <w:t xml:space="preserve">    v    v    v    v</w:t>
      </w:r>
    </w:p>
    <w:p>
      <w:r>
        <w:t xml:space="preserve">  CD8  Treg  Mac  ...</w:t>
      </w:r>
    </w:p>
    <w:p>
      <w:r>
        <w:t xml:space="preserve">  DE   DE    DE</w:t>
      </w:r>
    </w:p>
    <w:p>
      <w:r>
        <w:t xml:space="preserve">    |</w:t>
      </w:r>
    </w:p>
    <w:p>
      <w:r>
        <w:t xml:space="preserve">    v</w:t>
      </w:r>
    </w:p>
    <w:p>
      <w:r>
        <w:t>Specificity scoring (AUROC per gene per cell type)</w:t>
      </w:r>
    </w:p>
    <w:p>
      <w:r>
        <w:t xml:space="preserve">    |</w:t>
      </w:r>
    </w:p>
    <w:p>
      <w:r>
        <w:t xml:space="preserve">    v</w:t>
      </w:r>
    </w:p>
    <w:p>
      <w:r>
        <w:t>Surface protein filter (is_surface = True)</w:t>
      </w:r>
    </w:p>
    <w:p>
      <w:r>
        <w:t xml:space="preserve">    |</w:t>
      </w:r>
    </w:p>
    <w:p>
      <w:r>
        <w:t xml:space="preserve">    v</w:t>
      </w:r>
    </w:p>
    <w:p>
      <w:r>
        <w:t>Clinical validation check (existing assay, clinical trial)</w:t>
      </w:r>
    </w:p>
    <w:p>
      <w:r>
        <w:t xml:space="preserve">    |</w:t>
      </w:r>
    </w:p>
    <w:p>
      <w:r>
        <w:t xml:space="preserve">    v</w:t>
      </w:r>
    </w:p>
    <w:p>
      <w:r>
        <w:t>BiomarkerCandidate output</w:t>
      </w:r>
    </w:p>
    <w:p>
      <w:pPr>
        <w:pStyle w:val="Heading2"/>
      </w:pPr>
      <w:r>
        <w:t>8.3 Biomarker Types</w:t>
      </w:r>
    </w:p>
    <w:p>
      <w:r>
        <w:t>| Type | Definition | Example |</w:t>
      </w:r>
    </w:p>
    <w:p>
      <w:r>
        <w:t>|------|-----------|---------|</w:t>
      </w:r>
    </w:p>
    <w:p>
      <w:r>
        <w:t>| Diagnostic | Distinguishes disease from normal | CD19 for B-ALL detection |</w:t>
      </w:r>
    </w:p>
    <w:p>
      <w:r>
        <w:t>| Prognostic | Predicts outcome regardless of treatment | TOX+ exhausted CD8 fraction predicts poor OS |</w:t>
      </w:r>
    </w:p>
    <w:p>
      <w:r>
        <w:t>| Predictive | Predicts treatment response | PD-L1 on tumor cells predicts anti-PD-1 response |</w:t>
      </w:r>
    </w:p>
    <w:p>
      <w:r>
        <w:t>| Pharmacodynamic | Measures treatment effect | CD8/Treg ratio change under immunotherapy |</w:t>
      </w:r>
    </w:p>
    <w:p>
      <w:pPr>
        <w:pStyle w:val="Heading1"/>
      </w:pPr>
      <w:r>
        <w:t>9. CAR-T Target Validation</w:t>
      </w:r>
    </w:p>
    <w:p>
      <w:pPr>
        <w:pStyle w:val="Heading2"/>
      </w:pPr>
      <w:r>
        <w:t>9.1 The Ideal CAR-T Target</w:t>
      </w:r>
    </w:p>
    <w:p>
      <w:r>
        <w:t>| Property | Ideal | Acceptable | Unacceptable |</w:t>
      </w:r>
    </w:p>
    <w:p>
      <w:r>
        <w:t>|----------|-------|-----------|--------------|</w:t>
      </w:r>
    </w:p>
    <w:p>
      <w:r>
        <w:t>| On-tumor coverage | &gt; 95% | &gt; 70% | &lt; 50% |</w:t>
      </w:r>
    </w:p>
    <w:p>
      <w:r>
        <w:t>| Off-tumor vital organs | 0 hits | Low-level (&lt; 0.5 TPM) | High in heart, brain, lung |</w:t>
      </w:r>
    </w:p>
    <w:p>
      <w:r>
        <w:t>| Therapeutic index | &gt; 10 | &gt; 3 | &lt; 3 |</w:t>
      </w:r>
    </w:p>
    <w:p>
      <w:r>
        <w:t>| Heterogeneity | Low (uniform expression) | Moderate | High (bimodal) |</w:t>
      </w:r>
    </w:p>
    <w:p>
      <w:r>
        <w:t>| Escape risk | Low (essential gene) | Medium | High (dispensable antigen) |</w:t>
      </w:r>
    </w:p>
    <w:p>
      <w:pPr>
        <w:pStyle w:val="Heading2"/>
      </w:pPr>
      <w:r>
        <w:t>9.2 The Agent's Target Validation Pipeline</w:t>
      </w:r>
    </w:p>
    <w:p>
      <w:r>
        <w:t>Target Gene (e.g., CD19, MSLN, HER2)</w:t>
      </w:r>
    </w:p>
    <w:p>
      <w:r>
        <w:t xml:space="preserve">         |</w:t>
      </w:r>
    </w:p>
    <w:p>
      <w:r>
        <w:t xml:space="preserve">    +----+----+</w:t>
      </w:r>
    </w:p>
    <w:p>
      <w:r>
        <w:t xml:space="preserve">    |         |</w:t>
      </w:r>
    </w:p>
    <w:p>
      <w:r>
        <w:t xml:space="preserve">    v         v</w:t>
      </w:r>
    </w:p>
    <w:p>
      <w:r>
        <w:t>On-Tumor    Off-Tumor</w:t>
      </w:r>
    </w:p>
    <w:p>
      <w:r>
        <w:t>Analysis    Safety Check</w:t>
      </w:r>
    </w:p>
    <w:p>
      <w:r>
        <w:t xml:space="preserve">    |         |</w:t>
      </w:r>
    </w:p>
    <w:p>
      <w:r>
        <w:t xml:space="preserve">    v         v</w:t>
      </w:r>
    </w:p>
    <w:p>
      <w:r>
        <w:t>Coverage    8 vital organs:</w:t>
      </w:r>
    </w:p>
    <w:p>
      <w:r>
        <w:t>percentage  brain, heart, lung,</w:t>
      </w:r>
    </w:p>
    <w:p>
      <w:r>
        <w:t>Mean expr.  liver, kidney, pancreas,</w:t>
      </w:r>
    </w:p>
    <w:p>
      <w:r>
        <w:t xml:space="preserve">            bone_marrow, intestine</w:t>
      </w:r>
    </w:p>
    <w:p>
      <w:r>
        <w:t xml:space="preserve">    |         |</w:t>
      </w:r>
    </w:p>
    <w:p>
      <w:r>
        <w:t xml:space="preserve">    +----+----+</w:t>
      </w:r>
    </w:p>
    <w:p>
      <w:r>
        <w:t xml:space="preserve">         |</w:t>
      </w:r>
    </w:p>
    <w:p>
      <w:r>
        <w:t xml:space="preserve">         v</w:t>
      </w:r>
    </w:p>
    <w:p>
      <w:r>
        <w:t>Therapeutic Index = mean_on_tumor / (max_off_tumor + 0.01)</w:t>
      </w:r>
    </w:p>
    <w:p>
      <w:r>
        <w:t xml:space="preserve">         |</w:t>
      </w:r>
    </w:p>
    <w:p>
      <w:r>
        <w:t xml:space="preserve">         v</w:t>
      </w:r>
    </w:p>
    <w:p>
      <w:r>
        <w:t xml:space="preserve">    +----+----+----+</w:t>
      </w:r>
    </w:p>
    <w:p>
      <w:r>
        <w:t xml:space="preserve">    |         |    |</w:t>
      </w:r>
    </w:p>
    <w:p>
      <w:r>
        <w:t xml:space="preserve">    v         v    v</w:t>
      </w:r>
    </w:p>
    <w:p>
      <w:r>
        <w:t>FAVORABLE  COND.  UNFAVORABLE</w:t>
      </w:r>
    </w:p>
    <w:p>
      <w:r>
        <w:t>(safe +    (risk   (safety or</w:t>
      </w:r>
    </w:p>
    <w:p>
      <w:r>
        <w:t xml:space="preserve"> effective) mitig.) efficacy fail)</w:t>
      </w:r>
    </w:p>
    <w:p>
      <w:pPr>
        <w:pStyle w:val="Heading2"/>
      </w:pPr>
      <w:r>
        <w:t>9.3 Safety Switch Integration</w:t>
      </w:r>
    </w:p>
    <w:p>
      <w:r>
        <w:t>For CONDITIONAL targets, the agent recommends:</w:t>
      </w:r>
    </w:p>
    <w:p>
      <w:pPr>
        <w:pStyle w:val="ListBullet"/>
      </w:pPr>
      <w:r>
        <w:t>**iCasp9 (inducible caspase 9):** Dimerizer-activated suicide switch</w:t>
      </w:r>
    </w:p>
    <w:p>
      <w:pPr>
        <w:pStyle w:val="ListBullet"/>
      </w:pPr>
      <w:r>
        <w:t>**EGFRt:** Truncated EGFR enabling cetuximab-mediated depletion</w:t>
      </w:r>
    </w:p>
    <w:p>
      <w:pPr>
        <w:pStyle w:val="ListBullet"/>
      </w:pPr>
      <w:r>
        <w:t>**Affinity-tuned CAR:** Reduced scFv affinity discriminates high-expression tumor from low-expression normal tissue</w:t>
      </w:r>
    </w:p>
    <w:p>
      <w:pPr>
        <w:pStyle w:val="Heading1"/>
      </w:pPr>
      <w:r>
        <w:t>10. Advanced Study Resources</w:t>
      </w:r>
    </w:p>
    <w:p>
      <w:pPr>
        <w:pStyle w:val="Heading2"/>
      </w:pPr>
      <w:r>
        <w:t>10.1 Key Papers</w:t>
      </w:r>
    </w:p>
    <w:p>
      <w:r>
        <w:t>| Year | Paper | Impact |</w:t>
      </w:r>
    </w:p>
    <w:p>
      <w:r>
        <w:t>|------|-------|--------|</w:t>
      </w:r>
    </w:p>
    <w:p>
      <w:r>
        <w:t>| 2017 | Zheng et al., "Massively parallel digital transcriptional profiling" | 10x Chromium technology paper |</w:t>
      </w:r>
    </w:p>
    <w:p>
      <w:r>
        <w:t>| 2018 | Wolf et al., "SCANPY: large-scale single-cell gene expression data analysis" | Standard Python toolkit |</w:t>
      </w:r>
    </w:p>
    <w:p>
      <w:r>
        <w:t>| 2019 | Stuart et al., "Comprehensive Integration of Single-Cell Data" | Seurat v3, integration methods |</w:t>
      </w:r>
    </w:p>
    <w:p>
      <w:r>
        <w:t>| 2020 | Bergen et al., "Generalizing RNA velocity" | RNA velocity dynamical model |</w:t>
      </w:r>
    </w:p>
    <w:p>
      <w:r>
        <w:t>| 2021 | Stahl et al., "Visualization and analysis of gene expression in tissue sections by spatial transcriptomics" | Visium technology |</w:t>
      </w:r>
    </w:p>
    <w:p>
      <w:r>
        <w:t>| 2023 | Theodoris et al., "Transfer learning enables predictions in network biology" | Geneformer foundation model |</w:t>
      </w:r>
    </w:p>
    <w:p>
      <w:r>
        <w:t>| 2024 | Cui et al., "scGPT: toward building a foundation model for single-cell multi-omics" | scGPT foundation model |</w:t>
      </w:r>
    </w:p>
    <w:p>
      <w:pPr>
        <w:pStyle w:val="Heading2"/>
      </w:pPr>
      <w:r>
        <w:t>10.2 Online Courses</w:t>
      </w:r>
    </w:p>
    <w:p>
      <w:pPr>
        <w:pStyle w:val="ListBullet"/>
      </w:pPr>
      <w:r>
        <w:t>**Single Cell Genomics** (Wellcome Sanger Institute) -- Comprehensive bioinformatics training</w:t>
      </w:r>
    </w:p>
    <w:p>
      <w:pPr>
        <w:pStyle w:val="ListBullet"/>
      </w:pPr>
      <w:r>
        <w:t>**Analysis of Single Cell RNA-seq Data** (Cambridge University) -- Scanpy/Seurat tutorials</w:t>
      </w:r>
    </w:p>
    <w:p>
      <w:pPr>
        <w:pStyle w:val="ListBullet"/>
      </w:pPr>
      <w:r>
        <w:t>**NVIDIA RAPIDS for Single-Cell** -- GPU acceleration training</w:t>
      </w:r>
    </w:p>
    <w:p>
      <w:pPr>
        <w:pStyle w:val="Heading2"/>
      </w:pPr>
      <w:r>
        <w:t>10.3 Practice Datasets</w:t>
      </w:r>
    </w:p>
    <w:p>
      <w:r>
        <w:t>| Dataset | Cells | Tissue | Modality | Access |</w:t>
      </w:r>
    </w:p>
    <w:p>
      <w:r>
        <w:t>|---------|-------|--------|----------|--------|</w:t>
      </w:r>
    </w:p>
    <w:p>
      <w:r>
        <w:t>| PBMC 3K | 2,700 | Blood | scRNA-seq | 10x Genomics |</w:t>
      </w:r>
    </w:p>
    <w:p>
      <w:r>
        <w:t>| PBMC 68K | 68,000 | Blood | scRNA-seq | 10x Genomics |</w:t>
      </w:r>
    </w:p>
    <w:p>
      <w:r>
        <w:t>| Tabula Sapiens | 500,000 | Multi-tissue | scRNA-seq | CellxGene |</w:t>
      </w:r>
    </w:p>
    <w:p>
      <w:r>
        <w:t>| Human Lung Cell Atlas | 580,000 | Lung | scRNA-seq + spatial | CellxGene |</w:t>
      </w:r>
    </w:p>
    <w:p>
      <w:r>
        <w:t>| TCGA Pan-Cancer scRNA | 1M+ | Multi-cancer | scRNA-seq | TISCH2 |</w:t>
      </w:r>
    </w:p>
    <w:p>
      <w:r>
        <w:t>*HCLS AI Factory -- Single-Cell Intelligence Agent Learning Guide: Advanced Topics v1.0.0*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